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jc w:val="left"/>
        <w:rPr>
          <w:rFonts w:ascii="Times New Roman;serif" w:hAnsi="Times New Roman;serif"/>
          <w:b w:val="false"/>
          <w:i w:val="false"/>
          <w:caps w:val="false"/>
          <w:smallCaps w:val="false"/>
          <w:sz w:val="20"/>
        </w:rPr>
      </w:pPr>
      <w:bookmarkStart w:id="0" w:name="abvx-20260630.htm"/>
      <w:bookmarkStart w:id="1" w:name="ksabvx20260630"/>
      <w:bookmarkEnd w:id="0"/>
      <w:bookmarkEnd w:id="1"/>
      <w:r>
        <w:rPr>
          <w:rFonts w:ascii="Times New Roman;serif" w:hAnsi="Times New Roman;serif"/>
          <w:b w:val="false"/>
          <w:i w:val="false"/>
          <w:caps w:val="false"/>
          <w:smallCaps w:val="false"/>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UNITED STATES</w:t>
      </w:r>
    </w:p>
    <w:p>
      <w:pPr>
        <w:pStyle w:val="TextBody"/>
        <w:bidi w:val="0"/>
        <w:spacing w:lineRule="atLeast" w:line="240" w:before="0" w:after="0"/>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SECURITIES AND EXCHANGE COMMISSION</w:t>
      </w:r>
    </w:p>
    <w:p>
      <w:pPr>
        <w:pStyle w:val="TextBody"/>
        <w:bidi w:val="0"/>
        <w:spacing w:lineRule="atLeast" w:line="240" w:before="0" w:after="0"/>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WASHINGTON, D.C. 20549</w:t>
      </w:r>
    </w:p>
    <w:p>
      <w:pPr>
        <w:pStyle w:val="TextBody"/>
        <w:bidi w:val="0"/>
        <w:spacing w:lineRule="atLeast" w:line="240" w:before="0" w:after="0"/>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FORM 6-K</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REPORT OF FOREIGN PRIVATE ISSUER PURSUANT TO RULE 13a-16 OR 15d-16 UNDER THE</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EXCHANGE ACT OF 1934</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For the month of </w:t>
      </w:r>
      <w:r>
        <w:rPr>
          <w:rFonts w:ascii="Times New Roman;serif" w:hAnsi="Times New Roman;serif"/>
          <w:b/>
          <w:i w:val="false"/>
          <w:caps w:val="false"/>
          <w:smallCaps w:val="false"/>
          <w:strike w:val="false"/>
          <w:dstrike w:val="false"/>
          <w:sz w:val="20"/>
          <w:u w:val="none"/>
          <w:effect w:val="none"/>
        </w:rPr>
        <w:t>September 2026</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Commission file number: </w:t>
      </w:r>
      <w:r>
        <w:rPr>
          <w:rFonts w:ascii="Times New Roman;serif" w:hAnsi="Times New Roman;serif"/>
          <w:b/>
          <w:i w:val="false"/>
          <w:caps w:val="false"/>
          <w:smallCaps w:val="false"/>
          <w:strike w:val="false"/>
          <w:dstrike w:val="false"/>
          <w:sz w:val="20"/>
          <w:u w:val="none"/>
          <w:effect w:val="none"/>
        </w:rPr>
        <w:t>001-41842</w:t>
      </w:r>
    </w:p>
    <w:p>
      <w:pPr>
        <w:pStyle w:val="TextBody"/>
        <w:bidi w:val="0"/>
        <w:spacing w:lineRule="atLeast" w:line="360" w:before="0" w:after="0"/>
        <w:jc w:val="left"/>
        <w:rPr>
          <w:rFonts w:ascii="Times New Roman;serif" w:hAnsi="Times New Roman;serif"/>
          <w:b/>
          <w:i w:val="false"/>
          <w:caps w:val="false"/>
          <w:smallCaps w:val="false"/>
          <w:strike w:val="false"/>
          <w:dstrike w:val="false"/>
          <w:sz w:val="36"/>
          <w:u w:val="none"/>
          <w:effect w:val="none"/>
        </w:rPr>
      </w:pPr>
      <w:r>
        <w:rPr>
          <w:rFonts w:ascii="Times New Roman;serif" w:hAnsi="Times New Roman;serif"/>
          <w:b/>
          <w:i w:val="false"/>
          <w:caps w:val="false"/>
          <w:smallCaps w:val="false"/>
          <w:strike w:val="false"/>
          <w:dstrike w:val="false"/>
          <w:sz w:val="36"/>
          <w:u w:val="none"/>
          <w:effect w:val="none"/>
        </w:rPr>
        <w:t>Abivax SA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 and translation of Registrant’s name into English)</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7-11 boulevard Haussmann</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75009</w:t>
      </w:r>
      <w:r>
        <w:rPr>
          <w:caps w:val="false"/>
          <w:smallCaps w:val="false"/>
          <w:sz w:val="24"/>
        </w:rPr>
        <w:t xml:space="preserve"> </w:t>
      </w:r>
      <w:r>
        <w:rPr>
          <w:rFonts w:ascii="Times New Roman;serif" w:hAnsi="Times New Roman;serif"/>
          <w:b/>
          <w:i w:val="false"/>
          <w:caps w:val="false"/>
          <w:smallCaps w:val="false"/>
          <w:strike w:val="false"/>
          <w:dstrike w:val="false"/>
          <w:sz w:val="20"/>
          <w:u w:val="none"/>
          <w:effect w:val="none"/>
        </w:rPr>
        <w:t>Paris</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France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files or will file annual reports under cover of Form 20-F or Form 40-</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Form 20-F </w:t>
      </w:r>
      <w:r>
        <w:rPr>
          <w:caps w:val="false"/>
          <w:smallCaps w:val="false"/>
        </w:rPr>
        <w:t xml:space="preserve">☒ </w:t>
      </w:r>
      <w:r>
        <w:rPr>
          <w:rFonts w:ascii="Times New Roman;serif" w:hAnsi="Times New Roman;serif"/>
          <w:b w:val="false"/>
          <w:i w:val="false"/>
          <w:caps w:val="false"/>
          <w:smallCaps w:val="false"/>
          <w:sz w:val="20"/>
        </w:rPr>
        <w:t xml:space="preserve">Form 40-F </w:t>
      </w: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On </w:t>
      </w:r>
      <w:r>
        <w:rPr>
          <w:rFonts w:ascii="Times New Roman;serif" w:hAnsi="Times New Roman;serif"/>
          <w:b w:val="false"/>
          <w:i w:val="false"/>
          <w:caps w:val="false"/>
          <w:smallCaps w:val="false"/>
          <w:strike w:val="false"/>
          <w:dstrike w:val="false"/>
          <w:sz w:val="20"/>
          <w:u w:val="none"/>
          <w:effect w:val="none"/>
        </w:rPr>
        <w:t>September 21, 2026</w:t>
      </w:r>
      <w:r>
        <w:rPr>
          <w:rFonts w:ascii="Times New Roman;serif" w:hAnsi="Times New Roman;serif"/>
          <w:b w:val="false"/>
          <w:i w:val="false"/>
          <w:caps w:val="false"/>
          <w:smallCaps w:val="false"/>
          <w:sz w:val="20"/>
        </w:rPr>
        <w:t xml:space="preserve">, Abivax SA (the "Registrant") announced its financial results as of and for the three and </w:t>
      </w:r>
      <w:r>
        <w:rPr>
          <w:rFonts w:ascii="Times New Roman;serif" w:hAnsi="Times New Roman;serif"/>
          <w:b w:val="false"/>
          <w:i w:val="false"/>
          <w:caps w:val="false"/>
          <w:smallCaps w:val="false"/>
          <w:strike w:val="false"/>
          <w:dstrike w:val="false"/>
          <w:sz w:val="20"/>
          <w:u w:val="none"/>
          <w:effect w:val="none"/>
        </w:rPr>
        <w:t xml:space="preserve">six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months ended June 30, 2026</w:t>
      </w:r>
      <w:r>
        <w:rPr>
          <w:caps w:val="false"/>
          <w:smallCaps w:val="false"/>
          <w:sz w:val="24"/>
        </w:rPr>
        <w:t xml:space="preserve"> </w:t>
      </w:r>
      <w:r>
        <w:rPr>
          <w:rFonts w:ascii="Times New Roman;serif" w:hAnsi="Times New Roman;serif"/>
          <w:b w:val="false"/>
          <w:i w:val="false"/>
          <w:caps w:val="false"/>
          <w:smallCaps w:val="false"/>
          <w:sz w:val="20"/>
        </w:rPr>
        <w:t xml:space="preserve">and issued a press release and its unaudited interim condensed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copies of which are attached hereto as Exhibits 99.1 and 99.2, respectively, and incorporated herein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reference.</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Incorporation by Reference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This Report on Form 6-K, including Exhibits 99.1 and 99.2, except for the quotes contained therein, shall be deemed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be incorporated by reference into the Registrant’s registration statements on Form F-3 (File Nos. 333-283336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333-288884) and Form S-8 (File Nos. 333-286069 and 333-294544) and to be part thereof from the date on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Report is filed, to the extent not superseded by documents or reports subsequently filed.</w:t>
      </w:r>
    </w:p>
    <w:tbl>
      <w:tblPr>
        <w:tblW w:w="5732" w:type="dxa"/>
        <w:jc w:val="left"/>
        <w:tblInd w:w="0" w:type="dxa"/>
        <w:tblLayout w:type="fixed"/>
        <w:tblCellMar>
          <w:top w:w="28" w:type="dxa"/>
          <w:left w:w="28" w:type="dxa"/>
          <w:bottom w:w="28" w:type="dxa"/>
          <w:right w:w="28" w:type="dxa"/>
        </w:tblCellMar>
      </w:tblPr>
      <w:tblGrid>
        <w:gridCol w:w="1096"/>
        <w:gridCol w:w="4636"/>
      </w:tblGrid>
      <w:tr>
        <w:trPr/>
        <w:tc>
          <w:tcPr>
            <w:tcW w:w="1096"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Exhibit Index</w:t>
            </w:r>
          </w:p>
        </w:tc>
        <w:tc>
          <w:tcPr>
            <w:tcW w:w="4636" w:type="dxa"/>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Exhibit 99.1</w:t>
            </w:r>
          </w:p>
        </w:tc>
        <w:tc>
          <w:tcPr>
            <w:tcW w:w="4636" w:type="dxa"/>
            <w:tcBorders/>
            <w:vAlign w:val="center"/>
          </w:tcPr>
          <w:p>
            <w:pPr>
              <w:pStyle w:val="TableContents"/>
              <w:bidi w:val="0"/>
              <w:spacing w:lineRule="atLeast" w:line="160" w:before="0" w:after="0"/>
              <w:jc w:val="left"/>
              <w:rPr/>
            </w:pPr>
            <w:hyperlink w:anchor="a6-kpressreleaseq22026fina.htm">
              <w:r>
                <w:rPr>
                  <w:rStyle w:val="InternetLink"/>
                  <w:rFonts w:ascii="Times New Roman;serif" w:hAnsi="Times New Roman;serif"/>
                  <w:b w:val="false"/>
                  <w:i w:val="false"/>
                  <w:caps w:val="false"/>
                  <w:smallCaps w:val="false"/>
                  <w:strike w:val="false"/>
                  <w:dstrike w:val="false"/>
                  <w:color w:val="000000"/>
                  <w:sz w:val="16"/>
                  <w:u w:val="single"/>
                  <w:effect w:val="none"/>
                </w:rPr>
                <w:t>Press release, dated September 21, 2026</w:t>
              </w:r>
            </w:hyperlink>
          </w:p>
        </w:tc>
      </w:tr>
      <w:tr>
        <w:trPr/>
        <w:tc>
          <w:tcPr>
            <w:tcW w:w="109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Exhibit 99.2</w:t>
            </w:r>
          </w:p>
        </w:tc>
        <w:tc>
          <w:tcPr>
            <w:tcW w:w="463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Unaudited Interim Condensed Consolidated Financial Statements</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the Registrant has duly caused this report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signed on its behalf by the undersigned, thereunto duly authorized.</w:t>
      </w:r>
    </w:p>
    <w:tbl>
      <w:tblPr>
        <w:tblW w:w="3846" w:type="dxa"/>
        <w:jc w:val="left"/>
        <w:tblInd w:w="0" w:type="dxa"/>
        <w:tblLayout w:type="fixed"/>
        <w:tblCellMar>
          <w:top w:w="28" w:type="dxa"/>
          <w:left w:w="28" w:type="dxa"/>
          <w:bottom w:w="28" w:type="dxa"/>
          <w:right w:w="28" w:type="dxa"/>
        </w:tblCellMar>
      </w:tblPr>
      <w:tblGrid>
        <w:gridCol w:w="1936"/>
        <w:gridCol w:w="109"/>
        <w:gridCol w:w="1801"/>
      </w:tblGrid>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Abivax SA</w:t>
            </w:r>
          </w:p>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(Registrant)</w:t>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Date: </w:t>
            </w:r>
            <w:r>
              <w:rPr>
                <w:rFonts w:ascii="Times New Roman;serif" w:hAnsi="Times New Roman;serif"/>
                <w:b w:val="false"/>
                <w:i w:val="false"/>
                <w:caps w:val="false"/>
                <w:smallCaps w:val="false"/>
                <w:strike w:val="false"/>
                <w:dstrike w:val="false"/>
                <w:sz w:val="16"/>
                <w:u w:val="none"/>
                <w:effect w:val="none"/>
              </w:rPr>
              <w:t>September 21, 2026</w:t>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z w:val="16"/>
                <w:u w:val="single"/>
              </w:rPr>
            </w:pPr>
            <w:r>
              <w:rPr>
                <w:rFonts w:ascii="Times New Roman;serif" w:hAnsi="Times New Roman;serif"/>
                <w:b w:val="false"/>
                <w:i w:val="false"/>
                <w:caps w:val="false"/>
                <w:smallCaps w:val="false"/>
                <w:sz w:val="16"/>
                <w:u w:val="single"/>
              </w:rPr>
              <w:t>/s/ Marc de Garidel</w:t>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Chief Executive Officer</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Exhibit 99.2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 Interim Condensed Consolidated Financial Statements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TABLE OF CONTENTS</w:t>
      </w:r>
    </w:p>
    <w:tbl>
      <w:tblPr>
        <w:tblW w:w="8912" w:type="dxa"/>
        <w:jc w:val="left"/>
        <w:tblInd w:w="0" w:type="dxa"/>
        <w:tblLayout w:type="fixed"/>
        <w:tblCellMar>
          <w:top w:w="28" w:type="dxa"/>
          <w:left w:w="28" w:type="dxa"/>
          <w:bottom w:w="28" w:type="dxa"/>
          <w:right w:w="28" w:type="dxa"/>
        </w:tblCellMar>
      </w:tblPr>
      <w:tblGrid>
        <w:gridCol w:w="8371"/>
        <w:gridCol w:w="541"/>
      </w:tblGrid>
      <w:tr>
        <w:trPr/>
        <w:tc>
          <w:tcPr>
            <w:tcW w:w="83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3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8371" w:type="dxa"/>
            <w:tcBorders/>
            <w:vAlign w:val="center"/>
          </w:tcPr>
          <w:p>
            <w:pPr>
              <w:pStyle w:val="TableContents"/>
              <w:bidi w:val="0"/>
              <w:spacing w:lineRule="atLeast" w:line="240" w:before="0" w:after="0"/>
              <w:jc w:val="left"/>
              <w:rPr/>
            </w:pPr>
            <w:r>
              <w:rPr>
                <w:rFonts w:ascii="Times New Roman;serif" w:hAnsi="Times New Roman;serif"/>
                <w:b w:val="false"/>
                <w:i w:val="false"/>
                <w:caps w:val="false"/>
                <w:smallCaps w:val="false"/>
                <w:sz w:val="20"/>
              </w:rPr>
              <w:t>INTRODUCTION</w:t>
            </w:r>
            <w:r>
              <w:rPr>
                <w:rFonts w:ascii="Times New Roman;serif" w:hAnsi="Times New Roman;serif"/>
                <w:b w:val="false"/>
                <w:i w:val="false"/>
                <w:caps w:val="false"/>
                <w:smallCaps w:val="false"/>
                <w:sz w:val="24"/>
              </w:rPr>
              <w:t>.................................................................................................................</w:t>
            </w:r>
          </w:p>
        </w:tc>
        <w:tc>
          <w:tcPr>
            <w:tcW w:w="5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8371" w:type="dxa"/>
            <w:tcBorders/>
            <w:vAlign w:val="center"/>
          </w:tcPr>
          <w:p>
            <w:pPr>
              <w:pStyle w:val="TableContents"/>
              <w:bidi w:val="0"/>
              <w:spacing w:lineRule="atLeast" w:line="240" w:before="0" w:after="0"/>
              <w:jc w:val="left"/>
              <w:rPr/>
            </w:pPr>
            <w:r>
              <w:rPr>
                <w:rFonts w:ascii="Times New Roman;serif" w:hAnsi="Times New Roman;serif"/>
                <w:b w:val="false"/>
                <w:i w:val="false"/>
                <w:caps w:val="false"/>
                <w:smallCaps w:val="false"/>
                <w:sz w:val="20"/>
              </w:rPr>
              <w:t>RISK FACTORS</w:t>
            </w:r>
            <w:r>
              <w:rPr>
                <w:rFonts w:ascii="Times New Roman;serif" w:hAnsi="Times New Roman;serif"/>
                <w:b w:val="false"/>
                <w:i w:val="false"/>
                <w:caps w:val="false"/>
                <w:smallCaps w:val="false"/>
                <w:sz w:val="24"/>
              </w:rPr>
              <w:t>...................................................................................................................</w:t>
            </w:r>
          </w:p>
        </w:tc>
        <w:tc>
          <w:tcPr>
            <w:tcW w:w="5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371" w:type="dxa"/>
            <w:tcBorders/>
            <w:vAlign w:val="center"/>
          </w:tcPr>
          <w:p>
            <w:pPr>
              <w:pStyle w:val="TableContents"/>
              <w:bidi w:val="0"/>
              <w:spacing w:lineRule="atLeast" w:line="240" w:before="0" w:after="0"/>
              <w:jc w:val="left"/>
              <w:rPr/>
            </w:pPr>
            <w:r>
              <w:rPr>
                <w:rFonts w:ascii="Times New Roman;serif" w:hAnsi="Times New Roman;serif"/>
                <w:b w:val="false"/>
                <w:i w:val="false"/>
                <w:caps w:val="false"/>
                <w:smallCaps w:val="false"/>
                <w:sz w:val="20"/>
              </w:rPr>
              <w:t>OPERATING RESULTS</w:t>
            </w:r>
            <w:r>
              <w:rPr>
                <w:rFonts w:ascii="Times New Roman;serif" w:hAnsi="Times New Roman;serif"/>
                <w:b w:val="false"/>
                <w:i w:val="false"/>
                <w:caps w:val="false"/>
                <w:smallCaps w:val="false"/>
                <w:sz w:val="24"/>
              </w:rPr>
              <w:t>........................................................................................................</w:t>
            </w:r>
          </w:p>
        </w:tc>
        <w:tc>
          <w:tcPr>
            <w:tcW w:w="5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bl>
    <w:tbl>
      <w:tblPr>
        <w:tblW w:w="8102" w:type="dxa"/>
        <w:jc w:val="left"/>
        <w:tblInd w:w="0" w:type="dxa"/>
        <w:tblLayout w:type="fixed"/>
        <w:tblCellMar>
          <w:top w:w="28" w:type="dxa"/>
          <w:left w:w="28" w:type="dxa"/>
          <w:bottom w:w="28" w:type="dxa"/>
          <w:right w:w="28" w:type="dxa"/>
        </w:tblCellMar>
      </w:tblPr>
      <w:tblGrid>
        <w:gridCol w:w="7681"/>
        <w:gridCol w:w="421"/>
      </w:tblGrid>
      <w:tr>
        <w:trPr/>
        <w:tc>
          <w:tcPr>
            <w:tcW w:w="76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76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INDEX TO THE UNAUDITED INTERIM CONDENSED CONSOLIDATED FINANCIAL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STATEMENTS............................................................................................................................................</w:t>
            </w:r>
          </w:p>
        </w:tc>
        <w:tc>
          <w:tcPr>
            <w:tcW w:w="4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INTRODUCTION</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Unless </w:t>
      </w:r>
      <w:r>
        <w:rPr>
          <w:rFonts w:ascii="Times New Roman;serif" w:hAnsi="Times New Roman;serif"/>
          <w:b w:val="false"/>
          <w:i w:val="false"/>
          <w:caps w:val="false"/>
          <w:smallCaps w:val="false"/>
          <w:strike w:val="false"/>
          <w:dstrike w:val="false"/>
          <w:sz w:val="20"/>
          <w:u w:val="none"/>
          <w:effect w:val="none"/>
        </w:rPr>
        <w:t>otherwise</w:t>
      </w:r>
      <w:r>
        <w:rPr>
          <w:caps w:val="false"/>
          <w:smallCaps w:val="false"/>
          <w:sz w:val="24"/>
          <w:u w:val="single"/>
        </w:rPr>
        <w:t xml:space="preserve"> </w:t>
      </w:r>
      <w:r>
        <w:rPr>
          <w:rFonts w:ascii="Times New Roman;serif" w:hAnsi="Times New Roman;serif"/>
          <w:b w:val="false"/>
          <w:i w:val="false"/>
          <w:caps w:val="false"/>
          <w:smallCaps w:val="false"/>
          <w:sz w:val="20"/>
          <w:u w:val="single"/>
        </w:rPr>
        <w:t>indicated or the context otherwise requires, “Abivax,” “the Company,” “the Group,” “we,”</w:t>
      </w:r>
      <w:r>
        <w:rPr>
          <w:caps w:val="false"/>
          <w:smallCaps w:val="false"/>
          <w:sz w:val="24"/>
          <w:u w:val="single"/>
        </w:rPr>
        <w:t xml:space="preserve"> </w:t>
      </w:r>
    </w:p>
    <w:p>
      <w:pPr>
        <w:pStyle w:val="TextBody"/>
        <w:bidi w:val="0"/>
        <w:spacing w:lineRule="atLeast" w:line="200" w:before="0" w:after="0"/>
        <w:jc w:val="both"/>
        <w:rPr>
          <w:u w:val="single"/>
        </w:rPr>
      </w:pPr>
      <w:r>
        <w:rPr>
          <w:caps w:val="false"/>
          <w:smallCaps w:val="false"/>
          <w:u w:val="single"/>
        </w:rPr>
        <w:t>“</w:t>
      </w:r>
      <w:r>
        <w:rPr>
          <w:rFonts w:ascii="Times New Roman;serif" w:hAnsi="Times New Roman;serif"/>
          <w:b w:val="false"/>
          <w:i w:val="false"/>
          <w:caps w:val="false"/>
          <w:smallCaps w:val="false"/>
          <w:sz w:val="20"/>
          <w:u w:val="single"/>
        </w:rPr>
        <w:t>us” and “our” refer to Abivax SA and its consolidated subsidiary, taken as a whole.</w:t>
      </w:r>
      <w:r>
        <w:rPr>
          <w:caps w:val="false"/>
          <w:smallCaps w:val="false"/>
          <w:u w:val="single"/>
        </w:rPr>
        <w:t xml:space="preserve"> </w:t>
      </w:r>
    </w:p>
    <w:p>
      <w:pPr>
        <w:pStyle w:val="TextBody"/>
        <w:bidi w:val="0"/>
        <w:spacing w:lineRule="atLeast" w:line="200" w:before="0" w:after="0"/>
        <w:jc w:val="both"/>
        <w:rPr>
          <w:u w:val="single"/>
        </w:rPr>
      </w:pPr>
      <w:r>
        <w:rPr>
          <w:caps w:val="false"/>
          <w:smallCaps w:val="false"/>
          <w:u w:val="single"/>
        </w:rPr>
        <w:t>“</w:t>
      </w:r>
      <w:r>
        <w:rPr>
          <w:rFonts w:ascii="Times New Roman;serif" w:hAnsi="Times New Roman;serif"/>
          <w:b w:val="false"/>
          <w:i w:val="false"/>
          <w:caps w:val="false"/>
          <w:smallCaps w:val="false"/>
          <w:sz w:val="20"/>
          <w:u w:val="single"/>
        </w:rPr>
        <w:t>Abivax” and the Abivax logo and other trademarks or service marks of Abivax SA appearing in this half-year</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report are the property of Abivax SA. Solely for convenience, the trademarks, service marks and trade names</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 xml:space="preserve">referred to in this half-year report are listed without the </w:t>
      </w:r>
      <w:r>
        <w:rPr>
          <w:rFonts w:ascii="Times New Roman;serif" w:hAnsi="Times New Roman;serif"/>
          <w:b w:val="false"/>
          <w:i w:val="false"/>
          <w:caps w:val="false"/>
          <w:smallCaps w:val="false"/>
          <w:sz w:val="10"/>
          <w:u w:val="single"/>
        </w:rPr>
        <w:t>®</w:t>
      </w:r>
      <w:r>
        <w:rPr>
          <w:caps w:val="false"/>
          <w:smallCaps w:val="false"/>
          <w:u w:val="single"/>
        </w:rPr>
        <w:t xml:space="preserve"> </w:t>
      </w:r>
      <w:r>
        <w:rPr>
          <w:rFonts w:ascii="Times New Roman;serif" w:hAnsi="Times New Roman;serif"/>
          <w:b w:val="false"/>
          <w:i w:val="false"/>
          <w:caps w:val="false"/>
          <w:smallCaps w:val="false"/>
          <w:sz w:val="20"/>
          <w:u w:val="single"/>
        </w:rPr>
        <w:t xml:space="preserve">and </w:t>
      </w:r>
      <w:r>
        <w:rPr>
          <w:caps w:val="false"/>
          <w:smallCaps w:val="false"/>
          <w:u w:val="single"/>
        </w:rPr>
        <w:t xml:space="preserve">™ </w:t>
      </w:r>
      <w:r>
        <w:rPr>
          <w:rFonts w:ascii="Times New Roman;serif" w:hAnsi="Times New Roman;serif"/>
          <w:b w:val="false"/>
          <w:i w:val="false"/>
          <w:caps w:val="false"/>
          <w:smallCaps w:val="false"/>
          <w:sz w:val="20"/>
          <w:u w:val="single"/>
        </w:rPr>
        <w:t>symbols, but such references should not be construed</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as any indicator that their respective owners will not assert, to the fullest extent under applicable law, their right</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thereto. All other trademarks, trade names and service marks appearing in this half-year report are the property of</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 xml:space="preserve">their respective </w:t>
      </w:r>
      <w:r>
        <w:rPr>
          <w:rFonts w:ascii="Times New Roman;serif" w:hAnsi="Times New Roman;serif"/>
          <w:b w:val="false"/>
          <w:i w:val="false"/>
          <w:caps w:val="false"/>
          <w:smallCaps w:val="false"/>
          <w:strike w:val="false"/>
          <w:dstrike w:val="false"/>
          <w:sz w:val="20"/>
          <w:u w:val="none"/>
          <w:effect w:val="none"/>
        </w:rPr>
        <w:t>owners</w:t>
      </w:r>
      <w:r>
        <w:rPr>
          <w:rFonts w:ascii="Times New Roman;serif" w:hAnsi="Times New Roman;serif"/>
          <w:b w:val="false"/>
          <w:i w:val="false"/>
          <w:caps w:val="false"/>
          <w:smallCaps w:val="false"/>
          <w:sz w:val="20"/>
          <w:u w:val="single"/>
        </w:rPr>
        <w:t>. We do not intend to use or display other companies’ trademarks and trade names to imply</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any relationship with, or endorsement or sponsorship of us by, any other companies.</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This half-year report includes our unaudited interim condensed consolidated financial statements of financial</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position as of June 30, 2026 and December 31, 2025 and the related unaudited condensed consolidated statements of</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loss and comprehensive loss for each of the three- and six-month periods ended June 30, 2026 and June 30, 2025</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and the unaudited condensed consolidated statements of cash flows and changes in shareholder's equity for the six-</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month periods ended June 30, 2026 and June 30, 2025, prepared in accordance with International Financial</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Reporting Standards ("IFRS") as issued by the International Accounting Standards Board ("IASB") and adopted by</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the European Union ("EU") regulation n°1606/2022 of July 19, 2022. None of our financial statements were</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 xml:space="preserve">prepared in </w:t>
      </w:r>
      <w:r>
        <w:rPr>
          <w:rFonts w:ascii="Times New Roman;serif" w:hAnsi="Times New Roman;serif"/>
          <w:b w:val="false"/>
          <w:i w:val="false"/>
          <w:caps w:val="false"/>
          <w:smallCaps w:val="false"/>
          <w:strike w:val="false"/>
          <w:dstrike w:val="false"/>
          <w:sz w:val="20"/>
          <w:u w:val="none"/>
          <w:effect w:val="none"/>
        </w:rPr>
        <w:t>accordance</w:t>
      </w:r>
      <w:r>
        <w:rPr>
          <w:caps w:val="false"/>
          <w:smallCaps w:val="false"/>
          <w:u w:val="single"/>
        </w:rPr>
        <w:t xml:space="preserve"> </w:t>
      </w:r>
      <w:r>
        <w:rPr>
          <w:rFonts w:ascii="Times New Roman;serif" w:hAnsi="Times New Roman;serif"/>
          <w:b w:val="false"/>
          <w:i w:val="false"/>
          <w:caps w:val="false"/>
          <w:smallCaps w:val="false"/>
          <w:sz w:val="20"/>
          <w:u w:val="single"/>
        </w:rPr>
        <w:t>with U.S. generally accepted accounting principles ("U.S. GAAP"). Our financial statements</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are presented in euros and, unless otherwise stated, all monetary amounts are in euros. All references in this half-</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year report to “$”, “U.S. dollars” and “dollars” mean U.S. dollars, and all references to “€”, “EUR” and “euros”</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mean European Monetary Union euros, unless otherwise noted. Throughout this half-year report, references to</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"ADSs" mean American Depositary Shares ("ADSs") or ordinary shares represented by such ADSs, as the case may</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be.</w:t>
      </w:r>
    </w:p>
    <w:p>
      <w:pPr>
        <w:pStyle w:val="TextBody"/>
        <w:bidi w:val="0"/>
        <w:spacing w:lineRule="atLeast" w:line="200" w:before="0" w:after="0"/>
        <w:jc w:val="both"/>
        <w:rPr>
          <w:u w:val="single"/>
        </w:rPr>
      </w:pPr>
      <w:r>
        <w:rPr>
          <w:rFonts w:ascii="Times New Roman;serif" w:hAnsi="Times New Roman;serif"/>
          <w:b/>
          <w:i w:val="false"/>
          <w:caps w:val="false"/>
          <w:smallCaps w:val="false"/>
          <w:sz w:val="20"/>
          <w:u w:val="single"/>
        </w:rPr>
        <w:t xml:space="preserve">Special Note Regarding Forward-Looking </w:t>
      </w:r>
      <w:r>
        <w:rPr>
          <w:rFonts w:ascii="Times New Roman;serif" w:hAnsi="Times New Roman;serif"/>
          <w:b/>
          <w:i w:val="false"/>
          <w:caps w:val="false"/>
          <w:smallCaps w:val="false"/>
          <w:strike w:val="false"/>
          <w:dstrike w:val="false"/>
          <w:sz w:val="20"/>
          <w:u w:val="none"/>
          <w:effect w:val="none"/>
        </w:rPr>
        <w:t>Statements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This half-year report contains forward-looking statements within the meaning of Section 27A of the Securities</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Act of 1933, as amended, and Section 21E of the Securities Exchange Act of 1934, as amended ("Exchange Act"),</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that are based on our management’s beliefs and assumptions and on information currently available to our</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management. All statements other than present and historical facts and conditions contained in this half-year</w:t>
      </w:r>
      <w:r>
        <w:rPr>
          <w:caps w:val="false"/>
          <w:smallCaps w:val="false"/>
          <w:u w:val="single"/>
        </w:rPr>
        <w:t xml:space="preserve"> </w:t>
      </w:r>
      <w:r>
        <w:rPr>
          <w:rFonts w:ascii="Times New Roman;serif" w:hAnsi="Times New Roman;serif"/>
          <w:b w:val="false"/>
          <w:i w:val="false"/>
          <w:caps w:val="false"/>
          <w:smallCaps w:val="false"/>
          <w:sz w:val="20"/>
          <w:u w:val="single"/>
        </w:rPr>
        <w:t>report,</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 xml:space="preserve">including statements regarding </w:t>
      </w:r>
      <w:r>
        <w:rPr>
          <w:rFonts w:ascii="Times New Roman;serif" w:hAnsi="Times New Roman;serif"/>
          <w:b w:val="false"/>
          <w:i w:val="false"/>
          <w:caps w:val="false"/>
          <w:smallCaps w:val="false"/>
          <w:strike w:val="false"/>
          <w:dstrike w:val="false"/>
          <w:sz w:val="20"/>
          <w:u w:val="none"/>
          <w:effect w:val="none"/>
        </w:rPr>
        <w:t>our</w:t>
      </w:r>
      <w:r>
        <w:rPr>
          <w:caps w:val="false"/>
          <w:smallCaps w:val="false"/>
          <w:u w:val="single"/>
        </w:rPr>
        <w:t xml:space="preserve"> </w:t>
      </w:r>
      <w:r>
        <w:rPr>
          <w:rFonts w:ascii="Times New Roman;serif" w:hAnsi="Times New Roman;serif"/>
          <w:b w:val="false"/>
          <w:i w:val="false"/>
          <w:caps w:val="false"/>
          <w:smallCaps w:val="false"/>
          <w:sz w:val="20"/>
          <w:u w:val="single"/>
        </w:rPr>
        <w:t>future results of operations and financial positions, business strategy, plans and</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our objectives for future operations, are forward-looking statements. When used in this half-year</w:t>
      </w:r>
      <w:r>
        <w:rPr>
          <w:caps w:val="false"/>
          <w:smallCaps w:val="false"/>
          <w:u w:val="single"/>
        </w:rPr>
        <w:t xml:space="preserve"> </w:t>
      </w:r>
      <w:r>
        <w:rPr>
          <w:rFonts w:ascii="Times New Roman;serif" w:hAnsi="Times New Roman;serif"/>
          <w:b w:val="false"/>
          <w:i w:val="false"/>
          <w:caps w:val="false"/>
          <w:smallCaps w:val="false"/>
          <w:sz w:val="20"/>
          <w:u w:val="single"/>
        </w:rPr>
        <w:t>report, the words</w:t>
      </w:r>
      <w:r>
        <w:rPr>
          <w:caps w:val="false"/>
          <w:smallCaps w:val="false"/>
          <w:u w:val="single"/>
        </w:rPr>
        <w:t xml:space="preserve"> </w:t>
      </w:r>
    </w:p>
    <w:p>
      <w:pPr>
        <w:pStyle w:val="TextBody"/>
        <w:bidi w:val="0"/>
        <w:spacing w:lineRule="atLeast" w:line="200" w:before="0" w:after="0"/>
        <w:jc w:val="both"/>
        <w:rPr>
          <w:u w:val="single"/>
        </w:rPr>
      </w:pPr>
      <w:r>
        <w:rPr>
          <w:caps w:val="false"/>
          <w:smallCaps w:val="false"/>
          <w:u w:val="single"/>
        </w:rPr>
        <w:t>“</w:t>
      </w:r>
      <w:r>
        <w:rPr>
          <w:rFonts w:ascii="Times New Roman;serif" w:hAnsi="Times New Roman;serif"/>
          <w:b w:val="false"/>
          <w:i w:val="false"/>
          <w:caps w:val="false"/>
          <w:smallCaps w:val="false"/>
          <w:sz w:val="20"/>
          <w:u w:val="single"/>
        </w:rPr>
        <w:t>anticipate,” “believe,” “can,” “could,” “estimate,” “expect,” “intend,” “is designed to,” “may,” “might,” “plan,”</w:t>
      </w:r>
      <w:r>
        <w:rPr>
          <w:caps w:val="false"/>
          <w:smallCaps w:val="false"/>
          <w:u w:val="single"/>
        </w:rPr>
        <w:t xml:space="preserve"> </w:t>
      </w:r>
    </w:p>
    <w:p>
      <w:pPr>
        <w:pStyle w:val="TextBody"/>
        <w:bidi w:val="0"/>
        <w:spacing w:lineRule="atLeast" w:line="200" w:before="0" w:after="0"/>
        <w:jc w:val="both"/>
        <w:rPr>
          <w:u w:val="single"/>
        </w:rPr>
      </w:pPr>
      <w:r>
        <w:rPr>
          <w:caps w:val="false"/>
          <w:smallCaps w:val="false"/>
          <w:u w:val="single"/>
        </w:rPr>
        <w:t>“</w:t>
      </w:r>
      <w:r>
        <w:rPr>
          <w:rFonts w:ascii="Times New Roman;serif" w:hAnsi="Times New Roman;serif"/>
          <w:b w:val="false"/>
          <w:i w:val="false"/>
          <w:caps w:val="false"/>
          <w:smallCaps w:val="false"/>
          <w:sz w:val="20"/>
          <w:u w:val="single"/>
        </w:rPr>
        <w:t>will,” “would,” “potential,” “predict,” “objective,” “should,” or the negative of these and similar expressions</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identify forward-looking statements. Forward-looking statements include, but are not limited to, statements about:</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prospects of attaining, maintaining and expanding marketing authorization for our lead drug candidate,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obefazimod;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potential attributes and clinical advantages of obefazimod and our future drug candidates;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initiation, timing, progress and results of our preclinical and clinical trials (and those conducted by third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parties) and other research and development programs;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trike w:val="false"/>
          <w:dstrike w:val="false"/>
          <w:sz w:val="20"/>
          <w:u w:val="none"/>
          <w:effect w:val="none"/>
        </w:rPr>
        <w:t xml:space="preserve">the timing of the availability of data from our clinical trials, including our Phase 2b trial of obefazimod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Crohn’s disease;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timing of and our ability to advance drug candidates through clinical development;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timing or likelihood of regulatory meetings and filings;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timing of and our ability to obtain and maintain regulatory approvals for obefazimod and any of our </w:t>
      </w:r>
    </w:p>
    <w:p>
      <w:pPr>
        <w:pStyle w:val="TextBody"/>
        <w:bidi w:val="0"/>
        <w:spacing w:lineRule="atLeast" w:line="200" w:before="0" w:after="0"/>
        <w:jc w:val="left"/>
        <w:rPr/>
      </w:pPr>
      <w:r>
        <w:rPr>
          <w:rFonts w:ascii="Times New Roman;serif" w:hAnsi="Times New Roman;serif"/>
          <w:b w:val="false"/>
          <w:i w:val="false"/>
          <w:caps w:val="false"/>
          <w:smallCaps w:val="false"/>
          <w:sz w:val="20"/>
        </w:rPr>
        <w:t>future</w:t>
      </w:r>
      <w:r>
        <w:rPr>
          <w:caps w:val="false"/>
          <w:smallCaps w:val="false"/>
        </w:rPr>
        <w:t xml:space="preserve"> </w:t>
      </w:r>
      <w:r>
        <w:rPr>
          <w:rFonts w:ascii="Times New Roman;serif" w:hAnsi="Times New Roman;serif"/>
          <w:b w:val="false"/>
          <w:i w:val="false"/>
          <w:caps w:val="false"/>
          <w:smallCaps w:val="false"/>
          <w:sz w:val="20"/>
        </w:rPr>
        <w:t xml:space="preserve">drug candidates;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our ability to identify and develop new drug candidates from our preclinical studies;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our ability to develop sales and marketing capabilities and transition into a commercial-stage company;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effects of increased competition as well as innovations by new and existing competitors in our industry;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our ability to enter into strategic relationships or partnerships; </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 xml:space="preserve">our ability to obtain, maintain, protect and enforce our intellectual property rights and proprietary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technologies and to operate our business without infringing the intellectual property rights and proprietary </w:t>
      </w:r>
    </w:p>
    <w:p>
      <w:pPr>
        <w:pStyle w:val="TextBody"/>
        <w:bidi w:val="0"/>
        <w:spacing w:lineRule="atLeast" w:line="24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technology of third parties; </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trike w:val="false"/>
          <w:dstrike w:val="false"/>
          <w:sz w:val="20"/>
          <w:u w:val="none"/>
          <w:effect w:val="none"/>
        </w:rPr>
        <w:t xml:space="preserve">our estimate of the period of time through which we anticipate our financial resources will be adequate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support our operations;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our estimates regarding expenses, future revenues, capital requirements and the need for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the impact of government laws and regulations;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our competitive position;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unfavorable conditions in our industry, the global economy or global supply chain, including financial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credit market fluctuations, international trade relations, political turmoil, natural catastrophes, warfare (such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the Russia-Ukraine war and the conflict in the Middle East), and terrorist attacks.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encourage you to read and carefully consider all of the risk factors disclosed in our annual report on Form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20-F for the year ended December 31, 2025 filed with the Securities and Exchange Commission ("SEC") on March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23, 2026 (the "Annual Report") under the caption “Item 3.D—Risk Factors” for a more complete understanding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the risks and uncertaintie</w:t>
      </w:r>
      <w:r>
        <w:rPr>
          <w:rFonts w:ascii="Times New Roman;serif" w:hAnsi="Times New Roman;serif"/>
          <w:b w:val="false"/>
          <w:i w:val="false"/>
          <w:caps w:val="false"/>
          <w:smallCaps w:val="false"/>
          <w:strike w:val="false"/>
          <w:dstrike w:val="false"/>
          <w:sz w:val="20"/>
          <w:u w:val="none"/>
          <w:effect w:val="none"/>
        </w:rPr>
        <w:t xml:space="preserve">s that we believe are </w:t>
      </w:r>
      <w:r>
        <w:rPr>
          <w:rFonts w:ascii="Times New Roman;serif" w:hAnsi="Times New Roman;serif"/>
          <w:b w:val="false"/>
          <w:i w:val="false"/>
          <w:caps w:val="false"/>
          <w:smallCaps w:val="false"/>
          <w:sz w:val="20"/>
        </w:rPr>
        <w:t xml:space="preserve">material to our business, including important factors that may cause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actual results to differ materially from those expressed or implied by our forward-looking statements. As a result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these factors, we cannot assure you that the forward-looking statements in this document will prove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accurate. Furthermore, if our forward-looking statements prove to be inaccurate, the inaccuracy may be material.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light of the significant uncertainties in these forward-looking statements, you should not regard these statements as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representation or warranty by us or any other person that we will achieve our objectives and plans in any specified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time frame or at all. These forward-looking statements represent our plans, objectives, estimates, expectations and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intentions only as of the date of this </w:t>
      </w:r>
      <w:r>
        <w:rPr>
          <w:rFonts w:ascii="Times New Roman;serif" w:hAnsi="Times New Roman;serif"/>
          <w:b w:val="false"/>
          <w:i w:val="false"/>
          <w:caps w:val="false"/>
          <w:smallCaps w:val="false"/>
          <w:strike w:val="false"/>
          <w:dstrike w:val="false"/>
          <w:sz w:val="20"/>
          <w:u w:val="none"/>
          <w:effect w:val="none"/>
        </w:rPr>
        <w:t>filing</w:t>
      </w:r>
      <w:r>
        <w:rPr>
          <w:rFonts w:ascii="Times New Roman;serif" w:hAnsi="Times New Roman;serif"/>
          <w:b w:val="false"/>
          <w:i w:val="false"/>
          <w:caps w:val="false"/>
          <w:smallCaps w:val="false"/>
          <w:sz w:val="20"/>
        </w:rPr>
        <w:t xml:space="preserve">. We undertake no obligation to publicly update any forward-looking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statements, whether as a result of new information, future events or otherwise, except as required by law.</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You should read this document and the documents that we reference herein completely and with the</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 xml:space="preserve">understanding that our actual future </w:t>
      </w:r>
      <w:r>
        <w:rPr>
          <w:rFonts w:ascii="Times New Roman;serif" w:hAnsi="Times New Roman;serif"/>
          <w:b w:val="false"/>
          <w:i w:val="false"/>
          <w:caps w:val="false"/>
          <w:smallCaps w:val="false"/>
          <w:strike w:val="false"/>
          <w:dstrike w:val="false"/>
          <w:sz w:val="20"/>
          <w:u w:val="none"/>
          <w:effect w:val="none"/>
        </w:rPr>
        <w:t>results</w:t>
      </w:r>
      <w:r>
        <w:rPr>
          <w:caps w:val="false"/>
          <w:smallCaps w:val="false"/>
          <w:u w:val="single"/>
        </w:rPr>
        <w:t xml:space="preserve"> </w:t>
      </w:r>
      <w:r>
        <w:rPr>
          <w:rFonts w:ascii="Times New Roman;serif" w:hAnsi="Times New Roman;serif"/>
          <w:b w:val="false"/>
          <w:i w:val="false"/>
          <w:caps w:val="false"/>
          <w:smallCaps w:val="false"/>
          <w:sz w:val="20"/>
          <w:u w:val="single"/>
        </w:rPr>
        <w:t>may be materially different from what we expect. We qualify all of our</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forward-looking statements by these cautionary statements.</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Rounding of Figures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Certain figures (including data expressed in thousands or millions of euros or dollars) and the percentages</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presented in this</w:t>
      </w:r>
      <w:r>
        <w:rPr>
          <w:caps w:val="false"/>
          <w:smallCaps w:val="false"/>
          <w:u w:val="single"/>
        </w:rPr>
        <w:t xml:space="preserve"> </w:t>
      </w:r>
      <w:r>
        <w:rPr>
          <w:rFonts w:ascii="Times New Roman;serif" w:hAnsi="Times New Roman;serif"/>
          <w:b w:val="false"/>
          <w:i w:val="false"/>
          <w:caps w:val="false"/>
          <w:smallCaps w:val="false"/>
          <w:sz w:val="20"/>
          <w:u w:val="single"/>
        </w:rPr>
        <w:t>half-year</w:t>
      </w:r>
      <w:r>
        <w:rPr>
          <w:caps w:val="false"/>
          <w:smallCaps w:val="false"/>
          <w:u w:val="single"/>
        </w:rPr>
        <w:t xml:space="preserve"> </w:t>
      </w:r>
      <w:r>
        <w:rPr>
          <w:rFonts w:ascii="Times New Roman;serif" w:hAnsi="Times New Roman;serif"/>
          <w:b w:val="false"/>
          <w:i w:val="false"/>
          <w:caps w:val="false"/>
          <w:smallCaps w:val="false"/>
          <w:sz w:val="20"/>
          <w:u w:val="single"/>
        </w:rPr>
        <w:t xml:space="preserve">report have been </w:t>
      </w:r>
      <w:r>
        <w:rPr>
          <w:rFonts w:ascii="Times New Roman;serif" w:hAnsi="Times New Roman;serif"/>
          <w:b w:val="false"/>
          <w:i w:val="false"/>
          <w:caps w:val="false"/>
          <w:smallCaps w:val="false"/>
          <w:strike w:val="false"/>
          <w:dstrike w:val="false"/>
          <w:sz w:val="20"/>
          <w:u w:val="none"/>
          <w:effect w:val="none"/>
        </w:rPr>
        <w:t>rounded</w:t>
      </w:r>
      <w:r>
        <w:rPr>
          <w:caps w:val="false"/>
          <w:smallCaps w:val="false"/>
          <w:u w:val="single"/>
        </w:rPr>
        <w:t xml:space="preserve"> </w:t>
      </w:r>
      <w:r>
        <w:rPr>
          <w:rFonts w:ascii="Times New Roman;serif" w:hAnsi="Times New Roman;serif"/>
          <w:b w:val="false"/>
          <w:i w:val="false"/>
          <w:caps w:val="false"/>
          <w:smallCaps w:val="false"/>
          <w:sz w:val="20"/>
          <w:u w:val="single"/>
        </w:rPr>
        <w:t>up or down. Accordingly, totals given may vary slightly from</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those obtained by adding the rounded values of those same figures.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 FACTORS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business faces significant risks. You should carefully consider all of the information set forth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in this document and in the </w:t>
      </w:r>
      <w:r>
        <w:rPr>
          <w:rFonts w:ascii="Times New Roman;serif" w:hAnsi="Times New Roman;serif"/>
          <w:b w:val="false"/>
          <w:i w:val="false"/>
          <w:caps w:val="false"/>
          <w:smallCaps w:val="false"/>
          <w:strike w:val="false"/>
          <w:dstrike w:val="false"/>
          <w:sz w:val="20"/>
          <w:u w:val="none"/>
          <w:effect w:val="none"/>
        </w:rPr>
        <w:t>Company’s</w:t>
      </w:r>
      <w:r>
        <w:rPr>
          <w:caps w:val="false"/>
          <w:smallCaps w:val="false"/>
        </w:rPr>
        <w:t xml:space="preserve"> </w:t>
      </w:r>
      <w:r>
        <w:rPr>
          <w:rFonts w:ascii="Times New Roman;serif" w:hAnsi="Times New Roman;serif"/>
          <w:b w:val="false"/>
          <w:i w:val="false"/>
          <w:caps w:val="false"/>
          <w:smallCaps w:val="false"/>
          <w:sz w:val="20"/>
        </w:rPr>
        <w:t xml:space="preserve">other filings with the SEC, including the risk factors which the Company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faces and which are faced by the </w:t>
      </w:r>
      <w:r>
        <w:rPr>
          <w:rFonts w:ascii="Times New Roman;serif" w:hAnsi="Times New Roman;serif"/>
          <w:b w:val="false"/>
          <w:i w:val="false"/>
          <w:caps w:val="false"/>
          <w:smallCaps w:val="false"/>
          <w:strike w:val="false"/>
          <w:dstrike w:val="false"/>
          <w:sz w:val="20"/>
          <w:u w:val="none"/>
          <w:effect w:val="none"/>
        </w:rPr>
        <w:t>Company’s</w:t>
      </w:r>
      <w:r>
        <w:rPr>
          <w:caps w:val="false"/>
          <w:smallCaps w:val="false"/>
        </w:rPr>
        <w:t xml:space="preserve"> </w:t>
      </w:r>
      <w:r>
        <w:rPr>
          <w:rFonts w:ascii="Times New Roman;serif" w:hAnsi="Times New Roman;serif"/>
          <w:b w:val="false"/>
          <w:i w:val="false"/>
          <w:caps w:val="false"/>
          <w:smallCaps w:val="false"/>
          <w:sz w:val="20"/>
        </w:rPr>
        <w:t xml:space="preserve">industry described in “Item 3.D—Risk Factors” of the Company’s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Annual Report on Form 20-F for the fiscal year ended December 31, 2025. Our risk factors have not changed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materially from those described in our Annual Report on Form 20-</w:t>
      </w:r>
      <w:r>
        <w:rPr>
          <w:rFonts w:ascii="Times New Roman;serif" w:hAnsi="Times New Roman;serif"/>
          <w:b w:val="false"/>
          <w:i w:val="false"/>
          <w:caps w:val="false"/>
          <w:smallCaps w:val="false"/>
          <w:strike w:val="false"/>
          <w:dstrike w:val="false"/>
          <w:sz w:val="20"/>
          <w:u w:val="none"/>
          <w:effect w:val="none"/>
        </w:rPr>
        <w:t xml:space="preserve">F. </w:t>
      </w:r>
      <w:r>
        <w:rPr>
          <w:rFonts w:ascii="Times New Roman;serif" w:hAnsi="Times New Roman;serif"/>
          <w:b w:val="false"/>
          <w:i w:val="false"/>
          <w:caps w:val="false"/>
          <w:smallCaps w:val="false"/>
          <w:sz w:val="20"/>
        </w:rPr>
        <w:t xml:space="preserve">Our business, financial condition or results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operations could be materially adversely affected by any of these risks.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OPERATING RESULTS</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Overview</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are a clinical-stage biotechnology company focused on developing therapeutics that harness the body’s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natural regulatory mechanisms to stabilize the immune response in patients with chronic inflammatory diseases. Our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lead drug candidate, obefazimod, is currently being evaluated in the following indications: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z w:val="20"/>
          <w:u w:val="single"/>
        </w:rPr>
        <w:t>Ulcerative colitis ("UC")</w:t>
      </w:r>
      <w:r>
        <w:rPr>
          <w:rFonts w:ascii="Times New Roman;serif" w:hAnsi="Times New Roman;serif"/>
          <w:b w:val="false"/>
          <w:i w:val="false"/>
          <w:caps w:val="false"/>
          <w:smallCaps w:val="false"/>
          <w:strike w:val="false"/>
          <w:dstrike w:val="false"/>
          <w:sz w:val="20"/>
          <w:u w:val="none"/>
          <w:effect w:val="none"/>
        </w:rPr>
        <w: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Phase 3 clinical trials for the treatment of adults with moderately to severely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active UC are ongoing ("ABTECT").  On July 22, 2025, we announced the positive Phase 3 results of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ABTECT 8-week induction trials. On June 1, 2026, we announced positive results from Part 1 of the Phase 3</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ABTECT 44-week maintenance trial, demonstrating strong efficacy, including robust endoscopic remission,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and on June 29, 2026, we announced positive topline results from Part 2 of the maintenance trial. Part 2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maintenance trial enrolled patients who either did not achieve clinical response following induction treatment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or who experienced disease relapse during the re-randomized maintenance trial (Part 1), expanding both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efficacy and safety results in a more refractory patient population than the registrational maintenance cohort.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Following a positive pre-NDA ("New Drug Application") interaction with the U.S. Food and Drug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Administration ("FDA"), we aligned with the agency on the planned content, format and submission strategy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for obefazimod’s NDA for adults with moderately to severely active UC. We believe we remain on track to</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submit our NDA to the U.S. FDA in the fourth quarter of 2026.</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z w:val="20"/>
          <w:u w:val="single"/>
        </w:rPr>
        <w:t>Crohn’s disease ("CD")</w:t>
      </w:r>
      <w:r>
        <w:rPr>
          <w:rFonts w:ascii="Times New Roman;serif" w:hAnsi="Times New Roman;serif"/>
          <w:b w:val="false"/>
          <w:i w:val="false"/>
          <w:caps w:val="false"/>
          <w:smallCaps w:val="false"/>
          <w:strike w:val="false"/>
          <w:dstrike w:val="false"/>
          <w:sz w:val="20"/>
          <w:u w:val="none"/>
          <w:effect w:val="none"/>
        </w:rPr>
        <w:t>: Our ENHANCE-CD Phase 2b clinical trial of obefazimod in patients with CD is</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still ongoing, and the 12-week induction topline data read-out is expected in mid-2027.</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z w:val="20"/>
          <w:u w:val="single"/>
        </w:rPr>
        <w:t>Combination therapy</w:t>
      </w:r>
      <w:r>
        <w:rPr>
          <w:rFonts w:ascii="Times New Roman;serif" w:hAnsi="Times New Roman;serif"/>
          <w:b w:val="false"/>
          <w:i w:val="false"/>
          <w:caps w:val="false"/>
          <w:smallCaps w:val="false"/>
          <w:strike w:val="false"/>
          <w:dstrike w:val="false"/>
          <w:sz w:val="20"/>
          <w:u w:val="none"/>
          <w:effect w:val="none"/>
        </w:rPr>
        <w:t>: In September 2024, we announced initial preclinical combination data of obefazimod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combined with etrasimod in a mouse model of </w:t>
      </w:r>
      <w:r>
        <w:rPr>
          <w:rFonts w:ascii="Times New Roman;serif" w:hAnsi="Times New Roman;serif"/>
          <w:b w:val="false"/>
          <w:i w:val="false"/>
          <w:caps w:val="false"/>
          <w:smallCaps w:val="false"/>
          <w:sz w:val="20"/>
          <w:u w:val="single"/>
        </w:rPr>
        <w:t>inflammatory bowel diseases ("</w:t>
      </w:r>
      <w:r>
        <w:rPr>
          <w:rFonts w:ascii="Times New Roman;serif" w:hAnsi="Times New Roman;serif"/>
          <w:b w:val="false"/>
          <w:i w:val="false"/>
          <w:caps w:val="false"/>
          <w:smallCaps w:val="false"/>
          <w:strike w:val="false"/>
          <w:dstrike w:val="false"/>
          <w:sz w:val="20"/>
          <w:u w:val="none"/>
          <w:effect w:val="none"/>
        </w:rPr>
        <w:t>IBD"). The results showed that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treatment with the combination improved the response on body weight protection and Disease Activity Index</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and a synergistic and statistically significant reduction of several cytokines (TNFa, IL-17, IL-6, IFNg) in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blood compared to each drug alone. Additional preclinical data to support our decision-making on a</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combination agent is expected by the end of 2026.</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z w:val="20"/>
          <w:u w:val="single"/>
        </w:rPr>
        <w:t>Anti-fibrotic effects</w:t>
      </w:r>
      <w:r>
        <w:rPr>
          <w:rFonts w:ascii="Times New Roman;serif" w:hAnsi="Times New Roman;serif"/>
          <w:b w:val="false"/>
          <w:i w:val="false"/>
          <w:caps w:val="false"/>
          <w:smallCaps w:val="false"/>
          <w:strike w:val="false"/>
          <w:dstrike w:val="false"/>
          <w:sz w:val="20"/>
          <w:u w:val="none"/>
          <w:effect w:val="none"/>
        </w:rPr>
        <w:t>: In February 2026, we announced the results of two pre-clinical sets of experiments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that were performed to assess the anti-fibrotic effects of obefazimod.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addition, we have launched a research and development program to generate new potential drug candidates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to strengthen our intellectual property portfolio on the miR-124 platform and to identify additional drug candidates</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from our proprietary small molecule library that includes additional miR-124 enhancers.  We expect to announce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selection of a follow-on compound in 2026.</w:t>
      </w:r>
    </w:p>
    <w:p>
      <w:pPr>
        <w:pStyle w:val="TextBody"/>
        <w:bidi w:val="0"/>
        <w:spacing w:lineRule="atLeast" w:line="200" w:before="0" w:after="0"/>
        <w:jc w:val="both"/>
        <w:rPr>
          <w:u w:val="single"/>
        </w:rPr>
      </w:pPr>
      <w:r>
        <w:rPr>
          <w:rFonts w:ascii="Times New Roman;serif" w:hAnsi="Times New Roman;serif"/>
          <w:b/>
          <w:i w:val="false"/>
          <w:caps w:val="false"/>
          <w:smallCaps w:val="false"/>
          <w:strike w:val="false"/>
          <w:dstrike w:val="false"/>
          <w:sz w:val="20"/>
          <w:u w:val="none"/>
          <w:effect w:val="none"/>
        </w:rPr>
        <w:t>Recent Developments</w:t>
      </w:r>
      <w:r>
        <w:rPr>
          <w:caps w:val="false"/>
          <w:smallCaps w:val="false"/>
          <w:strike w:val="false"/>
          <w:dstrike w:val="false"/>
          <w:u w:val="none"/>
          <w:effect w:val="none"/>
        </w:rPr>
        <w:t xml:space="preserve"> </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Completion</w:t>
      </w:r>
      <w:r>
        <w:rPr>
          <w:strike w:val="false"/>
          <w:dstrike w:val="false"/>
          <w:sz w:val="24"/>
          <w:u w:val="none"/>
          <w:effect w:val="none"/>
        </w:rPr>
        <w:t xml:space="preserve"> </w:t>
      </w:r>
      <w:r>
        <w:rPr>
          <w:rFonts w:ascii="Times New Roman;serif" w:hAnsi="Times New Roman;serif"/>
          <w:b/>
          <w:i/>
          <w:strike w:val="false"/>
          <w:dstrike w:val="false"/>
          <w:sz w:val="20"/>
          <w:u w:val="none"/>
          <w:effect w:val="none"/>
        </w:rPr>
        <w:t xml:space="preserve">of Public Offering on Nasdaq </w:t>
      </w:r>
      <w:r>
        <w:rPr>
          <w:strike w:val="false"/>
          <w:dstrike w:val="false"/>
          <w:sz w:val="24"/>
          <w:u w:val="none"/>
          <w:effect w:val="none"/>
        </w:rPr>
        <w:t xml:space="preserve">– </w:t>
      </w:r>
      <w:r>
        <w:rPr>
          <w:rFonts w:ascii="Times New Roman;serif" w:hAnsi="Times New Roman;serif"/>
          <w:b/>
          <w:i/>
          <w:strike w:val="false"/>
          <w:dstrike w:val="false"/>
          <w:sz w:val="20"/>
          <w:u w:val="none"/>
          <w:effect w:val="none"/>
        </w:rPr>
        <w:t xml:space="preserve">July 2026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On July 6, 2026, we announced the completion of an underwritten public offering of 7,360,000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ADSs (the</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2026 Offering”), each representing one ordinary share of the Company, which includes the full exercise of the</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underwriters’ option to purchase additional ADSs, at a price of $125.00 per ADS (corresponding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109.71 per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ordinary share, based on the exchange rate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$1.1394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published by the European Central Bank on June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30, 2026). 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net proceeds, after deducting underwriting commissions and estimated offering expenses, were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approximately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$874.1 million, equivalent to approximately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767.1 million.</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believe that the net proceeds from the 2026 Offering, together with our current cash and cash</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equivalents, will allow us to finance our operations for at least 12 months from the date of issuance of the </w:t>
      </w:r>
      <w:r>
        <w:rPr>
          <w:rFonts w:ascii="Times New Roman;serif" w:hAnsi="Times New Roman;serif"/>
          <w:b w:val="false"/>
          <w:i w:val="false"/>
          <w:caps w:val="false"/>
          <w:smallCaps w:val="false"/>
          <w:sz w:val="20"/>
          <w:u w:val="single"/>
        </w:rPr>
        <w:t>unaudited</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 xml:space="preserve">interim condensed </w:t>
      </w:r>
      <w:r>
        <w:rPr>
          <w:rFonts w:ascii="Times New Roman;serif" w:hAnsi="Times New Roman;serif"/>
          <w:b w:val="false"/>
          <w:i w:val="false"/>
          <w:caps w:val="false"/>
          <w:smallCaps w:val="false"/>
          <w:strike w:val="false"/>
          <w:dstrike w:val="false"/>
          <w:sz w:val="20"/>
          <w:u w:val="none"/>
          <w:effect w:val="none"/>
        </w:rPr>
        <w:t xml:space="preserve">consolidated financial statements included in </w:t>
      </w:r>
      <w:r>
        <w:rPr>
          <w:rFonts w:ascii="Times New Roman;serif" w:hAnsi="Times New Roman;serif"/>
          <w:b w:val="false"/>
          <w:i w:val="false"/>
          <w:caps w:val="false"/>
          <w:smallCaps w:val="false"/>
          <w:sz w:val="20"/>
          <w:u w:val="single"/>
        </w:rPr>
        <w:t>this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half-year report.</w:t>
      </w:r>
    </w:p>
    <w:p>
      <w:pPr>
        <w:pStyle w:val="TextBody"/>
        <w:bidi w:val="0"/>
        <w:spacing w:lineRule="atLeast" w:line="200" w:before="0" w:after="0"/>
        <w:jc w:val="both"/>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Royalty Certificate Repurchase</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On May 4, 2026, we entered into a purchase agreement with the holders of our royalty certificates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Holders”) pursuant to which we repurchased all of our royalty certificates for an aggregate price of $90 million</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(approximately €76.5 million), of which $45 million was paid in cash on May 7, 2026.</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were granted an interest-free vendor’s loan ("</w:t>
      </w:r>
      <w:r>
        <w:rPr>
          <w:rFonts w:ascii="Times New Roman;serif" w:hAnsi="Times New Roman;serif"/>
          <w:b w:val="false"/>
          <w:i/>
          <w:strike w:val="false"/>
          <w:dstrike w:val="false"/>
          <w:sz w:val="20"/>
          <w:u w:val="none"/>
          <w:effect w:val="none"/>
        </w:rPr>
        <w:t>crédit vendeur</w:t>
      </w:r>
      <w:r>
        <w:rPr>
          <w:rFonts w:ascii="Times New Roman;serif" w:hAnsi="Times New Roman;serif"/>
          <w:b w:val="false"/>
          <w:i w:val="false"/>
          <w:caps w:val="false"/>
          <w:smallCaps w:val="false"/>
          <w:strike w:val="false"/>
          <w:dstrike w:val="false"/>
          <w:sz w:val="20"/>
          <w:u w:val="none"/>
          <w:effect w:val="none"/>
        </w:rPr>
        <w:t>") in a total amount equal to the remaining $45</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million, which was reinvested in our securities by way of set-off against the subscription price of 403,347 ordinary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shares represented by ADSs issued to the Holders, at an offering price of $111.57 per ADS (corresponding to €95.34</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per ordinary share). The set-off and the corresponding issuance and delivery of the ADSs to the Holders occurred on</w:t>
      </w:r>
      <w:r>
        <w:rPr>
          <w:caps w:val="false"/>
          <w:smallCaps w:val="false"/>
          <w:strike w:val="false"/>
          <w:dstrike w:val="false"/>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May 7, 2026. The vendor’s loan was fully extinguished at that date. All of the royalty certificates were immediately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cancelled following the transaction.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repurchase of our royalty certificates on May 7, 2026 resulted in the recognition of an expense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approximately €43.2 million in the second quarter of 2026. The amount corresponds to the difference between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royalty certificates' carrying amount on the repurchase date of €33.5 million and the total consideration transferred,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comprising cash and equity consideration of €38.2 million and €38.5 million, respectively, based on the exchange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rates prevailing at the capital increase date and the settlement dates (including the €0.2 million effect of a net foreign</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exchange loss on the cash settlement). Consequently, the €5.8 million deferred tax liability recognized in our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statements of financial position as of December 31, 2025 has been derecognized, and a corresponding tax income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has been recognized, for the six-month period ended June 30, 2026.</w:t>
      </w:r>
    </w:p>
    <w:p>
      <w:pPr>
        <w:pStyle w:val="TextBody"/>
        <w:bidi w:val="0"/>
        <w:spacing w:lineRule="atLeast" w:line="200" w:before="0" w:after="0"/>
        <w:jc w:val="both"/>
        <w:rPr>
          <w:sz w:val="24"/>
          <w:u w:val="single"/>
        </w:rPr>
      </w:pPr>
      <w:r>
        <w:rPr>
          <w:rFonts w:ascii="Times New Roman;serif" w:hAnsi="Times New Roman;serif"/>
          <w:b/>
          <w:i/>
          <w:strike w:val="false"/>
          <w:dstrike w:val="false"/>
          <w:sz w:val="20"/>
          <w:u w:val="none"/>
          <w:effect w:val="none"/>
        </w:rPr>
        <w:t>Three-Year Interim Data</w:t>
      </w:r>
      <w:r>
        <w:rPr>
          <w:strike w:val="false"/>
          <w:dstrike w:val="false"/>
          <w:sz w:val="24"/>
          <w:u w:val="none"/>
          <w:effect w:val="none"/>
        </w:rPr>
        <w:t xml:space="preserve"> </w:t>
      </w:r>
      <w:r>
        <w:rPr>
          <w:rFonts w:ascii="Times New Roman;serif" w:hAnsi="Times New Roman;serif"/>
          <w:b/>
          <w:i/>
          <w:strike w:val="false"/>
          <w:dstrike w:val="false"/>
          <w:sz w:val="20"/>
          <w:u w:val="none"/>
          <w:effect w:val="none"/>
        </w:rPr>
        <w:t>from Our Phase 2a/2b Open-Label Extension Trial (Study 108) of Obefazimod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May 22, 2026, we reported three-year interim data from Study 108, a Phase 2a/2b open-label maintenance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("OLM") trial of obefazimod following dose de-escalation in patients with ulcerative colitis. In this study, patients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who had completed the four-year Phase 2a or two-year Phase 2b OLM trials, where they had received 50 mg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once-daily obefazimod, were given the opportunity to continue receiving obefazimod at a reduced dose of 25 mg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daily for up to five additional years (provided they met the eligibility criteria of Mayo Endoscopic Subscore = 0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 A total of 130 patients entered the trial, and as of the January 5, 2026 cutoff date, 80% (104/130) were still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enrolled and completed the full 144-week evaluation.</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At study baseline, 89% (116/130) of patients were in clinical remission. At weeks 48, 96 and 144 of treatment,</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73% (95/130), 69% (90/130), and 68% (88/130) of patients evaluated were in clinical remission, respectively.</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Clinical remission, inclusive of endoscopic subscore, was evaluated in the intent-to-treat population using non-</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responder imputation. Similar trends were observed with other efficacy analyses, and no new safety signals were</w:t>
      </w:r>
      <w:r>
        <w:rPr>
          <w:caps w:val="false"/>
          <w:smallCaps w:val="false"/>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observed. </w:t>
      </w:r>
      <w:r>
        <w:rPr>
          <w:rFonts w:ascii="Times New Roman;serif" w:hAnsi="Times New Roman;serif"/>
          <w:b w:val="false"/>
          <w:i w:val="false"/>
          <w:caps w:val="false"/>
          <w:smallCaps w:val="false"/>
          <w:strike w:val="false"/>
          <w:dstrike w:val="false"/>
          <w:sz w:val="20"/>
          <w:u w:val="none"/>
          <w:effect w:val="none"/>
        </w:rPr>
        <w:t>We believe these data demonstrated durable clinical remission and a favorable long-term safety profile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with up to seven years of obefazimod exposure, reinforcing the durability and safety data observed across the Phase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3 ABTECT program</w:t>
      </w:r>
      <w:r>
        <w:rPr>
          <w:rFonts w:ascii="Times New Roman;serif" w:hAnsi="Times New Roman;serif"/>
          <w:b w:val="false"/>
          <w:i w:val="false"/>
          <w:caps w:val="false"/>
          <w:smallCaps w:val="false"/>
          <w:sz w:val="20"/>
          <w:u w:val="single"/>
        </w:rPr>
        <w:t>.</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Results of Operations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discussion covers the material changes in financial condition and results of operations for the three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six-months ended June 30, 2025 and June 30, 2026, for which consolidated statements of loss are presented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accompanying financial statements.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Comparison of the Three Months Ended June 30 2025 and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The following table sets forth our results of operations for the </w:t>
      </w:r>
      <w:r>
        <w:rPr>
          <w:rFonts w:ascii="Times New Roman;serif" w:hAnsi="Times New Roman;serif"/>
          <w:b w:val="false"/>
          <w:i w:val="false"/>
          <w:caps w:val="false"/>
          <w:smallCaps w:val="false"/>
          <w:sz w:val="20"/>
          <w:u w:val="single"/>
        </w:rPr>
        <w:t>three months ended June 30 2026 and 2025</w:t>
      </w:r>
      <w:r>
        <w:rPr>
          <w:rFonts w:ascii="Times New Roman;serif" w:hAnsi="Times New Roman;serif"/>
          <w:b w:val="false"/>
          <w:i w:val="false"/>
          <w:caps w:val="false"/>
          <w:smallCaps w:val="false"/>
          <w:strike w:val="false"/>
          <w:dstrike w:val="false"/>
          <w:sz w:val="20"/>
          <w:u w:val="none"/>
          <w:effect w:val="none"/>
          <w:shd w:fill="FFFFFF" w:val="clear"/>
        </w:rPr>
        <w:t>.</w:t>
      </w:r>
    </w:p>
    <w:tbl>
      <w:tblPr>
        <w:tblW w:w="8329" w:type="dxa"/>
        <w:jc w:val="left"/>
        <w:tblInd w:w="0" w:type="dxa"/>
        <w:tblLayout w:type="fixed"/>
        <w:tblCellMar>
          <w:top w:w="28" w:type="dxa"/>
          <w:left w:w="28" w:type="dxa"/>
          <w:bottom w:w="28" w:type="dxa"/>
          <w:right w:w="28" w:type="dxa"/>
        </w:tblCellMar>
      </w:tblPr>
      <w:tblGrid>
        <w:gridCol w:w="4741"/>
        <w:gridCol w:w="1216"/>
        <w:gridCol w:w="1216"/>
        <w:gridCol w:w="1156"/>
      </w:tblGrid>
      <w:tr>
        <w:trPr/>
        <w:tc>
          <w:tcPr>
            <w:tcW w:w="474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(In thousands of euros)</w:t>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 xml:space="preserve">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 xml:space="preserve">Ended June 30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2025</w:t>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 xml:space="preserve">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 xml:space="preserve">Ended June 30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2026</w:t>
            </w:r>
          </w:p>
        </w:tc>
        <w:tc>
          <w:tcPr>
            <w:tcW w:w="11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 xml:space="preserve">2026 vs 2025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Change</w:t>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shd w:fill="FFFFFF" w:val="clear"/>
              </w:rPr>
              <w:t>Other operating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1,093</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1,201</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10%</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shd w:fill="FFFFFF" w:val="clear"/>
              </w:rPr>
              <w:t>Total operating income</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1,093</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1,201</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10%</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shd w:fill="FFFFFF" w:val="clear"/>
              </w:rPr>
              <w:t>Sales and marketing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(674)</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(2,885)</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328%</w:t>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shd w:fill="FFFFFF" w:val="clear"/>
              </w:rPr>
              <w:t>Research and development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(38,645)</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(58,335)</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51%</w:t>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shd w:fill="FFFFFF" w:val="clear"/>
              </w:rPr>
              <w:t>General and administrative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(8,270)</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(24,092)</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191%</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shd w:fill="FFFFFF" w:val="clear"/>
              </w:rPr>
              <w:t>Total operating expenses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(47,589)</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(85,312)</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79%</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shd w:fill="FFFFFF" w:val="clear"/>
              </w:rPr>
              <w:t>Operating loss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(46,496)</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(84,111)</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81%</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shd w:fill="FFFFFF" w:val="clear"/>
              </w:rPr>
              <w:t>Financial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(5,415)</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(44,130)</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715%</w:t>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shd w:fill="FFFFFF" w:val="clear"/>
              </w:rPr>
              <w:t>Financial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3,497</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4,733</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35%</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shd w:fill="FFFFFF" w:val="clear"/>
              </w:rPr>
              <w:t>Financial loss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(1,918)</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(39,397)</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1954%</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shd w:fill="FFFFFF" w:val="clear"/>
              </w:rPr>
              <w:t>Net loss before tax</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(48,414)</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(123,508)</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155%</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shd w:fill="FFFFFF" w:val="clear"/>
              </w:rPr>
              <w:t>Income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trike w:val="false"/>
                <w:dstrike w:val="false"/>
                <w:color w:val="000000"/>
                <w:u w:val="none"/>
                <w:effect w:val="none"/>
                <w:shd w:fill="FFFFFF" w:val="clear"/>
              </w:rPr>
            </w:pPr>
            <w:r>
              <w:rPr>
                <w:strike w:val="false"/>
                <w:dstrike w:val="false"/>
                <w:color w:val="000000"/>
                <w:u w:val="none"/>
                <w:effect w:val="none"/>
                <w:shd w:fill="FFFFFF" w:val="clear"/>
              </w:rPr>
              <w:t>—</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6,076</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trike w:val="false"/>
                <w:dstrike w:val="false"/>
                <w:color w:val="000000"/>
                <w:u w:val="none"/>
                <w:effect w:val="none"/>
                <w:shd w:fill="FFFFFF" w:val="clear"/>
              </w:rPr>
            </w:pPr>
            <w:r>
              <w:rPr>
                <w:strike w:val="false"/>
                <w:dstrike w:val="false"/>
                <w:color w:val="000000"/>
                <w:u w:val="none"/>
                <w:effect w:val="none"/>
                <w:shd w:fill="FFFFFF" w:val="clear"/>
              </w:rPr>
              <w:t>–</w:t>
            </w:r>
            <w:r>
              <w:rPr>
                <w:rFonts w:ascii="Times New Roman;serif" w:hAnsi="Times New Roman;serif"/>
                <w:b w:val="false"/>
                <w:i/>
                <w:strike w:val="false"/>
                <w:dstrike w:val="false"/>
                <w:color w:val="000000"/>
                <w:sz w:val="20"/>
                <w:u w:val="none"/>
                <w:effect w:val="none"/>
                <w:shd w:fill="FFFFFF" w:val="clear"/>
              </w:rPr>
              <w:t>%</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shd w:fill="FFFFFF" w:val="clear"/>
              </w:rPr>
              <w:t>Net loss for the period</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(48,414)</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(117,433)</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143%</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Total Operating Income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our total operating income was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1.2 million, as compared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1.1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2025, an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increase </w:t>
      </w:r>
      <w:r>
        <w:rPr>
          <w:rFonts w:ascii="Times New Roman;serif" w:hAnsi="Times New Roman;serif"/>
          <w:b w:val="false"/>
          <w:i w:val="false"/>
          <w:caps w:val="false"/>
          <w:smallCaps w:val="false"/>
          <w:strike w:val="false"/>
          <w:dstrike w:val="false"/>
          <w:sz w:val="20"/>
          <w:u w:val="none"/>
          <w:effect w:val="none"/>
        </w:rPr>
        <w:t xml:space="preserve">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detailed below.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Other Operating Income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 following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table sets forth our other operating income for the three months ended June 30 2026 and 2025.</w:t>
      </w:r>
      <w:r>
        <w:rPr>
          <w:caps w:val="false"/>
          <w:smallCaps w:val="false"/>
          <w:strike w:val="false"/>
          <w:dstrike w:val="false"/>
          <w:sz w:val="24"/>
          <w:u w:val="none"/>
          <w:effect w:val="none"/>
        </w:rPr>
        <w:t xml:space="preserve"> </w:t>
      </w:r>
    </w:p>
    <w:tbl>
      <w:tblPr>
        <w:tblW w:w="8374" w:type="dxa"/>
        <w:jc w:val="left"/>
        <w:tblInd w:w="0" w:type="dxa"/>
        <w:tblLayout w:type="fixed"/>
        <w:tblCellMar>
          <w:top w:w="28" w:type="dxa"/>
          <w:left w:w="28" w:type="dxa"/>
          <w:bottom w:w="28" w:type="dxa"/>
          <w:right w:w="28" w:type="dxa"/>
        </w:tblCellMar>
      </w:tblPr>
      <w:tblGrid>
        <w:gridCol w:w="4786"/>
        <w:gridCol w:w="1216"/>
        <w:gridCol w:w="1216"/>
        <w:gridCol w:w="1156"/>
      </w:tblGrid>
      <w:tr>
        <w:trPr/>
        <w:tc>
          <w:tcPr>
            <w:tcW w:w="47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thousands of euros)</w:t>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1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2026 vs 2025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Change</w:t>
            </w:r>
          </w:p>
        </w:tc>
      </w:tr>
      <w:tr>
        <w:trPr/>
        <w:tc>
          <w:tcPr>
            <w:tcW w:w="478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CIR (Research Tax Credits)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1,047</w:t>
            </w:r>
          </w:p>
        </w:tc>
        <w:tc>
          <w:tcPr>
            <w:tcW w:w="12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976</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r>
      <w:tr>
        <w:trPr/>
        <w:tc>
          <w:tcPr>
            <w:tcW w:w="478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Depositary service fees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c>
          <w:tcPr>
            <w:tcW w:w="12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225</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391%</w:t>
            </w:r>
          </w:p>
        </w:tc>
      </w:tr>
      <w:tr>
        <w:trPr/>
        <w:tc>
          <w:tcPr>
            <w:tcW w:w="47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Total other operating income</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1,093</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1,201</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w:t>
            </w:r>
          </w:p>
        </w:tc>
      </w:tr>
      <w:tr>
        <w:trPr/>
        <w:tc>
          <w:tcPr>
            <w:tcW w:w="4786" w:type="dxa"/>
            <w:tcBorders/>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For the three months ended June 30 2026, our other operating income was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 xml:space="preserve">1.2 million, as compared to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1.1</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for the three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0.1 million, or 10%, as detailed below.</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Research Tax Credits ("CIR")</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For the three months ended June 30 2026, we recognized research tax credits for our research and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development projects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 xml:space="preserve">1.0 million, as compared to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1.0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for the three months ended June 30 2025, a</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decrease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(0.1) million, or (7)%. T</w:t>
      </w:r>
      <w:r>
        <w:rPr>
          <w:rFonts w:ascii="Times New Roman;serif" w:hAnsi="Times New Roman;serif"/>
          <w:b w:val="false"/>
          <w:i w:val="false"/>
          <w:caps w:val="false"/>
          <w:smallCaps w:val="false"/>
          <w:sz w:val="20"/>
          <w:u w:val="single"/>
        </w:rPr>
        <w:t xml:space="preserve">he comparatively limited decrease in research tax credits, despite a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19.7</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million</w:t>
      </w:r>
      <w:r>
        <w:rPr>
          <w:rFonts w:ascii="Times New Roman;serif" w:hAnsi="Times New Roman;serif"/>
          <w:b w:val="false"/>
          <w:i w:val="false"/>
          <w:caps w:val="false"/>
          <w:smallCaps w:val="false"/>
          <w:sz w:val="20"/>
          <w:u w:val="single"/>
        </w:rPr>
        <w:t xml:space="preserve">, or </w:t>
      </w:r>
      <w:r>
        <w:rPr>
          <w:rFonts w:ascii="Times New Roman;serif" w:hAnsi="Times New Roman;serif"/>
          <w:b w:val="false"/>
          <w:i w:val="false"/>
          <w:caps w:val="false"/>
          <w:smallCaps w:val="false"/>
          <w:strike w:val="false"/>
          <w:dstrike w:val="false"/>
          <w:sz w:val="20"/>
          <w:u w:val="none"/>
          <w:effect w:val="none"/>
        </w:rPr>
        <w:t>51%</w:t>
      </w:r>
      <w:r>
        <w:rPr>
          <w:rFonts w:ascii="Times New Roman;serif" w:hAnsi="Times New Roman;serif"/>
          <w:b w:val="false"/>
          <w:i w:val="false"/>
          <w:caps w:val="false"/>
          <w:smallCaps w:val="false"/>
          <w:sz w:val="20"/>
          <w:u w:val="single"/>
        </w:rPr>
        <w:t xml:space="preserve">, increase in research and development expenses for the </w:t>
      </w:r>
      <w:r>
        <w:rPr>
          <w:rFonts w:ascii="Times New Roman;serif" w:hAnsi="Times New Roman;serif"/>
          <w:b w:val="false"/>
          <w:i w:val="false"/>
          <w:caps w:val="false"/>
          <w:smallCaps w:val="false"/>
          <w:strike w:val="false"/>
          <w:dstrike w:val="false"/>
          <w:sz w:val="20"/>
          <w:u w:val="none"/>
          <w:effect w:val="none"/>
        </w:rPr>
        <w:t>three months ended June 30 2026</w:t>
      </w:r>
      <w:r>
        <w:rPr>
          <w:caps w:val="false"/>
          <w:smallCaps w:val="false"/>
          <w:sz w:val="24"/>
          <w:u w:val="single"/>
        </w:rPr>
        <w:t xml:space="preserve"> </w:t>
      </w:r>
      <w:r>
        <w:rPr>
          <w:rFonts w:ascii="Times New Roman;serif" w:hAnsi="Times New Roman;serif"/>
          <w:b w:val="false"/>
          <w:i w:val="false"/>
          <w:caps w:val="false"/>
          <w:smallCaps w:val="false"/>
          <w:sz w:val="20"/>
          <w:u w:val="single"/>
        </w:rPr>
        <w:t>as</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compared to the </w:t>
      </w:r>
      <w:r>
        <w:rPr>
          <w:rFonts w:ascii="Times New Roman;serif" w:hAnsi="Times New Roman;serif"/>
          <w:b w:val="false"/>
          <w:i w:val="false"/>
          <w:caps w:val="false"/>
          <w:smallCaps w:val="false"/>
          <w:strike w:val="false"/>
          <w:dstrike w:val="false"/>
          <w:sz w:val="20"/>
          <w:u w:val="none"/>
          <w:effect w:val="none"/>
        </w:rPr>
        <w:t>three months ended June 30 2025,</w:t>
      </w:r>
      <w:r>
        <w:rPr>
          <w:strike w:val="false"/>
          <w:dstrike w:val="false"/>
          <w:sz w:val="24"/>
          <w:u w:val="none"/>
          <w:effect w:val="none"/>
        </w:rPr>
        <w:t xml:space="preserve"> </w:t>
      </w:r>
      <w:r>
        <w:rPr>
          <w:rFonts w:ascii="Times New Roman;serif" w:hAnsi="Times New Roman;serif"/>
          <w:b w:val="false"/>
          <w:i w:val="false"/>
          <w:caps w:val="false"/>
          <w:smallCaps w:val="false"/>
          <w:sz w:val="20"/>
          <w:u w:val="single"/>
        </w:rPr>
        <w:t>was primarily attributable to the statutory cap applicable to</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eligible outsourced research and development expense</w:t>
      </w:r>
      <w:r>
        <w:rPr>
          <w:rFonts w:ascii="Times New Roman;serif" w:hAnsi="Times New Roman;serif"/>
          <w:b w:val="false"/>
          <w:i w:val="false"/>
          <w:caps w:val="false"/>
          <w:smallCaps w:val="false"/>
          <w:strike w:val="false"/>
          <w:dstrike w:val="false"/>
          <w:sz w:val="20"/>
          <w:u w:val="none"/>
          <w:effect w:val="none"/>
        </w:rPr>
        <w: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Depositary Service Fees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As part of our depositary agreement with Citibank (which is acting as our exclusive depositary for our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publicly listed ADSs), </w:t>
      </w:r>
      <w:r>
        <w:rPr>
          <w:rFonts w:ascii="Times New Roman;serif" w:hAnsi="Times New Roman;serif"/>
          <w:b w:val="false"/>
          <w:i w:val="false"/>
          <w:caps w:val="false"/>
          <w:smallCaps w:val="false"/>
          <w:sz w:val="20"/>
          <w:u w:val="single"/>
        </w:rPr>
        <w:t>we</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z w:val="20"/>
          <w:u w:val="single"/>
        </w:rPr>
        <w:t>are</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entitled to receive a portion of the fees collected by Citibank on ADS transactions</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(e.g., issuance, cancellation and depositary service fees).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three months ended June 30 2026</w:t>
      </w:r>
      <w:r>
        <w:rPr>
          <w:rFonts w:ascii="Times New Roman;serif" w:hAnsi="Times New Roman;serif"/>
          <w:b w:val="false"/>
          <w:i w:val="false"/>
          <w:caps w:val="false"/>
          <w:smallCaps w:val="false"/>
          <w:sz w:val="20"/>
          <w:u w:val="single"/>
        </w:rPr>
        <w: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z w:val="20"/>
          <w:u w:val="single"/>
        </w:rPr>
        <w:t>our income related to depositary service f</w:t>
      </w:r>
      <w:r>
        <w:rPr>
          <w:rFonts w:ascii="Times New Roman;serif" w:hAnsi="Times New Roman;serif"/>
          <w:b w:val="false"/>
          <w:i w:val="false"/>
          <w:caps w:val="false"/>
          <w:smallCaps w:val="false"/>
          <w:strike w:val="false"/>
          <w:dstrike w:val="false"/>
          <w:sz w:val="20"/>
          <w:u w:val="none"/>
          <w:effect w:val="none"/>
          <w:shd w:fill="FFFFFF" w:val="clear"/>
        </w:rPr>
        <w:t>ees was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0.2 million, 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compared</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to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0.05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for</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the three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 xml:space="preserve">0.2 million, or 391%. </w:t>
      </w:r>
      <w:r>
        <w:rPr>
          <w:rFonts w:ascii="Times New Roman;serif" w:hAnsi="Times New Roman;serif"/>
          <w:b w:val="false"/>
          <w:i w:val="false"/>
          <w:caps w:val="false"/>
          <w:smallCaps w:val="false"/>
          <w:sz w:val="20"/>
          <w:u w:val="single"/>
        </w:rPr>
        <w:t>The 2026</w:t>
      </w:r>
      <w:r>
        <w:rPr>
          <w:caps w:val="false"/>
          <w:smallCaps w:val="false"/>
          <w:sz w:val="24"/>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fees mainly reflect</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larger number of transactions that occurred during the second quarter of 2026 compared to</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2025.</w:t>
      </w:r>
    </w:p>
    <w:p>
      <w:pPr>
        <w:pStyle w:val="TextBody"/>
        <w:bidi w:val="0"/>
        <w:spacing w:lineRule="atLeast" w:line="200" w:before="0" w:after="0"/>
        <w:jc w:val="both"/>
        <w:rPr>
          <w:u w:val="single"/>
        </w:rPr>
      </w:pPr>
      <w:r>
        <w:rPr>
          <w:rFonts w:ascii="Times New Roman;serif" w:hAnsi="Times New Roman;serif"/>
          <w:b/>
          <w:i/>
          <w:strike w:val="false"/>
          <w:dstrike w:val="false"/>
          <w:sz w:val="20"/>
          <w:u w:val="none"/>
          <w:effect w:val="none"/>
        </w:rPr>
        <w:t>Total Operating Expenses</w:t>
      </w:r>
      <w:r>
        <w:rPr>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three months ended June 30 2026</w:t>
      </w:r>
      <w:r>
        <w:rPr>
          <w:rFonts w:ascii="Times New Roman;serif" w:hAnsi="Times New Roman;serif"/>
          <w:b w:val="false"/>
          <w:i w:val="false"/>
          <w:caps w:val="false"/>
          <w:smallCaps w:val="false"/>
          <w:sz w:val="20"/>
          <w:u w:val="single"/>
        </w:rPr>
        <w:t>, our total operating expenses wer</w:t>
      </w:r>
      <w:r>
        <w:rPr>
          <w:rFonts w:ascii="Times New Roman;serif" w:hAnsi="Times New Roman;serif"/>
          <w:b w:val="false"/>
          <w:i w:val="false"/>
          <w:caps w:val="false"/>
          <w:smallCaps w:val="false"/>
          <w:strike w:val="false"/>
          <w:dstrike w:val="false"/>
          <w:sz w:val="20"/>
          <w:u w:val="none"/>
          <w:effect w:val="none"/>
          <w:shd w:fill="FFFFFF" w:val="clear"/>
        </w:rPr>
        <w:t xml:space="preserve">e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85.3 million, as compared to</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47.6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for the three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37.7 million, or 79%. This increase was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primarily due to an increase in research and development expenses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19.7 million, an increase in general and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administrative expenses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15.8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an increase in sales and marketing expenses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2.2 million, each 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described below.</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Sales and Marketing Expenses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Sales </w:t>
      </w:r>
      <w:r>
        <w:rPr>
          <w:rFonts w:ascii="Times New Roman;serif" w:hAnsi="Times New Roman;serif"/>
          <w:b w:val="false"/>
          <w:i w:val="false"/>
          <w:caps w:val="false"/>
          <w:smallCaps w:val="false"/>
          <w:sz w:val="20"/>
          <w:u w:val="single"/>
        </w:rPr>
        <w:t>and</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marketing expenses consist primarily of personnel expenses, including share-based compensation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expenses, for employees </w:t>
      </w:r>
      <w:r>
        <w:rPr>
          <w:rFonts w:ascii="Times New Roman;serif" w:hAnsi="Times New Roman;serif"/>
          <w:b w:val="false"/>
          <w:i w:val="false"/>
          <w:caps w:val="false"/>
          <w:smallCaps w:val="false"/>
          <w:sz w:val="20"/>
          <w:u w:val="single"/>
        </w:rPr>
        <w:t>engaged</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sales and marketing activities, as well as consulting costs associated with</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market research in preparation for our potential future sales and commercialization efforts in the U.S.</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For the three months ended June 30 2026, our total sales and marketing ex</w:t>
      </w:r>
      <w:r>
        <w:rPr>
          <w:rFonts w:ascii="Times New Roman;serif" w:hAnsi="Times New Roman;serif"/>
          <w:b w:val="false"/>
          <w:i w:val="false"/>
          <w:caps w:val="false"/>
          <w:smallCaps w:val="false"/>
          <w:strike w:val="false"/>
          <w:dstrike w:val="false"/>
          <w:sz w:val="20"/>
          <w:u w:val="none"/>
          <w:effect w:val="none"/>
          <w:shd w:fill="FFFFFF" w:val="clear"/>
        </w:rPr>
        <w:t xml:space="preserve">penses were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2.9 million, 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compared to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0.7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for</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the</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three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2.2 million, or 328%. Th</w:t>
      </w:r>
      <w:r>
        <w:rPr>
          <w:rFonts w:ascii="Times New Roman;serif" w:hAnsi="Times New Roman;serif"/>
          <w:b w:val="false"/>
          <w:i w:val="false"/>
          <w:caps w:val="false"/>
          <w:smallCaps w:val="false"/>
          <w:strike w:val="false"/>
          <w:dstrike w:val="false"/>
          <w:sz w:val="20"/>
          <w:u w:val="none"/>
          <w:effect w:val="none"/>
        </w:rPr>
        <w:t>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increase was predominantly driven by costs related to our preparation for potential future sales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commercialization efforts for obefazimod in the U.S. (including the hiring of our commercial leadership team).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Research and Development Expenses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The </w:t>
      </w:r>
      <w:r>
        <w:rPr>
          <w:rFonts w:ascii="Times New Roman;serif" w:hAnsi="Times New Roman;serif"/>
          <w:b w:val="false"/>
          <w:i w:val="false"/>
          <w:caps w:val="false"/>
          <w:smallCaps w:val="false"/>
          <w:sz w:val="20"/>
          <w:u w:val="single"/>
        </w:rPr>
        <w:t>following</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table sets forth our research and development expenses by drug candidate and therapeutic</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indication for the three months ended June 30 2026 and 2025.</w:t>
      </w:r>
    </w:p>
    <w:tbl>
      <w:tblPr>
        <w:tblW w:w="8599" w:type="dxa"/>
        <w:jc w:val="left"/>
        <w:tblInd w:w="0" w:type="dxa"/>
        <w:tblLayout w:type="fixed"/>
        <w:tblCellMar>
          <w:top w:w="28" w:type="dxa"/>
          <w:left w:w="28" w:type="dxa"/>
          <w:bottom w:w="28" w:type="dxa"/>
          <w:right w:w="28" w:type="dxa"/>
        </w:tblCellMar>
      </w:tblPr>
      <w:tblGrid>
        <w:gridCol w:w="5011"/>
        <w:gridCol w:w="1216"/>
        <w:gridCol w:w="1216"/>
        <w:gridCol w:w="1156"/>
      </w:tblGrid>
      <w:tr>
        <w:trPr/>
        <w:tc>
          <w:tcPr>
            <w:tcW w:w="501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50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thousands of euros)</w:t>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1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2026 vs 2025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Change</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Obefazimod</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36,613</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56,526</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54%</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Ulcerative Colitis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22,754</w:t>
            </w:r>
          </w:p>
        </w:tc>
        <w:tc>
          <w:tcPr>
            <w:tcW w:w="12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35,200</w:t>
            </w:r>
          </w:p>
        </w:tc>
        <w:tc>
          <w:tcPr>
            <w:tcW w:w="11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55%</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Crohn's Disease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4,021</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8,274</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106%</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Obefazimod Other Indications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1,171</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1,742</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49%</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Transversal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8,667</w:t>
            </w:r>
          </w:p>
        </w:tc>
        <w:tc>
          <w:tcPr>
            <w:tcW w:w="121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11,310</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30%</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Others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2,031</w:t>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1,809</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(11)%</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Research and Development expenses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216"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38,645</w:t>
            </w:r>
          </w:p>
        </w:tc>
        <w:tc>
          <w:tcPr>
            <w:tcW w:w="1216"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58,335</w:t>
            </w:r>
          </w:p>
        </w:tc>
        <w:tc>
          <w:tcPr>
            <w:tcW w:w="1156"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51%</w:t>
            </w:r>
          </w:p>
        </w:tc>
      </w:tr>
      <w:tr>
        <w:trPr/>
        <w:tc>
          <w:tcPr>
            <w:tcW w:w="5011" w:type="dxa"/>
            <w:tcBorders/>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For the three months ended June 30 2026, our research and development expenses were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58.3 million, 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compared to</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38.6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for the three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19.7 million, or 51%.</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T</w:t>
      </w:r>
      <w:r>
        <w:rPr>
          <w:rFonts w:ascii="Times New Roman;serif" w:hAnsi="Times New Roman;serif"/>
          <w:b w:val="false"/>
          <w:i w:val="false"/>
          <w:caps w:val="false"/>
          <w:smallCaps w:val="false"/>
          <w:strike w:val="false"/>
          <w:dstrike w:val="false"/>
          <w:sz w:val="20"/>
          <w:u w:val="none"/>
          <w:effect w:val="none"/>
        </w:rPr>
        <w:t>his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increase was primarily due to (i) an increase in expenses related to our UC program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12.4 million, or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55%, attributable to an increase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share-based compensation expense related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the impact of share-based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compensation awards granted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 and partly offset by decreased activity on our ABTECT clinical program as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result of reaching a major milestone with our Phase 3 induction trials in 2025. The increase was secondarily due to</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(ii) an </w:t>
      </w:r>
      <w:r>
        <w:rPr>
          <w:rFonts w:ascii="Times New Roman;serif" w:hAnsi="Times New Roman;serif"/>
          <w:b w:val="false"/>
          <w:i w:val="false"/>
          <w:caps w:val="false"/>
          <w:smallCaps w:val="false"/>
          <w:strike w:val="false"/>
          <w:dstrike w:val="false"/>
          <w:sz w:val="20"/>
          <w:u w:val="none"/>
          <w:effect w:val="none"/>
          <w:shd w:fill="FFFFFF" w:val="clear"/>
        </w:rPr>
        <w:t xml:space="preserve">increase in expenses related to our CD program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4.3 million, or 106%, resulting from the progression of</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our Phase 2b trials in CD, (iii) an increase in expenses related to transversal activities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2.6 million, or 30%,</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mainly</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due to increased chemistry, manufacturing and controls ("CMC") and supply chain costs related to the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progression of clinical trials and anticipation of potential future commercial launch and (iv) an increase in expenses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related to new indications (including combination therapy) for</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obefazimod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0.6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or 49%.</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In aggregate, the increase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share-based compensation expense related to the</w:t>
      </w:r>
      <w:r>
        <w:rPr>
          <w:caps w:val="false"/>
          <w:smallCaps w:val="false"/>
          <w:sz w:val="24"/>
          <w:u w:val="single"/>
        </w:rPr>
        <w:t xml:space="preserve"> </w:t>
      </w:r>
      <w:r>
        <w:rPr>
          <w:rFonts w:ascii="Times New Roman;serif" w:hAnsi="Times New Roman;serif"/>
          <w:b w:val="false"/>
          <w:i w:val="false"/>
          <w:caps w:val="false"/>
          <w:smallCaps w:val="false"/>
          <w:sz w:val="20"/>
          <w:u w:val="single"/>
        </w:rPr>
        <w:t>impact of share-based</w:t>
      </w:r>
      <w:r>
        <w:rPr>
          <w:caps w:val="false"/>
          <w:smallCaps w:val="false"/>
          <w:sz w:val="24"/>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compensation awards granted</w:t>
      </w:r>
      <w:r>
        <w:rPr>
          <w:caps w:val="false"/>
          <w:smallCaps w:val="false"/>
          <w:u w:val="single"/>
        </w:rPr>
        <w:t xml:space="preserve"> </w:t>
      </w:r>
      <w:r>
        <w:rPr>
          <w:rFonts w:ascii="Times New Roman;serif" w:hAnsi="Times New Roman;serif"/>
          <w:b w:val="false"/>
          <w:i w:val="false"/>
          <w:caps w:val="false"/>
          <w:smallCaps w:val="false"/>
          <w:sz w:val="20"/>
          <w:u w:val="single"/>
        </w:rPr>
        <w:t xml:space="preserve">in 2025 contributed </w:t>
      </w:r>
      <w:r>
        <w:rPr>
          <w:rFonts w:ascii="Times New Roman;serif" w:hAnsi="Times New Roman;serif"/>
          <w:b w:val="false"/>
          <w:i w:val="false"/>
          <w:caps w:val="false"/>
          <w:smallCaps w:val="false"/>
          <w:strike w:val="false"/>
          <w:dstrike w:val="false"/>
          <w:sz w:val="20"/>
          <w:u w:val="none"/>
          <w:effect w:val="none"/>
        </w:rPr>
        <w:t>to</w:t>
      </w:r>
      <w:r>
        <w:rPr>
          <w:caps w:val="false"/>
          <w:smallCaps w:val="false"/>
          <w:u w:val="single"/>
        </w:rPr>
        <w:t xml:space="preserve"> </w:t>
      </w:r>
      <w:r>
        <w:rPr>
          <w:rFonts w:ascii="Times New Roman;serif" w:hAnsi="Times New Roman;serif"/>
          <w:b w:val="false"/>
          <w:i w:val="false"/>
          <w:caps w:val="false"/>
          <w:smallCaps w:val="false"/>
          <w:sz w:val="20"/>
          <w:u w:val="single"/>
        </w:rPr>
        <w:t>the overall increase in research and development expenses in an</w:t>
      </w:r>
      <w:r>
        <w:rPr>
          <w:caps w:val="false"/>
          <w:smallCaps w:val="false"/>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amount of €6.2 million (</w:t>
      </w:r>
      <w:r>
        <w:rPr>
          <w:rFonts w:ascii="Times New Roman;serif" w:hAnsi="Times New Roman;serif"/>
          <w:b w:val="false"/>
          <w:i w:val="false"/>
          <w:caps w:val="false"/>
          <w:smallCaps w:val="false"/>
          <w:strike w:val="false"/>
          <w:dstrike w:val="false"/>
          <w:sz w:val="20"/>
          <w:u w:val="none"/>
          <w:effect w:val="none"/>
        </w:rPr>
        <w:t>of which €4.3 million related to UC</w:t>
      </w:r>
      <w:r>
        <w:rPr>
          <w:rFonts w:ascii="Times New Roman;serif" w:hAnsi="Times New Roman;serif"/>
          <w:b w:val="false"/>
          <w:i w:val="false"/>
          <w:caps w:val="false"/>
          <w:smallCaps w:val="false"/>
          <w:sz w:val="20"/>
          <w:u w:val="single"/>
        </w:rPr>
        <w:t xml:space="preserve">, and €1.9 million related to CD). </w:t>
      </w:r>
      <w:r>
        <w:rPr>
          <w:rFonts w:ascii="Times New Roman;serif" w:hAnsi="Times New Roman;serif"/>
          <w:b w:val="false"/>
          <w:i w:val="false"/>
          <w:caps w:val="false"/>
          <w:smallCaps w:val="false"/>
          <w:strike w:val="false"/>
          <w:dstrike w:val="false"/>
          <w:sz w:val="20"/>
          <w:u w:val="none"/>
          <w:effect w:val="none"/>
          <w:shd w:fill="FFFFFF" w:val="clear"/>
        </w:rPr>
        <w:t>The related e</w:t>
      </w:r>
      <w:r>
        <w:rPr>
          <w:rFonts w:ascii="Times New Roman;serif" w:hAnsi="Times New Roman;serif"/>
          <w:b w:val="false"/>
          <w:i w:val="false"/>
          <w:caps w:val="false"/>
          <w:smallCaps w:val="false"/>
          <w:sz w:val="20"/>
          <w:u w:val="single"/>
        </w:rPr>
        <w:t>mployer</w:t>
      </w:r>
      <w:r>
        <w:rPr>
          <w:caps w:val="false"/>
          <w:smallCaps w:val="false"/>
          <w:sz w:val="24"/>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tax and social contributions further contributed to the overall increase across all destinations in an amount of €6.7</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million.</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General and Administrative Expenses</w:t>
      </w:r>
      <w:r>
        <w:rPr>
          <w:strike w:val="false"/>
          <w:dstrike w:val="false"/>
          <w:u w:val="none"/>
          <w:effect w:val="none"/>
        </w:rPr>
        <w:t xml:space="preserve"> </w:t>
      </w:r>
    </w:p>
    <w:tbl>
      <w:tblPr>
        <w:tblW w:w="8509" w:type="dxa"/>
        <w:jc w:val="left"/>
        <w:tblInd w:w="0" w:type="dxa"/>
        <w:tblLayout w:type="fixed"/>
        <w:tblCellMar>
          <w:top w:w="28" w:type="dxa"/>
          <w:left w:w="28" w:type="dxa"/>
          <w:bottom w:w="28" w:type="dxa"/>
          <w:right w:w="28" w:type="dxa"/>
        </w:tblCellMar>
      </w:tblPr>
      <w:tblGrid>
        <w:gridCol w:w="4921"/>
        <w:gridCol w:w="1216"/>
        <w:gridCol w:w="1216"/>
        <w:gridCol w:w="1156"/>
      </w:tblGrid>
      <w:tr>
        <w:trPr/>
        <w:tc>
          <w:tcPr>
            <w:tcW w:w="492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492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thousands of euros)</w:t>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1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2026 vs 2025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Change</w:t>
            </w:r>
          </w:p>
        </w:tc>
      </w:tr>
      <w:tr>
        <w:trPr/>
        <w:tc>
          <w:tcPr>
            <w:tcW w:w="492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Personnel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5,488</w:t>
            </w:r>
          </w:p>
        </w:tc>
        <w:tc>
          <w:tcPr>
            <w:tcW w:w="12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17,461</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218%</w:t>
            </w:r>
          </w:p>
        </w:tc>
      </w:tr>
      <w:tr>
        <w:trPr/>
        <w:tc>
          <w:tcPr>
            <w:tcW w:w="492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Consulting and professional fees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1,768</w:t>
            </w:r>
          </w:p>
        </w:tc>
        <w:tc>
          <w:tcPr>
            <w:tcW w:w="12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4,829</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173%</w:t>
            </w:r>
          </w:p>
        </w:tc>
      </w:tr>
      <w:tr>
        <w:trPr/>
        <w:tc>
          <w:tcPr>
            <w:tcW w:w="492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general and administrative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2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1,014</w:t>
            </w:r>
          </w:p>
        </w:tc>
        <w:tc>
          <w:tcPr>
            <w:tcW w:w="12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1,802</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w:t>
            </w:r>
          </w:p>
        </w:tc>
      </w:tr>
      <w:tr>
        <w:trPr/>
        <w:tc>
          <w:tcPr>
            <w:tcW w:w="492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General and administrative expenses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8,270</w:t>
            </w:r>
          </w:p>
        </w:tc>
        <w:tc>
          <w:tcPr>
            <w:tcW w:w="121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24,092</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191%</w:t>
            </w:r>
          </w:p>
        </w:tc>
      </w:tr>
      <w:tr>
        <w:trPr/>
        <w:tc>
          <w:tcPr>
            <w:tcW w:w="4921" w:type="dxa"/>
            <w:tcBorders/>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For the three months ended June 30 2026, our general and administrative expenses were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24.1 million, 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compared to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8.3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for the three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15.8 million, or 191%. This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increase was primarily due to a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12.0 million, or 218%, increase in personnel costs,</w:t>
      </w:r>
      <w:r>
        <w:rPr>
          <w:caps w:val="false"/>
          <w:smallCaps w:val="false"/>
          <w:sz w:val="24"/>
          <w:u w:val="single"/>
        </w:rPr>
        <w:t xml:space="preserve"> </w:t>
      </w:r>
      <w:r>
        <w:rPr>
          <w:rFonts w:ascii="Times New Roman;serif" w:hAnsi="Times New Roman;serif"/>
          <w:b w:val="false"/>
          <w:i w:val="false"/>
          <w:caps w:val="false"/>
          <w:smallCaps w:val="false"/>
          <w:sz w:val="20"/>
          <w:u w:val="single"/>
        </w:rPr>
        <w:t xml:space="preserve">primarily </w:t>
      </w:r>
      <w:r>
        <w:rPr>
          <w:rFonts w:ascii="Times New Roman;serif" w:hAnsi="Times New Roman;serif"/>
          <w:b w:val="false"/>
          <w:i w:val="false"/>
          <w:caps w:val="false"/>
          <w:smallCaps w:val="false"/>
          <w:strike w:val="false"/>
          <w:dstrike w:val="false"/>
          <w:sz w:val="20"/>
          <w:u w:val="none"/>
          <w:effect w:val="none"/>
        </w:rPr>
        <w:t>attributable to an</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increase in</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share-based compensation expense related</w:t>
      </w:r>
      <w:r>
        <w:rPr>
          <w:caps w:val="false"/>
          <w:smallCaps w:val="false"/>
          <w:u w:val="single"/>
        </w:rPr>
        <w:t xml:space="preserve"> </w:t>
      </w:r>
      <w:r>
        <w:rPr>
          <w:rFonts w:ascii="Times New Roman;serif" w:hAnsi="Times New Roman;serif"/>
          <w:b w:val="false"/>
          <w:i w:val="false"/>
          <w:caps w:val="false"/>
          <w:smallCaps w:val="false"/>
          <w:sz w:val="20"/>
          <w:u w:val="single"/>
        </w:rPr>
        <w:t>to the impact of share-based compensation awards granted</w:t>
      </w:r>
      <w:r>
        <w:rPr>
          <w:caps w:val="false"/>
          <w:smallCaps w:val="false"/>
          <w:u w:val="single"/>
        </w:rPr>
        <w:t xml:space="preserve"> </w:t>
      </w:r>
      <w:r>
        <w:rPr>
          <w:rFonts w:ascii="Times New Roman;serif" w:hAnsi="Times New Roman;serif"/>
          <w:b w:val="false"/>
          <w:i w:val="false"/>
          <w:caps w:val="false"/>
          <w:smallCaps w:val="false"/>
          <w:sz w:val="20"/>
          <w:u w:val="single"/>
        </w:rPr>
        <w:t>in</w:t>
      </w:r>
      <w:r>
        <w:rPr>
          <w:caps w:val="false"/>
          <w:smallCaps w:val="false"/>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2025 and the related tax and social contributions, in an amount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9.8 million</w:t>
      </w:r>
      <w:r>
        <w:rPr>
          <w:rFonts w:ascii="Times New Roman;serif" w:hAnsi="Times New Roman;serif"/>
          <w:b w:val="false"/>
          <w:i w:val="false"/>
          <w:caps w:val="false"/>
          <w:smallCaps w:val="false"/>
          <w:sz w:val="20"/>
          <w:u w:val="single"/>
        </w:rPr>
        <w:t>, and to a lesser extent to the increase</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in our headcount. </w:t>
      </w:r>
      <w:r>
        <w:rPr>
          <w:rFonts w:ascii="Times New Roman;serif" w:hAnsi="Times New Roman;serif"/>
          <w:b w:val="false"/>
          <w:i w:val="false"/>
          <w:caps w:val="false"/>
          <w:smallCaps w:val="false"/>
          <w:strike w:val="false"/>
          <w:dstrike w:val="false"/>
          <w:sz w:val="20"/>
          <w:u w:val="none"/>
          <w:effect w:val="none"/>
        </w:rPr>
        <w:t>T</w:t>
      </w:r>
      <w:r>
        <w:rPr>
          <w:rFonts w:ascii="Times New Roman;serif" w:hAnsi="Times New Roman;serif"/>
          <w:b w:val="false"/>
          <w:i w:val="false"/>
          <w:caps w:val="false"/>
          <w:smallCaps w:val="false"/>
          <w:strike w:val="false"/>
          <w:dstrike w:val="false"/>
          <w:sz w:val="20"/>
          <w:u w:val="none"/>
          <w:effect w:val="none"/>
          <w:shd w:fill="FFFFFF" w:val="clear"/>
        </w:rPr>
        <w:t>he</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increase was also due to a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3.1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or 173%, increase in consulting and </w:t>
      </w:r>
      <w:r>
        <w:rPr>
          <w:rFonts w:ascii="Times New Roman;serif" w:hAnsi="Times New Roman;serif"/>
          <w:b w:val="false"/>
          <w:i w:val="false"/>
          <w:caps w:val="false"/>
          <w:smallCaps w:val="false"/>
          <w:sz w:val="20"/>
          <w:u w:val="single"/>
        </w:rPr>
        <w:t>professional fees,</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driven by increased costs associated with </w:t>
      </w:r>
      <w:r>
        <w:rPr>
          <w:rFonts w:ascii="Times New Roman;serif" w:hAnsi="Times New Roman;serif"/>
          <w:b w:val="false"/>
          <w:i w:val="false"/>
          <w:caps w:val="false"/>
          <w:smallCaps w:val="false"/>
          <w:strike w:val="false"/>
          <w:dstrike w:val="false"/>
          <w:sz w:val="20"/>
          <w:u w:val="none"/>
          <w:effect w:val="none"/>
        </w:rPr>
        <w:t>building our infrastructure to support future growth in our operations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to a lesser degree by a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0.8 million</w:t>
      </w:r>
      <w:r>
        <w:rPr>
          <w:rFonts w:ascii="Times New Roman;serif" w:hAnsi="Times New Roman;serif"/>
          <w:b w:val="false"/>
          <w:i w:val="false"/>
          <w:caps w:val="false"/>
          <w:smallCaps w:val="false"/>
          <w:sz w:val="20"/>
          <w:u w:val="single"/>
        </w:rPr>
        <w:t xml:space="preserve">, or </w:t>
      </w:r>
      <w:r>
        <w:rPr>
          <w:rFonts w:ascii="Times New Roman;serif" w:hAnsi="Times New Roman;serif"/>
          <w:b w:val="false"/>
          <w:i w:val="false"/>
          <w:caps w:val="false"/>
          <w:smallCaps w:val="false"/>
          <w:strike w:val="false"/>
          <w:dstrike w:val="false"/>
          <w:sz w:val="20"/>
          <w:u w:val="none"/>
          <w:effect w:val="none"/>
        </w:rPr>
        <w:t>78%</w:t>
      </w:r>
      <w:r>
        <w:rPr>
          <w:rFonts w:ascii="Times New Roman;serif" w:hAnsi="Times New Roman;serif"/>
          <w:b w:val="false"/>
          <w:i w:val="false"/>
          <w:caps w:val="false"/>
          <w:smallCaps w:val="false"/>
          <w:sz w:val="20"/>
          <w:u w:val="single"/>
        </w:rPr>
        <w:t>, increase in other general and administrative expenses.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Operating Loss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For the three months ended June 30 2026, our net operating loss was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84.1 million, as compared to a net</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operating loss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46.5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for the three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37.6 million, or 81%. This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was primarily due to a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19.7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or 51%, increase in research and development expenses,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15.8</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million, or 191%, in general and administrative expenses and an increase in sales and marketing expenses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2.2</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million, or 328%.</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Financial Loss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For the three months ended June 30 2026, our net financial loss was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39.4 million, as compared to a net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financial loss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 months ended June 30 2025</w:t>
      </w:r>
      <w:r>
        <w:rPr>
          <w:rFonts w:ascii="Times New Roman;serif" w:hAnsi="Times New Roman;serif"/>
          <w:b w:val="false"/>
          <w:i/>
          <w:strike w:val="false"/>
          <w:dstrike w:val="false"/>
          <w:sz w:val="20"/>
          <w:u w:val="none"/>
          <w:effect w:val="none"/>
        </w:rPr>
        <w: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mainly driven by the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43.2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loss 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derecognition of our royalty certificates following their repurchase on May 7, 2026, partly offset by (i) interest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income of €1.2 million and fair value changes of €2.1 million in relation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the invested proceeds from our U.S.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initial public offering and listing on Nasdaq and (ii) foreign exchange gains of €1.3 million.</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For the</w:t>
      </w:r>
      <w:r>
        <w:rPr>
          <w:caps w:val="false"/>
          <w:smallCaps w:val="false"/>
          <w:sz w:val="24"/>
          <w:u w:val="single"/>
        </w:rPr>
        <w:t xml:space="preserve"> </w:t>
      </w:r>
      <w:r>
        <w:rPr>
          <w:rFonts w:ascii="Times New Roman;serif" w:hAnsi="Times New Roman;serif"/>
          <w:b w:val="false"/>
          <w:i w:val="false"/>
          <w:caps w:val="false"/>
          <w:smallCaps w:val="false"/>
          <w:strike w:val="false"/>
          <w:dstrike w:val="false"/>
          <w:sz w:val="20"/>
          <w:u w:val="none"/>
          <w:effect w:val="none"/>
        </w:rPr>
        <w:t>three months ended June 30 2025</w:t>
      </w:r>
      <w:r>
        <w:rPr>
          <w:rFonts w:ascii="Times New Roman;serif" w:hAnsi="Times New Roman;serif"/>
          <w:b w:val="false"/>
          <w:i w:val="false"/>
          <w:caps w:val="false"/>
          <w:smallCaps w:val="false"/>
          <w:sz w:val="20"/>
          <w:u w:val="single"/>
        </w:rPr>
        <w:t xml:space="preserve">, our net financial loss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5.4 million</w:t>
      </w:r>
      <w:r>
        <w:rPr>
          <w:caps w:val="false"/>
          <w:smallCaps w:val="false"/>
          <w:sz w:val="24"/>
          <w:u w:val="single"/>
        </w:rPr>
        <w:t xml:space="preserve"> </w:t>
      </w:r>
      <w:r>
        <w:rPr>
          <w:rFonts w:ascii="Times New Roman;serif" w:hAnsi="Times New Roman;serif"/>
          <w:b w:val="false"/>
          <w:i w:val="false"/>
          <w:caps w:val="false"/>
          <w:smallCaps w:val="false"/>
          <w:sz w:val="20"/>
          <w:u w:val="single"/>
        </w:rPr>
        <w:t>was mainly driven by (i)</w:t>
      </w:r>
      <w:r>
        <w:rPr>
          <w:caps w:val="false"/>
          <w:smallCaps w:val="false"/>
          <w:sz w:val="24"/>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interest expenses of €3.4 million related to the first tranche of senior secured convertible bonds with warrants</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attached in the Kreos / Claret Financing (the "Kreos / Claret OCABSA"), the second and third tranches of the senior</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secured bonds in the Kreos / Claret Financing (drawn on March 28, 2024 and June 21, 2024 respectively) and the</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senior convertible notes in the Heights Financing (the "Heights Convertible Notes"), (ii) non-cash expenses of €0.5</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million related to the increase in the fair value of our derivatives and (iii) foreign exchange losses of €1.4 million</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(including the €1.1 million non-cash impact of the revaluation of U.S. dollar-denominated cash and cash equivalents</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as of June 30, 2025).</w:t>
      </w:r>
      <w:r>
        <w:rPr>
          <w:caps w:val="false"/>
          <w:smallCaps w:val="false"/>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These costs were partly offset mainly by our financial income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3.5 million</w:t>
      </w:r>
      <w:r>
        <w:rPr>
          <w:rFonts w:ascii="Times New Roman;serif" w:hAnsi="Times New Roman;serif"/>
          <w:b w:val="false"/>
          <w:i w:val="false"/>
          <w:caps w:val="false"/>
          <w:smallCaps w:val="false"/>
          <w:sz w:val="20"/>
          <w:u w:val="single"/>
        </w:rPr>
        <w:t>, primarily related to</w:t>
      </w:r>
      <w:r>
        <w:rPr>
          <w:caps w:val="false"/>
          <w:smallCaps w:val="false"/>
          <w:sz w:val="24"/>
          <w:u w:val="single"/>
        </w:rPr>
        <w:t xml:space="preserve"> </w:t>
      </w:r>
      <w:r>
        <w:rPr>
          <w:rFonts w:ascii="Times New Roman;serif" w:hAnsi="Times New Roman;serif"/>
          <w:b w:val="false"/>
          <w:i w:val="false"/>
          <w:caps w:val="false"/>
          <w:smallCaps w:val="false"/>
          <w:sz w:val="20"/>
          <w:u w:val="single"/>
        </w:rPr>
        <w:t>a non-cash</w:t>
      </w:r>
      <w:r>
        <w:rPr>
          <w:caps w:val="false"/>
          <w:smallCaps w:val="false"/>
          <w:sz w:val="24"/>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income of €2.8 million related to the decrease in the fair value of the Heights Convertible Notes.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Income Taxes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three months ended June 30 2026</w:t>
      </w:r>
      <w:r>
        <w:rPr>
          <w:rFonts w:ascii="Times New Roman;serif" w:hAnsi="Times New Roman;serif"/>
          <w:b w:val="false"/>
          <w:i w:val="false"/>
          <w:caps w:val="false"/>
          <w:smallCaps w:val="false"/>
          <w:sz w:val="20"/>
          <w:u w:val="single"/>
        </w:rPr>
        <w:t>, our tax income was</w:t>
      </w:r>
      <w:r>
        <w:rPr>
          <w:caps w:val="false"/>
          <w:smallCaps w:val="false"/>
          <w:sz w:val="24"/>
          <w:u w:val="single"/>
        </w:rPr>
        <w:t xml:space="preserve">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6.1 million</w:t>
      </w:r>
      <w:r>
        <w:rPr>
          <w:rFonts w:ascii="Times New Roman;serif" w:hAnsi="Times New Roman;serif"/>
          <w:b w:val="false"/>
          <w:i w:val="false"/>
          <w:caps w:val="false"/>
          <w:smallCaps w:val="false"/>
          <w:sz w:val="20"/>
          <w:u w:val="single"/>
        </w:rPr>
        <w:t>, as compared to</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20"/>
          <w:u w:val="none"/>
          <w:effect w:val="none"/>
        </w:rPr>
        <w:t>million</w:t>
      </w:r>
      <w:r>
        <w:rPr>
          <w:caps w:val="false"/>
          <w:smallCaps w:val="false"/>
          <w:sz w:val="24"/>
          <w:u w:val="single"/>
        </w:rPr>
        <w:t xml:space="preserve"> </w:t>
      </w:r>
      <w:r>
        <w:rPr>
          <w:rFonts w:ascii="Times New Roman;serif" w:hAnsi="Times New Roman;serif"/>
          <w:b w:val="false"/>
          <w:i w:val="false"/>
          <w:caps w:val="false"/>
          <w:smallCaps w:val="false"/>
          <w:sz w:val="20"/>
          <w:u w:val="single"/>
        </w:rPr>
        <w:t>for the</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three months ended June 30, 2025,</w:t>
      </w:r>
      <w:r>
        <w:rPr>
          <w:caps w:val="false"/>
          <w:smallCaps w:val="false"/>
          <w:sz w:val="24"/>
          <w:u w:val="single"/>
        </w:rPr>
        <w:t xml:space="preserve"> </w:t>
      </w:r>
      <w:r>
        <w:rPr>
          <w:rFonts w:ascii="Times New Roman;serif" w:hAnsi="Times New Roman;serif"/>
          <w:b w:val="false"/>
          <w:i w:val="false"/>
          <w:caps w:val="false"/>
          <w:smallCaps w:val="false"/>
          <w:sz w:val="20"/>
          <w:u w:val="single"/>
        </w:rPr>
        <w:t>attributable to</w:t>
      </w:r>
      <w:r>
        <w:rPr>
          <w:caps w:val="false"/>
          <w:smallCaps w:val="false"/>
          <w:sz w:val="24"/>
          <w:u w:val="single"/>
        </w:rPr>
        <w:t xml:space="preserve"> </w:t>
      </w:r>
      <w:r>
        <w:rPr>
          <w:rFonts w:ascii="Times New Roman;serif" w:hAnsi="Times New Roman;serif"/>
          <w:b w:val="false"/>
          <w:i w:val="false"/>
          <w:caps w:val="false"/>
          <w:smallCaps w:val="false"/>
          <w:sz w:val="20"/>
          <w:u w:val="single"/>
        </w:rPr>
        <w:t xml:space="preserve">the derecognition of our net deferred tax liability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6.1 million</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recognized in our unaudited interim condensed consolidated statements of financial position  as of </w:t>
      </w:r>
      <w:r>
        <w:rPr>
          <w:rFonts w:ascii="Times New Roman;serif" w:hAnsi="Times New Roman;serif"/>
          <w:b w:val="false"/>
          <w:i w:val="false"/>
          <w:caps w:val="false"/>
          <w:smallCaps w:val="false"/>
          <w:strike w:val="false"/>
          <w:dstrike w:val="false"/>
          <w:sz w:val="20"/>
          <w:u w:val="none"/>
          <w:effect w:val="none"/>
        </w:rPr>
        <w:t>March 31, 2026.</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 deferred tax liability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resulted from the significant taxable temporary difference arising from our royalty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certificates as of March 31, 2026, which in turn resulted from the difference between (i) the amount already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deductible from our taxable income as of March 31, 2026 (based on the certificates' fair value minus their</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subscription price) and (ii) the amount of the related financial liability recognized in our condensed consolidated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statements of financial position at that date (measured at amortized cost using the original effective interest rate).</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Further explanation on</w:t>
      </w:r>
      <w:r>
        <w:rPr>
          <w:caps w:val="false"/>
          <w:smallCaps w:val="false"/>
          <w:u w:val="single"/>
        </w:rPr>
        <w:t xml:space="preserve"> </w:t>
      </w:r>
      <w:r>
        <w:rPr>
          <w:rFonts w:ascii="Times New Roman;serif" w:hAnsi="Times New Roman;serif"/>
          <w:b w:val="false"/>
          <w:i w:val="false"/>
          <w:caps w:val="false"/>
          <w:smallCaps w:val="false"/>
          <w:sz w:val="20"/>
          <w:u w:val="single"/>
        </w:rPr>
        <w:t>the calculation of the deferred tax liability is disclosed in Note 22 to our financial</w:t>
      </w:r>
      <w:r>
        <w:rPr>
          <w:caps w:val="false"/>
          <w:smallCaps w:val="false"/>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statements as of and for the year ended December 31, 2025 included in our </w:t>
      </w:r>
      <w:r>
        <w:rPr>
          <w:rFonts w:ascii="Times New Roman;serif" w:hAnsi="Times New Roman;serif"/>
          <w:b w:val="false"/>
          <w:i w:val="false"/>
          <w:caps w:val="false"/>
          <w:smallCaps w:val="false"/>
          <w:strike w:val="false"/>
          <w:dstrike w:val="false"/>
          <w:sz w:val="20"/>
          <w:u w:val="none"/>
          <w:effect w:val="none"/>
        </w:rPr>
        <w:t>Annual</w:t>
      </w:r>
      <w:r>
        <w:rPr>
          <w:caps w:val="false"/>
          <w:smallCaps w:val="false"/>
          <w:sz w:val="24"/>
          <w:u w:val="single"/>
        </w:rPr>
        <w:t xml:space="preserve"> </w:t>
      </w:r>
      <w:r>
        <w:rPr>
          <w:rFonts w:ascii="Times New Roman;serif" w:hAnsi="Times New Roman;serif"/>
          <w:b w:val="false"/>
          <w:i w:val="false"/>
          <w:caps w:val="false"/>
          <w:smallCaps w:val="false"/>
          <w:sz w:val="20"/>
          <w:u w:val="single"/>
        </w:rPr>
        <w:t>Report</w:t>
      </w:r>
      <w:r>
        <w:rPr>
          <w:caps w:val="false"/>
          <w:smallCaps w:val="false"/>
          <w:sz w:val="24"/>
          <w:u w:val="single"/>
        </w:rPr>
        <w:t xml:space="preserve"> </w:t>
      </w:r>
      <w:r>
        <w:rPr>
          <w:rFonts w:ascii="Times New Roman;serif" w:hAnsi="Times New Roman;serif"/>
          <w:b w:val="false"/>
          <w:i w:val="false"/>
          <w:caps w:val="false"/>
          <w:smallCaps w:val="false"/>
          <w:sz w:val="20"/>
          <w:u w:val="single"/>
        </w:rPr>
        <w:t xml:space="preserve">on Form 20-F </w:t>
      </w:r>
      <w:r>
        <w:rPr>
          <w:rFonts w:ascii="Times New Roman;serif" w:hAnsi="Times New Roman;serif"/>
          <w:b w:val="false"/>
          <w:i w:val="false"/>
          <w:caps w:val="false"/>
          <w:smallCaps w:val="false"/>
          <w:strike w:val="false"/>
          <w:dstrike w:val="false"/>
          <w:sz w:val="20"/>
          <w:u w:val="none"/>
          <w:effect w:val="none"/>
        </w:rPr>
        <w:t>for the year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ended December 31, 2025.</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The tax income is non-cash for the three months ended June 30, 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Net Loss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three months ended June 30 2026</w:t>
      </w:r>
      <w:r>
        <w:rPr>
          <w:rFonts w:ascii="Times New Roman;serif" w:hAnsi="Times New Roman;serif"/>
          <w:b w:val="false"/>
          <w:i w:val="false"/>
          <w:caps w:val="false"/>
          <w:smallCaps w:val="false"/>
          <w:sz w:val="20"/>
          <w:u w:val="single"/>
        </w:rPr>
        <w:t xml:space="preserve">, our net loss was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117.4 million</w:t>
      </w:r>
      <w:r>
        <w:rPr>
          <w:rFonts w:ascii="Times New Roman;serif" w:hAnsi="Times New Roman;serif"/>
          <w:b w:val="false"/>
          <w:i w:val="false"/>
          <w:caps w:val="false"/>
          <w:smallCaps w:val="false"/>
          <w:sz w:val="20"/>
          <w:u w:val="single"/>
        </w:rPr>
        <w:t xml:space="preserve">, as compared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48.4 million</w:t>
      </w:r>
      <w:r>
        <w:rPr>
          <w:caps w:val="false"/>
          <w:smallCaps w:val="false"/>
          <w:sz w:val="24"/>
          <w:u w:val="single"/>
        </w:rPr>
        <w:t xml:space="preserve"> </w:t>
      </w:r>
      <w:r>
        <w:rPr>
          <w:rFonts w:ascii="Times New Roman;serif" w:hAnsi="Times New Roman;serif"/>
          <w:b w:val="false"/>
          <w:i w:val="false"/>
          <w:caps w:val="false"/>
          <w:smallCaps w:val="false"/>
          <w:sz w:val="20"/>
          <w:u w:val="single"/>
        </w:rPr>
        <w:t>for</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the </w:t>
      </w:r>
      <w:r>
        <w:rPr>
          <w:rFonts w:ascii="Times New Roman;serif" w:hAnsi="Times New Roman;serif"/>
          <w:b w:val="false"/>
          <w:i w:val="false"/>
          <w:caps w:val="false"/>
          <w:smallCaps w:val="false"/>
          <w:strike w:val="false"/>
          <w:dstrike w:val="false"/>
          <w:sz w:val="20"/>
          <w:u w:val="none"/>
          <w:effect w:val="none"/>
        </w:rPr>
        <w:t>three months ended June 30 2025</w:t>
      </w:r>
      <w:r>
        <w:rPr>
          <w:rFonts w:ascii="Times New Roman;serif" w:hAnsi="Times New Roman;serif"/>
          <w:b w:val="false"/>
          <w:i w:val="false"/>
          <w:caps w:val="false"/>
          <w:smallCaps w:val="false"/>
          <w:sz w:val="20"/>
          <w:u w:val="single"/>
        </w:rPr>
        <w:t>, an increase o</w:t>
      </w:r>
      <w:r>
        <w:rPr>
          <w:rFonts w:ascii="Times New Roman;serif" w:hAnsi="Times New Roman;serif"/>
          <w:b w:val="false"/>
          <w:i w:val="false"/>
          <w:caps w:val="false"/>
          <w:smallCaps w:val="false"/>
          <w:strike w:val="false"/>
          <w:dstrike w:val="false"/>
          <w:sz w:val="20"/>
          <w:u w:val="none"/>
          <w:effect w:val="none"/>
          <w:shd w:fill="FFFFFF" w:val="clear"/>
        </w:rPr>
        <w:t xml:space="preserve">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69.0 million, or 143%, mainly driven by an increase in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financial</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loss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37.5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an increase in operating loss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37.6 million, as described above.</w:t>
      </w:r>
    </w:p>
    <w:p>
      <w:pPr>
        <w:pStyle w:val="TextBody"/>
        <w:bidi w:val="0"/>
        <w:spacing w:lineRule="atLeast" w:line="200" w:before="0" w:after="0"/>
        <w:jc w:val="both"/>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Comparison of the Six Months Ended June 30 2025 and 2026</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following table sets forth our results of operations for the six months ended June 30, 2025 and 2026. </w:t>
      </w:r>
    </w:p>
    <w:p>
      <w:pPr>
        <w:pStyle w:val="TextBody"/>
        <w:bidi w:val="0"/>
        <w:spacing w:lineRule="atLeast" w:line="240" w:before="0" w:after="0"/>
        <w:jc w:val="left"/>
        <w:rPr>
          <w:caps w:val="false"/>
          <w:smallCaps w:val="false"/>
          <w:strike w:val="false"/>
          <w:dstrike w:val="false"/>
          <w:u w:val="none"/>
          <w:effect w:val="none"/>
          <w:shd w:fill="FFFFFF" w:val="clear"/>
        </w:rPr>
      </w:pPr>
      <w:r>
        <w:rPr>
          <w:caps w:val="false"/>
          <w:smallCaps w:val="false"/>
          <w:strike w:val="false"/>
          <w:dstrike w:val="false"/>
          <w:u w:val="none"/>
          <w:effect w:val="none"/>
          <w:shd w:fill="FFFFFF" w:val="clear"/>
        </w:rPr>
        <w:t> </w:t>
      </w:r>
    </w:p>
    <w:tbl>
      <w:tblPr>
        <w:tblW w:w="8809" w:type="dxa"/>
        <w:jc w:val="left"/>
        <w:tblInd w:w="0" w:type="dxa"/>
        <w:tblLayout w:type="fixed"/>
        <w:tblCellMar>
          <w:top w:w="28" w:type="dxa"/>
          <w:left w:w="28" w:type="dxa"/>
          <w:bottom w:w="28" w:type="dxa"/>
          <w:right w:w="28" w:type="dxa"/>
        </w:tblCellMar>
      </w:tblPr>
      <w:tblGrid>
        <w:gridCol w:w="4741"/>
        <w:gridCol w:w="1456"/>
        <w:gridCol w:w="1456"/>
        <w:gridCol w:w="1156"/>
      </w:tblGrid>
      <w:tr>
        <w:trPr/>
        <w:tc>
          <w:tcPr>
            <w:tcW w:w="474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(In thousands of euros)</w:t>
            </w:r>
          </w:p>
        </w:tc>
        <w:tc>
          <w:tcPr>
            <w:tcW w:w="14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 xml:space="preserve">Six 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June 30 2025</w:t>
            </w:r>
          </w:p>
        </w:tc>
        <w:tc>
          <w:tcPr>
            <w:tcW w:w="14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 xml:space="preserve">Six 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June 30 2026</w:t>
            </w:r>
          </w:p>
        </w:tc>
        <w:tc>
          <w:tcPr>
            <w:tcW w:w="11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 xml:space="preserve">2026 vs 2025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Change</w:t>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Other operating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2,087</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2,545</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22%</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Total operating income</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2,087</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2,545</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22%</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Sales and marketing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(1,534)</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(4,633)</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202%</w:t>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Research and development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(77,946)</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(107,878)</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38%</w:t>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General and administrative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(16,303)</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(30,376)</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86%</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Total operating expenses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(95,783)</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(142,886)</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49%</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Operating loss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(93,696)</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(140,341)</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50%</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Financial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(10,857)</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(48,899)</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350%</w:t>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Financial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3,769</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17,491</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364%</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Financial loss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(7,088)</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(31,408)</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343%</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Net loss before tax</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(100,784)</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(171,748)</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70%</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Income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trike w:val="false"/>
                <w:dstrike w:val="false"/>
                <w:color w:val="000000"/>
                <w:u w:val="none"/>
                <w:effect w:val="none"/>
              </w:rPr>
            </w:pPr>
            <w:r>
              <w:rPr>
                <w:strike w:val="false"/>
                <w:dstrike w:val="false"/>
                <w:color w:val="000000"/>
                <w:u w:val="none"/>
                <w:effect w:val="none"/>
              </w:rPr>
              <w:t>—</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shd w:fill="FFFFFF" w:val="clear"/>
              </w:rPr>
            </w:pPr>
            <w:r>
              <w:rPr>
                <w:rFonts w:ascii="Times New Roman;serif" w:hAnsi="Times New Roman;serif"/>
                <w:b w:val="false"/>
                <w:i/>
                <w:strike w:val="false"/>
                <w:dstrike w:val="false"/>
                <w:color w:val="000000"/>
                <w:sz w:val="20"/>
                <w:u w:val="none"/>
                <w:effect w:val="none"/>
                <w:shd w:fill="FFFFFF" w:val="clear"/>
              </w:rPr>
              <w:t>5,848</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trike w:val="false"/>
                <w:dstrike w:val="false"/>
                <w:color w:val="000000"/>
                <w:u w:val="none"/>
                <w:effect w:val="none"/>
                <w:shd w:fill="FFFFFF" w:val="clear"/>
              </w:rPr>
            </w:pPr>
            <w:r>
              <w:rPr>
                <w:strike w:val="false"/>
                <w:dstrike w:val="false"/>
                <w:color w:val="000000"/>
                <w:u w:val="none"/>
                <w:effect w:val="none"/>
                <w:shd w:fill="FFFFFF" w:val="clear"/>
              </w:rPr>
              <w:t>—</w:t>
            </w:r>
            <w:r>
              <w:rPr>
                <w:rFonts w:ascii="Times New Roman;serif" w:hAnsi="Times New Roman;serif"/>
                <w:b w:val="false"/>
                <w:i/>
                <w:strike w:val="false"/>
                <w:dstrike w:val="false"/>
                <w:color w:val="000000"/>
                <w:sz w:val="20"/>
                <w:u w:val="none"/>
                <w:effect w:val="none"/>
                <w:shd w:fill="FFFFFF" w:val="clear"/>
              </w:rPr>
              <w:t>%</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Net loss for the period</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(100,784)</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(165,900)</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shd w:fill="FFFFFF" w:val="clear"/>
              </w:rPr>
            </w:pPr>
            <w:r>
              <w:rPr>
                <w:rFonts w:ascii="Times New Roman;serif" w:hAnsi="Times New Roman;serif"/>
                <w:b/>
                <w:i w:val="false"/>
                <w:caps w:val="false"/>
                <w:smallCaps w:val="false"/>
                <w:strike w:val="false"/>
                <w:dstrike w:val="false"/>
                <w:color w:val="000000"/>
                <w:sz w:val="20"/>
                <w:u w:val="none"/>
                <w:effect w:val="none"/>
                <w:shd w:fill="FFFFFF" w:val="clear"/>
              </w:rPr>
              <w:t>65%</w:t>
            </w:r>
          </w:p>
        </w:tc>
      </w:tr>
      <w:tr>
        <w:trPr/>
        <w:tc>
          <w:tcPr>
            <w:tcW w:w="4741" w:type="dxa"/>
            <w:tcBorders/>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Total Operating Income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six months ended June 30, 2026</w:t>
      </w:r>
      <w:r>
        <w:rPr>
          <w:rFonts w:ascii="Times New Roman;serif" w:hAnsi="Times New Roman;serif"/>
          <w:b w:val="false"/>
          <w:i w:val="false"/>
          <w:caps w:val="false"/>
          <w:smallCaps w:val="false"/>
          <w:sz w:val="20"/>
          <w:u w:val="single"/>
        </w:rPr>
        <w:t xml:space="preserve">, our total operating income </w:t>
      </w:r>
      <w:r>
        <w:rPr>
          <w:rFonts w:ascii="Times New Roman;serif" w:hAnsi="Times New Roman;serif"/>
          <w:b w:val="false"/>
          <w:i w:val="false"/>
          <w:caps w:val="false"/>
          <w:smallCaps w:val="false"/>
          <w:strike w:val="false"/>
          <w:dstrike w:val="false"/>
          <w:sz w:val="20"/>
          <w:u w:val="none"/>
          <w:effect w:val="none"/>
          <w:shd w:fill="FFFFFF" w:val="clear"/>
        </w:rPr>
        <w:t xml:space="preserve">was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 xml:space="preserve">2.5 million, as compared to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2.1</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for the six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0.5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or 22%,</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as detailed below.</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Other Operating Income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The </w:t>
      </w:r>
      <w:r>
        <w:rPr>
          <w:rFonts w:ascii="Times New Roman;serif" w:hAnsi="Times New Roman;serif"/>
          <w:b w:val="false"/>
          <w:i w:val="false"/>
          <w:caps w:val="false"/>
          <w:smallCaps w:val="false"/>
          <w:sz w:val="20"/>
          <w:u w:val="single"/>
        </w:rPr>
        <w:t>following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table sets forth our other operating income for the six months ended June 30, 2025 and 2026.</w:t>
      </w:r>
      <w:r>
        <w:rPr>
          <w:caps w:val="false"/>
          <w:smallCaps w:val="false"/>
          <w:strike w:val="false"/>
          <w:dstrike w:val="false"/>
          <w:sz w:val="24"/>
          <w:u w:val="none"/>
          <w:effect w:val="none"/>
        </w:rPr>
        <w:t xml:space="preserve"> </w:t>
      </w:r>
    </w:p>
    <w:tbl>
      <w:tblPr>
        <w:tblW w:w="8854" w:type="dxa"/>
        <w:jc w:val="left"/>
        <w:tblInd w:w="0" w:type="dxa"/>
        <w:tblLayout w:type="fixed"/>
        <w:tblCellMar>
          <w:top w:w="28" w:type="dxa"/>
          <w:left w:w="28" w:type="dxa"/>
          <w:bottom w:w="28" w:type="dxa"/>
          <w:right w:w="28" w:type="dxa"/>
        </w:tblCellMar>
      </w:tblPr>
      <w:tblGrid>
        <w:gridCol w:w="4786"/>
        <w:gridCol w:w="1456"/>
        <w:gridCol w:w="1456"/>
        <w:gridCol w:w="1156"/>
      </w:tblGrid>
      <w:tr>
        <w:trPr/>
        <w:tc>
          <w:tcPr>
            <w:tcW w:w="47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shd w:fill="FFFFFF" w:val="clear"/>
              </w:rPr>
            </w:pPr>
            <w:r>
              <w:rPr>
                <w:rFonts w:ascii="Times New Roman;serif" w:hAnsi="Times New Roman;serif"/>
                <w:b/>
                <w:i w:val="false"/>
                <w:caps w:val="false"/>
                <w:smallCaps w:val="false"/>
                <w:strike w:val="false"/>
                <w:dstrike w:val="false"/>
                <w:color w:val="000000"/>
                <w:sz w:val="16"/>
                <w:u w:val="none"/>
                <w:effect w:val="none"/>
                <w:shd w:fill="FFFFFF" w:val="clear"/>
              </w:rPr>
              <w:t>(In thousands of euros)</w:t>
            </w:r>
          </w:p>
        </w:tc>
        <w:tc>
          <w:tcPr>
            <w:tcW w:w="14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Six 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4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Six 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1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2026 vs 2025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Change</w:t>
            </w:r>
          </w:p>
        </w:tc>
      </w:tr>
      <w:tr>
        <w:trPr/>
        <w:tc>
          <w:tcPr>
            <w:tcW w:w="478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CIR (Research Tax Credits)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2,017</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2,115</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r>
      <w:tr>
        <w:trPr/>
        <w:tc>
          <w:tcPr>
            <w:tcW w:w="478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Depositary service fees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430</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512%</w:t>
            </w:r>
          </w:p>
        </w:tc>
      </w:tr>
      <w:tr>
        <w:trPr/>
        <w:tc>
          <w:tcPr>
            <w:tcW w:w="4786"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Total other operating income</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2,087</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2,545</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22%</w:t>
            </w:r>
          </w:p>
        </w:tc>
      </w:tr>
      <w:tr>
        <w:trPr/>
        <w:tc>
          <w:tcPr>
            <w:tcW w:w="4786" w:type="dxa"/>
            <w:tcBorders/>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six months ended June 30, 2026</w:t>
      </w:r>
      <w:r>
        <w:rPr>
          <w:rFonts w:ascii="Times New Roman;serif" w:hAnsi="Times New Roman;serif"/>
          <w:b w:val="false"/>
          <w:i w:val="false"/>
          <w:caps w:val="false"/>
          <w:smallCaps w:val="false"/>
          <w:sz w:val="20"/>
          <w:u w:val="single"/>
        </w:rPr>
        <w:t>, our other operating income was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2.5 million, as compared to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2.1</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for the six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0.5 million, or 22%, as detailed below.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Research Tax Credits ("CIR")</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six months ended June 30, 2026</w:t>
      </w:r>
      <w:r>
        <w:rPr>
          <w:rFonts w:ascii="Times New Roman;serif" w:hAnsi="Times New Roman;serif"/>
          <w:b w:val="false"/>
          <w:i w:val="false"/>
          <w:caps w:val="false"/>
          <w:smallCaps w:val="false"/>
          <w:sz w:val="20"/>
          <w:u w:val="single"/>
        </w:rPr>
        <w:t>, we recognized research tax credits for our research and development</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projects</w:t>
      </w:r>
      <w:r>
        <w:rPr>
          <w:caps w:val="false"/>
          <w:smallCaps w:val="false"/>
          <w:sz w:val="24"/>
          <w:u w:val="single"/>
        </w:rPr>
        <w:t xml:space="preserve"> </w:t>
      </w:r>
      <w:r>
        <w:rPr>
          <w:rFonts w:ascii="Times New Roman;serif" w:hAnsi="Times New Roman;serif"/>
          <w:b w:val="false"/>
          <w:i w:val="false"/>
          <w:caps w:val="false"/>
          <w:smallCaps w:val="false"/>
          <w:sz w:val="20"/>
          <w:u w:val="single"/>
        </w:rPr>
        <w:t xml:space="preserve">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2.1 million</w:t>
      </w:r>
      <w:r>
        <w:rPr>
          <w:rFonts w:ascii="Times New Roman;serif" w:hAnsi="Times New Roman;serif"/>
          <w:b w:val="false"/>
          <w:i w:val="false"/>
          <w:caps w:val="false"/>
          <w:smallCaps w:val="false"/>
          <w:sz w:val="20"/>
          <w:u w:val="single"/>
        </w:rPr>
        <w:t xml:space="preserve">, as compared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2.0 million</w:t>
      </w:r>
      <w:r>
        <w:rPr>
          <w:caps w:val="false"/>
          <w:smallCaps w:val="false"/>
          <w:sz w:val="24"/>
          <w:u w:val="single"/>
        </w:rPr>
        <w:t xml:space="preserve"> </w:t>
      </w: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six months ended June 30, 2025</w:t>
      </w:r>
      <w:r>
        <w:rPr>
          <w:rFonts w:ascii="Times New Roman;serif" w:hAnsi="Times New Roman;serif"/>
          <w:b w:val="false"/>
          <w:i w:val="false"/>
          <w:caps w:val="false"/>
          <w:smallCaps w:val="false"/>
          <w:sz w:val="20"/>
          <w:u w:val="single"/>
        </w:rPr>
        <w:t>, an incre</w:t>
      </w:r>
      <w:r>
        <w:rPr>
          <w:rFonts w:ascii="Times New Roman;serif" w:hAnsi="Times New Roman;serif"/>
          <w:b w:val="false"/>
          <w:i w:val="false"/>
          <w:caps w:val="false"/>
          <w:smallCaps w:val="false"/>
          <w:strike w:val="false"/>
          <w:dstrike w:val="false"/>
          <w:sz w:val="20"/>
          <w:u w:val="none"/>
          <w:effect w:val="none"/>
        </w:rPr>
        <w:t xml:space="preserve">ase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0.1</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million</w:t>
      </w:r>
      <w:r>
        <w:rPr>
          <w:rFonts w:ascii="Times New Roman;serif" w:hAnsi="Times New Roman;serif"/>
          <w:b w:val="false"/>
          <w:i w:val="false"/>
          <w:caps w:val="false"/>
          <w:smallCaps w:val="false"/>
          <w:sz w:val="20"/>
          <w:u w:val="single"/>
        </w:rPr>
        <w:t xml:space="preserve">, or </w:t>
      </w:r>
      <w:r>
        <w:rPr>
          <w:rFonts w:ascii="Times New Roman;serif" w:hAnsi="Times New Roman;serif"/>
          <w:b w:val="false"/>
          <w:i w:val="false"/>
          <w:caps w:val="false"/>
          <w:smallCaps w:val="false"/>
          <w:strike w:val="false"/>
          <w:dstrike w:val="false"/>
          <w:sz w:val="20"/>
          <w:u w:val="none"/>
          <w:effect w:val="none"/>
        </w:rPr>
        <w:t>5%</w:t>
      </w:r>
      <w:r>
        <w:rPr>
          <w:rFonts w:ascii="Times New Roman;serif" w:hAnsi="Times New Roman;serif"/>
          <w:b w:val="false"/>
          <w:i w:val="false"/>
          <w:caps w:val="false"/>
          <w:smallCaps w:val="false"/>
          <w:sz w:val="20"/>
          <w:u w:val="single"/>
        </w:rPr>
        <w:t xml:space="preserve">. The comparatively limited increase in research tax credits, despite a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(29.9) million</w:t>
      </w:r>
      <w:r>
        <w:rPr>
          <w:rFonts w:ascii="Times New Roman;serif" w:hAnsi="Times New Roman;serif"/>
          <w:b w:val="false"/>
          <w:i w:val="false"/>
          <w:caps w:val="false"/>
          <w:smallCaps w:val="false"/>
          <w:sz w:val="20"/>
          <w:u w:val="single"/>
        </w:rPr>
        <w:t xml:space="preserve">, or </w:t>
      </w:r>
      <w:r>
        <w:rPr>
          <w:rFonts w:ascii="Times New Roman;serif" w:hAnsi="Times New Roman;serif"/>
          <w:b w:val="false"/>
          <w:i w:val="false"/>
          <w:caps w:val="false"/>
          <w:smallCaps w:val="false"/>
          <w:strike w:val="false"/>
          <w:dstrike w:val="false"/>
          <w:sz w:val="20"/>
          <w:u w:val="none"/>
          <w:effect w:val="none"/>
        </w:rPr>
        <w:t>38%</w:t>
      </w:r>
      <w:r>
        <w:rPr>
          <w:rFonts w:ascii="Times New Roman;serif" w:hAnsi="Times New Roman;serif"/>
          <w:b w:val="false"/>
          <w:i w:val="false"/>
          <w:caps w:val="false"/>
          <w:smallCaps w:val="false"/>
          <w:sz w:val="20"/>
          <w:u w:val="single"/>
        </w:rPr>
        <w:t>,</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increase in research and development expenses for the </w:t>
      </w:r>
      <w:r>
        <w:rPr>
          <w:rFonts w:ascii="Times New Roman;serif" w:hAnsi="Times New Roman;serif"/>
          <w:b w:val="false"/>
          <w:i w:val="false"/>
          <w:caps w:val="false"/>
          <w:smallCaps w:val="false"/>
          <w:strike w:val="false"/>
          <w:dstrike w:val="false"/>
          <w:sz w:val="20"/>
          <w:u w:val="none"/>
          <w:effect w:val="none"/>
        </w:rPr>
        <w:t>six months ended June 30, 2026</w:t>
      </w:r>
      <w:r>
        <w:rPr>
          <w:caps w:val="false"/>
          <w:smallCaps w:val="false"/>
          <w:sz w:val="24"/>
          <w:u w:val="single"/>
        </w:rPr>
        <w:t xml:space="preserve"> </w:t>
      </w:r>
      <w:r>
        <w:rPr>
          <w:rFonts w:ascii="Times New Roman;serif" w:hAnsi="Times New Roman;serif"/>
          <w:b w:val="false"/>
          <w:i w:val="false"/>
          <w:caps w:val="false"/>
          <w:smallCaps w:val="false"/>
          <w:sz w:val="20"/>
          <w:u w:val="single"/>
        </w:rPr>
        <w:t xml:space="preserve">as compared to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months ended June 30, 2025</w:t>
      </w:r>
      <w:r>
        <w:rPr>
          <w:rFonts w:ascii="Times New Roman;serif" w:hAnsi="Times New Roman;serif"/>
          <w:b w:val="false"/>
          <w:i w:val="false"/>
          <w:caps w:val="false"/>
          <w:smallCaps w:val="false"/>
          <w:sz w:val="20"/>
          <w:u w:val="single"/>
        </w:rPr>
        <w:t>, was primarily attributable to the statutory cap applicable to eligible outsourced</w:t>
      </w:r>
      <w:r>
        <w:rPr>
          <w:caps w:val="false"/>
          <w:smallCaps w:val="false"/>
          <w:sz w:val="24"/>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research and development expenses.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Depositary Service Fees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As part of our depositary agreement with Citibank (which is acting as our exclusive depositary for our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publicly listed ADSs), </w:t>
      </w:r>
      <w:r>
        <w:rPr>
          <w:rFonts w:ascii="Times New Roman;serif" w:hAnsi="Times New Roman;serif"/>
          <w:b w:val="false"/>
          <w:i w:val="false"/>
          <w:caps w:val="false"/>
          <w:smallCaps w:val="false"/>
          <w:sz w:val="20"/>
          <w:u w:val="single"/>
        </w:rPr>
        <w:t>we</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z w:val="20"/>
          <w:u w:val="single"/>
        </w:rPr>
        <w:t>are</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entitled to receive a portion of the fees collected by Citibank on ADS transactions</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(e.g., issuance, cancellation and depositary service fees).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For the six months ended June 30, 2026,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our income related to depositary service fees was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0.4 million, 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compared</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to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0.1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for</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the six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0.4 million, or 512%. The increase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mainly reflects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the larger number of transactions that occurred during the first half of 2026 compared to the first half</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of 2025.</w:t>
      </w:r>
    </w:p>
    <w:p>
      <w:pPr>
        <w:pStyle w:val="TextBody"/>
        <w:bidi w:val="0"/>
        <w:spacing w:lineRule="atLeast" w:line="200"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 xml:space="preserve">Total Operating Expenses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For the six months ended June 30, 2026, our total operating expenses were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142.9 million, as compared to</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95.8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for the six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47.1 million, or 49%. This increase was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primarily due to an increase in research and development expenses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29.9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 increase in general and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administrative expenses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14.1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an increase in sales and marketing expenses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3.1 million, each 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described below.</w:t>
      </w:r>
      <w:r>
        <w:rPr>
          <w:caps w:val="false"/>
          <w:smallCaps w:val="false"/>
          <w:strike w:val="false"/>
          <w:dstrike w:val="false"/>
          <w:u w:val="none"/>
          <w:effect w:val="none"/>
          <w:shd w:fill="FFFFFF" w:val="clear"/>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Sales and Marketing Expenses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Sales </w:t>
      </w:r>
      <w:r>
        <w:rPr>
          <w:rFonts w:ascii="Times New Roman;serif" w:hAnsi="Times New Roman;serif"/>
          <w:b w:val="false"/>
          <w:i w:val="false"/>
          <w:caps w:val="false"/>
          <w:smallCaps w:val="false"/>
          <w:sz w:val="20"/>
          <w:u w:val="single"/>
        </w:rPr>
        <w:t>and</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marketing expenses consist primarily of personnel expenses, including share-based compensation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expenses, for employees </w:t>
      </w:r>
      <w:r>
        <w:rPr>
          <w:rFonts w:ascii="Times New Roman;serif" w:hAnsi="Times New Roman;serif"/>
          <w:b w:val="false"/>
          <w:i w:val="false"/>
          <w:caps w:val="false"/>
          <w:smallCaps w:val="false"/>
          <w:sz w:val="20"/>
          <w:u w:val="single"/>
        </w:rPr>
        <w:t>engaged</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sales and marketing activities, as well as consulting costs associated with</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market research in preparation for our potential future sales and commercialization efforts in the U.S.</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For the six months ended June 30, 2026, our total sales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marketing expenses were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4.6 million, 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compared to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1.5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for</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the</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six months ended June 30, 2025, an 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3.1 million, or 202%. The increase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was predominantly driven by costs (including personnel costs) related to our preparation for potential future sales</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and commercialization efforts for obefazimod in the U.S.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Research and Development Expenses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The </w:t>
      </w:r>
      <w:r>
        <w:rPr>
          <w:rFonts w:ascii="Times New Roman;serif" w:hAnsi="Times New Roman;serif"/>
          <w:b w:val="false"/>
          <w:i w:val="false"/>
          <w:caps w:val="false"/>
          <w:smallCaps w:val="false"/>
          <w:sz w:val="20"/>
          <w:u w:val="single"/>
        </w:rPr>
        <w:t>following</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table sets forth our research and development expenses by drug candidate and therapeutic</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indication for the six months ended June 30, 2025 and 2026.</w:t>
      </w:r>
      <w:r>
        <w:rPr>
          <w:caps w:val="false"/>
          <w:smallCaps w:val="false"/>
          <w:strike w:val="false"/>
          <w:dstrike w:val="false"/>
          <w:sz w:val="24"/>
          <w:u w:val="none"/>
          <w:effect w:val="none"/>
        </w:rPr>
        <w:t xml:space="preserve"> </w:t>
      </w:r>
    </w:p>
    <w:p>
      <w:pPr>
        <w:pStyle w:val="TextBody"/>
        <w:bidi w:val="0"/>
        <w:spacing w:lineRule="atLeast" w:line="240"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9079" w:type="dxa"/>
        <w:jc w:val="left"/>
        <w:tblInd w:w="0" w:type="dxa"/>
        <w:tblLayout w:type="fixed"/>
        <w:tblCellMar>
          <w:top w:w="28" w:type="dxa"/>
          <w:left w:w="28" w:type="dxa"/>
          <w:bottom w:w="28" w:type="dxa"/>
          <w:right w:w="28" w:type="dxa"/>
        </w:tblCellMar>
      </w:tblPr>
      <w:tblGrid>
        <w:gridCol w:w="5011"/>
        <w:gridCol w:w="1456"/>
        <w:gridCol w:w="1456"/>
        <w:gridCol w:w="1156"/>
      </w:tblGrid>
      <w:tr>
        <w:trPr/>
        <w:tc>
          <w:tcPr>
            <w:tcW w:w="501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501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 thousands of euros)</w:t>
            </w:r>
          </w:p>
        </w:tc>
        <w:tc>
          <w:tcPr>
            <w:tcW w:w="14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Six 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4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Six 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1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2026 vs 2025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Change</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Obefazimod</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77,161</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103,335</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34%</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Ulcerative Colitis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51,929</w:t>
            </w:r>
          </w:p>
        </w:tc>
        <w:tc>
          <w:tcPr>
            <w:tcW w:w="14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60,412</w:t>
            </w:r>
          </w:p>
        </w:tc>
        <w:tc>
          <w:tcPr>
            <w:tcW w:w="11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16%</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Crohn's Disease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7,416</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13,717</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85%</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Obefazimod Other Indications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2,988</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9,772</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227%</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val="false"/>
                <w:i/>
                <w:strike w:val="false"/>
                <w:dstrike w:val="false"/>
                <w:color w:val="000000"/>
                <w:sz w:val="20"/>
                <w:u w:val="none"/>
                <w:effect w:val="none"/>
              </w:rPr>
              <w:t>Transversal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14,829</w:t>
            </w:r>
          </w:p>
        </w:tc>
        <w:tc>
          <w:tcPr>
            <w:tcW w:w="14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19,435</w:t>
            </w:r>
          </w:p>
        </w:tc>
        <w:tc>
          <w:tcPr>
            <w:tcW w:w="115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31%</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Others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784</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4,542</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479%</w:t>
            </w:r>
          </w:p>
        </w:tc>
      </w:tr>
      <w:tr>
        <w:trPr/>
        <w:tc>
          <w:tcPr>
            <w:tcW w:w="501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Research and Development expenses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77,946</w:t>
            </w:r>
          </w:p>
        </w:tc>
        <w:tc>
          <w:tcPr>
            <w:tcW w:w="1456"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107,878</w:t>
            </w:r>
          </w:p>
        </w:tc>
        <w:tc>
          <w:tcPr>
            <w:tcW w:w="1156"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38%</w:t>
            </w:r>
          </w:p>
        </w:tc>
      </w:tr>
      <w:tr>
        <w:trPr/>
        <w:tc>
          <w:tcPr>
            <w:tcW w:w="5011" w:type="dxa"/>
            <w:tcBorders/>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six months ended June 30, 2026</w:t>
      </w:r>
      <w:r>
        <w:rPr>
          <w:rFonts w:ascii="Times New Roman;serif" w:hAnsi="Times New Roman;serif"/>
          <w:b w:val="false"/>
          <w:i w:val="false"/>
          <w:caps w:val="false"/>
          <w:smallCaps w:val="false"/>
          <w:sz w:val="20"/>
          <w:u w:val="single"/>
        </w:rPr>
        <w:t>, our research and development e</w:t>
      </w:r>
      <w:r>
        <w:rPr>
          <w:rFonts w:ascii="Times New Roman;serif" w:hAnsi="Times New Roman;serif"/>
          <w:b w:val="false"/>
          <w:i w:val="false"/>
          <w:caps w:val="false"/>
          <w:smallCaps w:val="false"/>
          <w:strike w:val="false"/>
          <w:dstrike w:val="false"/>
          <w:sz w:val="20"/>
          <w:u w:val="none"/>
          <w:effect w:val="none"/>
          <w:shd w:fill="FFFFFF" w:val="clear"/>
        </w:rPr>
        <w:t xml:space="preserve">xpenses were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107.9 million, 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compared to</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77.9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for the six months ended June 30, 2025, an increase </w:t>
      </w:r>
      <w:r>
        <w:rPr>
          <w:rFonts w:ascii="Times New Roman;serif" w:hAnsi="Times New Roman;serif"/>
          <w:b w:val="false"/>
          <w:i w:val="false"/>
          <w:caps w:val="false"/>
          <w:smallCaps w:val="false"/>
          <w:sz w:val="20"/>
          <w:u w:val="single"/>
        </w:rPr>
        <w:t xml:space="preserve">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29.9 million</w:t>
      </w:r>
      <w:r>
        <w:rPr>
          <w:rFonts w:ascii="Times New Roman;serif" w:hAnsi="Times New Roman;serif"/>
          <w:b w:val="false"/>
          <w:i w:val="false"/>
          <w:caps w:val="false"/>
          <w:smallCaps w:val="false"/>
          <w:sz w:val="20"/>
          <w:u w:val="single"/>
        </w:rPr>
        <w:t xml:space="preserve">, or </w:t>
      </w:r>
      <w:r>
        <w:rPr>
          <w:rFonts w:ascii="Times New Roman;serif" w:hAnsi="Times New Roman;serif"/>
          <w:b w:val="false"/>
          <w:i w:val="false"/>
          <w:caps w:val="false"/>
          <w:smallCaps w:val="false"/>
          <w:strike w:val="false"/>
          <w:dstrike w:val="false"/>
          <w:sz w:val="20"/>
          <w:u w:val="none"/>
          <w:effect w:val="none"/>
        </w:rPr>
        <w:t>38%</w:t>
      </w:r>
      <w:r>
        <w:rPr>
          <w:rFonts w:ascii="Times New Roman;serif" w:hAnsi="Times New Roman;serif"/>
          <w:b w:val="false"/>
          <w:i w:val="false"/>
          <w:caps w:val="false"/>
          <w:smallCaps w:val="false"/>
          <w:sz w:val="20"/>
          <w:u w:val="single"/>
        </w:rPr>
        <w:t>.</w:t>
      </w:r>
      <w:r>
        <w:rPr>
          <w:caps w:val="false"/>
          <w:smallCaps w:val="false"/>
          <w:sz w:val="24"/>
          <w:u w:val="singl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w:t>
      </w:r>
      <w:r>
        <w:rPr>
          <w:rFonts w:ascii="Times New Roman;serif" w:hAnsi="Times New Roman;serif"/>
          <w:b w:val="false"/>
          <w:i w:val="false"/>
          <w:caps w:val="false"/>
          <w:smallCaps w:val="false"/>
          <w:strike w:val="false"/>
          <w:dstrike w:val="false"/>
          <w:sz w:val="20"/>
          <w:u w:val="none"/>
          <w:effect w:val="none"/>
          <w:shd w:fill="FFFFFF" w:val="clear"/>
        </w:rPr>
        <w:t>is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increase was primarily due to an increase in expenses related to our UC program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8.5 million, or 16%,</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attribut</w:t>
      </w:r>
      <w:r>
        <w:rPr>
          <w:rFonts w:ascii="Times New Roman;serif" w:hAnsi="Times New Roman;serif"/>
          <w:b w:val="false"/>
          <w:i w:val="false"/>
          <w:caps w:val="false"/>
          <w:smallCaps w:val="false"/>
          <w:strike w:val="false"/>
          <w:dstrike w:val="false"/>
          <w:sz w:val="20"/>
          <w:u w:val="none"/>
          <w:effect w:val="none"/>
        </w:rPr>
        <w:t>able to an increase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share-based compensation expense related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the impact of share-based compensation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awards granted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 and partly offset by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decrea</w:t>
      </w:r>
      <w:r>
        <w:rPr>
          <w:rFonts w:ascii="Times New Roman;serif" w:hAnsi="Times New Roman;serif"/>
          <w:b w:val="false"/>
          <w:i w:val="false"/>
          <w:caps w:val="false"/>
          <w:smallCaps w:val="false"/>
          <w:strike w:val="false"/>
          <w:dstrike w:val="false"/>
          <w:sz w:val="20"/>
          <w:u w:val="none"/>
          <w:effect w:val="none"/>
          <w:shd w:fill="FFFFFF" w:val="clear"/>
        </w:rPr>
        <w:t>sed activity in our ABTECT clinical program as a result of</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reaching a major milestone with our Phase 3 induction trials in 2025, an increase in expenses related to new</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indications (including combination therapy) for</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obefazimod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6.8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or 227%, an increase in expenses related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to our CD program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6.3 million, or 85%, resulting from the progression of our Phase 2b trials in CD and an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increase in expenses related to transversal activities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4.6 million, or 31%, mainly</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due to increased CMC and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supply chain costs related to the progression of clinical tri</w:t>
      </w:r>
      <w:r>
        <w:rPr>
          <w:rFonts w:ascii="Times New Roman;serif" w:hAnsi="Times New Roman;serif"/>
          <w:b w:val="false"/>
          <w:i w:val="false"/>
          <w:caps w:val="false"/>
          <w:smallCaps w:val="false"/>
          <w:strike w:val="false"/>
          <w:dstrike w:val="false"/>
          <w:sz w:val="20"/>
          <w:u w:val="none"/>
          <w:effect w:val="none"/>
        </w:rPr>
        <w:t>als and anticipation of potential future commercial launch.</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aggregate</w:t>
      </w:r>
      <w:r>
        <w:rPr>
          <w:rFonts w:ascii="Times New Roman;serif" w:hAnsi="Times New Roman;serif"/>
          <w:b w:val="false"/>
          <w:i w:val="false"/>
          <w:caps w:val="false"/>
          <w:smallCaps w:val="false"/>
          <w:strike w:val="false"/>
          <w:dstrike w:val="false"/>
          <w:sz w:val="20"/>
          <w:u w:val="none"/>
          <w:effect w:val="none"/>
          <w:shd w:fill="FFFFFF" w:val="clear"/>
        </w:rPr>
        <w:t>, an the increase in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share-based compensation expense related</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the accelerated vesting of certain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of our former Chief</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Scientific Officer's AGAs in March 2026, as well as the impact of share-based compensation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awards granted</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 2025, contributed to</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the overall increase in research and development expenses in an amount of</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23.7 million (of which €10.8 million related to UC, €6.1 million related to Obefazimod Other Indications and €3.9</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million related to CD). The related e</w:t>
      </w:r>
      <w:r>
        <w:rPr>
          <w:rFonts w:ascii="Times New Roman;serif" w:hAnsi="Times New Roman;serif"/>
          <w:b w:val="false"/>
          <w:i w:val="false"/>
          <w:caps w:val="false"/>
          <w:smallCaps w:val="false"/>
          <w:strike w:val="false"/>
          <w:dstrike w:val="false"/>
          <w:sz w:val="20"/>
          <w:u w:val="none"/>
          <w:effect w:val="none"/>
        </w:rPr>
        <w:t>mployer tax and social contributions further contributed to the overall increase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across all destinations in an amount of €8.4 million.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General and Administrative Expenses </w:t>
      </w:r>
    </w:p>
    <w:tbl>
      <w:tblPr>
        <w:tblW w:w="8989" w:type="dxa"/>
        <w:jc w:val="left"/>
        <w:tblInd w:w="0" w:type="dxa"/>
        <w:tblLayout w:type="fixed"/>
        <w:tblCellMar>
          <w:top w:w="28" w:type="dxa"/>
          <w:left w:w="28" w:type="dxa"/>
          <w:bottom w:w="28" w:type="dxa"/>
          <w:right w:w="28" w:type="dxa"/>
        </w:tblCellMar>
      </w:tblPr>
      <w:tblGrid>
        <w:gridCol w:w="4921"/>
        <w:gridCol w:w="1456"/>
        <w:gridCol w:w="1456"/>
        <w:gridCol w:w="1156"/>
      </w:tblGrid>
      <w:tr>
        <w:trPr/>
        <w:tc>
          <w:tcPr>
            <w:tcW w:w="492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492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thousands of euros)</w:t>
            </w:r>
          </w:p>
        </w:tc>
        <w:tc>
          <w:tcPr>
            <w:tcW w:w="14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Six 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4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Six 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1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2026 vs 2025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Change</w:t>
            </w:r>
          </w:p>
        </w:tc>
      </w:tr>
      <w:tr>
        <w:trPr/>
        <w:tc>
          <w:tcPr>
            <w:tcW w:w="492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Personnel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10,547</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19,101</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w:t>
            </w:r>
          </w:p>
        </w:tc>
      </w:tr>
      <w:tr>
        <w:trPr/>
        <w:tc>
          <w:tcPr>
            <w:tcW w:w="492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Consulting and professional fees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3,703</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8,173</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w:t>
            </w:r>
          </w:p>
        </w:tc>
      </w:tr>
      <w:tr>
        <w:trPr/>
        <w:tc>
          <w:tcPr>
            <w:tcW w:w="492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general and administrative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2,053</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3,101</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r>
      <w:tr>
        <w:trPr/>
        <w:tc>
          <w:tcPr>
            <w:tcW w:w="492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General and administrative expenses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16,303</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30,376</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86%</w:t>
            </w:r>
          </w:p>
        </w:tc>
      </w:tr>
      <w:tr>
        <w:trPr/>
        <w:tc>
          <w:tcPr>
            <w:tcW w:w="4921" w:type="dxa"/>
            <w:tcBorders/>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six months ended June 30, 2026</w:t>
      </w:r>
      <w:r>
        <w:rPr>
          <w:rFonts w:ascii="Times New Roman;serif" w:hAnsi="Times New Roman;serif"/>
          <w:b w:val="false"/>
          <w:i w:val="false"/>
          <w:caps w:val="false"/>
          <w:smallCaps w:val="false"/>
          <w:sz w:val="20"/>
          <w:u w:val="single"/>
        </w:rPr>
        <w:t xml:space="preserve">, our general and administrative expenses were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30.4 million</w:t>
      </w:r>
      <w:r>
        <w:rPr>
          <w:rFonts w:ascii="Times New Roman;serif" w:hAnsi="Times New Roman;serif"/>
          <w:b w:val="false"/>
          <w:i w:val="false"/>
          <w:caps w:val="false"/>
          <w:smallCaps w:val="false"/>
          <w:sz w:val="20"/>
          <w:u w:val="single"/>
        </w:rPr>
        <w:t>, as</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compared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16.3 million</w:t>
      </w:r>
      <w:r>
        <w:rPr>
          <w:caps w:val="false"/>
          <w:smallCaps w:val="false"/>
          <w:sz w:val="24"/>
          <w:u w:val="single"/>
        </w:rPr>
        <w:t xml:space="preserve"> </w:t>
      </w: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six months ended June 30, 2025</w:t>
      </w:r>
      <w:r>
        <w:rPr>
          <w:rFonts w:ascii="Times New Roman;serif" w:hAnsi="Times New Roman;serif"/>
          <w:b w:val="false"/>
          <w:i w:val="false"/>
          <w:caps w:val="false"/>
          <w:smallCaps w:val="false"/>
          <w:sz w:val="20"/>
          <w:u w:val="single"/>
        </w:rPr>
        <w:t>, an i</w:t>
      </w:r>
      <w:r>
        <w:rPr>
          <w:rFonts w:ascii="Times New Roman;serif" w:hAnsi="Times New Roman;serif"/>
          <w:b w:val="false"/>
          <w:i w:val="false"/>
          <w:caps w:val="false"/>
          <w:smallCaps w:val="false"/>
          <w:strike w:val="false"/>
          <w:dstrike w:val="false"/>
          <w:sz w:val="20"/>
          <w:u w:val="none"/>
          <w:effect w:val="none"/>
          <w:shd w:fill="FFFFFF" w:val="clear"/>
        </w:rPr>
        <w:t xml:space="preserve">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14.1 million, or 86%. This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increase was primarily due to a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8.6 million, or 81%, increase in personnel costs</w:t>
      </w:r>
      <w:r>
        <w:rPr>
          <w:rFonts w:ascii="Times New Roman;serif" w:hAnsi="Times New Roman;serif"/>
          <w:b w:val="false"/>
          <w:i w:val="false"/>
          <w:caps w:val="false"/>
          <w:smallCaps w:val="false"/>
          <w:sz w:val="20"/>
          <w:u w:val="single"/>
        </w:rPr>
        <w:t xml:space="preserve">, primarily </w:t>
      </w:r>
      <w:r>
        <w:rPr>
          <w:rFonts w:ascii="Times New Roman;serif" w:hAnsi="Times New Roman;serif"/>
          <w:b w:val="false"/>
          <w:i w:val="false"/>
          <w:caps w:val="false"/>
          <w:smallCaps w:val="false"/>
          <w:strike w:val="false"/>
          <w:dstrike w:val="false"/>
          <w:sz w:val="20"/>
          <w:u w:val="none"/>
          <w:effect w:val="none"/>
          <w:shd w:fill="FFFFFF" w:val="clear"/>
        </w:rPr>
        <w:t>attribut</w:t>
      </w:r>
      <w:r>
        <w:rPr>
          <w:rFonts w:ascii="Times New Roman;serif" w:hAnsi="Times New Roman;serif"/>
          <w:b w:val="false"/>
          <w:i w:val="false"/>
          <w:caps w:val="false"/>
          <w:smallCaps w:val="false"/>
          <w:strike w:val="false"/>
          <w:dstrike w:val="false"/>
          <w:sz w:val="20"/>
          <w:u w:val="none"/>
          <w:effect w:val="none"/>
        </w:rPr>
        <w:t>able to an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increase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share-based compensation expense related</w:t>
      </w:r>
      <w:r>
        <w:rPr>
          <w:caps w:val="false"/>
          <w:smallCaps w:val="false"/>
          <w:sz w:val="24"/>
          <w:u w:val="single"/>
        </w:rPr>
        <w:t xml:space="preserve"> </w:t>
      </w:r>
      <w:r>
        <w:rPr>
          <w:rFonts w:ascii="Times New Roman;serif" w:hAnsi="Times New Roman;serif"/>
          <w:b w:val="false"/>
          <w:i w:val="false"/>
          <w:caps w:val="false"/>
          <w:smallCaps w:val="false"/>
          <w:sz w:val="20"/>
          <w:u w:val="single"/>
        </w:rPr>
        <w:t xml:space="preserve">to the impact of share-based compensation </w:t>
      </w:r>
      <w:r>
        <w:rPr>
          <w:rFonts w:ascii="Times New Roman;serif" w:hAnsi="Times New Roman;serif"/>
          <w:b w:val="false"/>
          <w:i w:val="false"/>
          <w:caps w:val="false"/>
          <w:smallCaps w:val="false"/>
          <w:strike w:val="false"/>
          <w:dstrike w:val="false"/>
          <w:sz w:val="20"/>
          <w:u w:val="none"/>
          <w:effect w:val="none"/>
        </w:rPr>
        <w:t>awards</w:t>
      </w:r>
      <w:r>
        <w:rPr>
          <w:caps w:val="false"/>
          <w:smallCaps w:val="false"/>
          <w:sz w:val="24"/>
          <w:u w:val="single"/>
        </w:rPr>
        <w:t xml:space="preserve"> </w:t>
      </w:r>
      <w:r>
        <w:rPr>
          <w:rFonts w:ascii="Times New Roman;serif" w:hAnsi="Times New Roman;serif"/>
          <w:b w:val="false"/>
          <w:i w:val="false"/>
          <w:caps w:val="false"/>
          <w:smallCaps w:val="false"/>
          <w:sz w:val="20"/>
          <w:u w:val="single"/>
        </w:rPr>
        <w:t>granted</w:t>
      </w:r>
      <w:r>
        <w:rPr>
          <w:caps w:val="false"/>
          <w:smallCaps w:val="false"/>
          <w:sz w:val="24"/>
          <w:u w:val="single"/>
        </w:rPr>
        <w:t xml:space="preserve"> </w:t>
      </w:r>
      <w:r>
        <w:rPr>
          <w:rFonts w:ascii="Times New Roman;serif" w:hAnsi="Times New Roman;serif"/>
          <w:b w:val="false"/>
          <w:i w:val="false"/>
          <w:caps w:val="false"/>
          <w:smallCaps w:val="false"/>
          <w:sz w:val="20"/>
          <w:u w:val="single"/>
        </w:rPr>
        <w:t>in</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2025 and the related tax and social contributions, in an amount o</w:t>
      </w:r>
      <w:r>
        <w:rPr>
          <w:rFonts w:ascii="Times New Roman;serif" w:hAnsi="Times New Roman;serif"/>
          <w:b w:val="false"/>
          <w:i w:val="false"/>
          <w:caps w:val="false"/>
          <w:smallCaps w:val="false"/>
          <w:strike w:val="false"/>
          <w:dstrike w:val="false"/>
          <w:sz w:val="20"/>
          <w:u w:val="none"/>
          <w:effect w:val="none"/>
        </w:rPr>
        <w:t>f €6.1 millio</w:t>
      </w:r>
      <w:r>
        <w:rPr>
          <w:rFonts w:ascii="Times New Roman;serif" w:hAnsi="Times New Roman;serif"/>
          <w:b w:val="false"/>
          <w:i w:val="false"/>
          <w:caps w:val="false"/>
          <w:smallCaps w:val="false"/>
          <w:sz w:val="20"/>
          <w:u w:val="single"/>
        </w:rPr>
        <w:t>n, and to a lesser extent to the increase</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in our headcount. The increase was also due to a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4.5 million</w:t>
      </w:r>
      <w:r>
        <w:rPr>
          <w:rFonts w:ascii="Times New Roman;serif" w:hAnsi="Times New Roman;serif"/>
          <w:b w:val="false"/>
          <w:i w:val="false"/>
          <w:caps w:val="false"/>
          <w:smallCaps w:val="false"/>
          <w:sz w:val="20"/>
          <w:u w:val="single"/>
        </w:rPr>
        <w:t>,</w:t>
      </w:r>
      <w:r>
        <w:rPr>
          <w:caps w:val="false"/>
          <w:smallCaps w:val="false"/>
          <w:sz w:val="24"/>
          <w:u w:val="single"/>
        </w:rPr>
        <w:t xml:space="preserve"> </w:t>
      </w:r>
      <w:r>
        <w:rPr>
          <w:rFonts w:ascii="Times New Roman;serif" w:hAnsi="Times New Roman;serif"/>
          <w:b w:val="false"/>
          <w:i w:val="false"/>
          <w:caps w:val="false"/>
          <w:smallCaps w:val="false"/>
          <w:sz w:val="20"/>
          <w:u w:val="single"/>
        </w:rPr>
        <w:t xml:space="preserve">or </w:t>
      </w:r>
      <w:r>
        <w:rPr>
          <w:rFonts w:ascii="Times New Roman;serif" w:hAnsi="Times New Roman;serif"/>
          <w:b w:val="false"/>
          <w:i w:val="false"/>
          <w:caps w:val="false"/>
          <w:smallCaps w:val="false"/>
          <w:strike w:val="false"/>
          <w:dstrike w:val="false"/>
          <w:sz w:val="20"/>
          <w:u w:val="none"/>
          <w:effect w:val="none"/>
        </w:rPr>
        <w:t>121%</w:t>
      </w:r>
      <w:r>
        <w:rPr>
          <w:rFonts w:ascii="Times New Roman;serif" w:hAnsi="Times New Roman;serif"/>
          <w:b w:val="false"/>
          <w:i w:val="false"/>
          <w:caps w:val="false"/>
          <w:smallCaps w:val="false"/>
          <w:sz w:val="20"/>
          <w:u w:val="single"/>
        </w:rPr>
        <w:t>, increase in consulting and professional fees,</w:t>
      </w:r>
      <w:r>
        <w:rPr>
          <w:caps w:val="false"/>
          <w:smallCaps w:val="false"/>
          <w:sz w:val="24"/>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driven by increased costs associated with building our infrastructure to support future growth in our operations and</w:t>
      </w:r>
      <w:r>
        <w:rPr>
          <w:caps w:val="false"/>
          <w:smallCaps w:val="false"/>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to a lesser degree by a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1.0 million</w:t>
      </w:r>
      <w:r>
        <w:rPr>
          <w:rFonts w:ascii="Times New Roman;serif" w:hAnsi="Times New Roman;serif"/>
          <w:b w:val="false"/>
          <w:i w:val="false"/>
          <w:caps w:val="false"/>
          <w:smallCaps w:val="false"/>
          <w:sz w:val="20"/>
          <w:u w:val="single"/>
        </w:rPr>
        <w:t xml:space="preserve">, or </w:t>
      </w:r>
      <w:r>
        <w:rPr>
          <w:rFonts w:ascii="Times New Roman;serif" w:hAnsi="Times New Roman;serif"/>
          <w:b w:val="false"/>
          <w:i w:val="false"/>
          <w:caps w:val="false"/>
          <w:smallCaps w:val="false"/>
          <w:strike w:val="false"/>
          <w:dstrike w:val="false"/>
          <w:sz w:val="20"/>
          <w:u w:val="none"/>
          <w:effect w:val="none"/>
        </w:rPr>
        <w:t>51%</w:t>
      </w:r>
      <w:r>
        <w:rPr>
          <w:rFonts w:ascii="Times New Roman;serif" w:hAnsi="Times New Roman;serif"/>
          <w:b w:val="false"/>
          <w:i w:val="false"/>
          <w:caps w:val="false"/>
          <w:smallCaps w:val="false"/>
          <w:sz w:val="20"/>
          <w:u w:val="single"/>
        </w:rPr>
        <w:t>, increase in other general and administrative expenses.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Operating Loss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six months ended June 30, 2026</w:t>
      </w:r>
      <w:r>
        <w:rPr>
          <w:rFonts w:ascii="Times New Roman;serif" w:hAnsi="Times New Roman;serif"/>
          <w:b w:val="false"/>
          <w:i w:val="false"/>
          <w:caps w:val="false"/>
          <w:smallCaps w:val="false"/>
          <w:sz w:val="20"/>
          <w:u w:val="single"/>
        </w:rPr>
        <w:t xml:space="preserve">, our net operating loss was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140.3 million</w:t>
      </w:r>
      <w:r>
        <w:rPr>
          <w:rFonts w:ascii="Times New Roman;serif" w:hAnsi="Times New Roman;serif"/>
          <w:b w:val="false"/>
          <w:i w:val="false"/>
          <w:caps w:val="false"/>
          <w:smallCaps w:val="false"/>
          <w:sz w:val="20"/>
          <w:u w:val="single"/>
        </w:rPr>
        <w:t>, as compared to a net</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operating loss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93.7 million</w:t>
      </w:r>
      <w:r>
        <w:rPr>
          <w:caps w:val="false"/>
          <w:smallCaps w:val="false"/>
          <w:sz w:val="24"/>
          <w:u w:val="single"/>
        </w:rPr>
        <w:t xml:space="preserve"> </w:t>
      </w: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six months ended June 30, 2025</w:t>
      </w:r>
      <w:r>
        <w:rPr>
          <w:rFonts w:ascii="Times New Roman;serif" w:hAnsi="Times New Roman;serif"/>
          <w:b w:val="false"/>
          <w:i w:val="false"/>
          <w:caps w:val="false"/>
          <w:smallCaps w:val="false"/>
          <w:sz w:val="20"/>
          <w:u w:val="single"/>
        </w:rPr>
        <w:t>, an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increase </w:t>
      </w:r>
      <w:r>
        <w:rPr>
          <w:rFonts w:ascii="Times New Roman;serif" w:hAnsi="Times New Roman;serif"/>
          <w:b w:val="false"/>
          <w:i w:val="false"/>
          <w:caps w:val="false"/>
          <w:smallCaps w:val="false"/>
          <w:sz w:val="20"/>
          <w:u w:val="single"/>
        </w:rPr>
        <w:t xml:space="preserve">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46.6 million</w:t>
      </w:r>
      <w:r>
        <w:rPr>
          <w:rFonts w:ascii="Times New Roman;serif" w:hAnsi="Times New Roman;serif"/>
          <w:b w:val="false"/>
          <w:i w:val="false"/>
          <w:caps w:val="false"/>
          <w:smallCaps w:val="false"/>
          <w:sz w:val="20"/>
          <w:u w:val="single"/>
        </w:rPr>
        <w:t xml:space="preserve">, or </w:t>
      </w:r>
      <w:r>
        <w:rPr>
          <w:rFonts w:ascii="Times New Roman;serif" w:hAnsi="Times New Roman;serif"/>
          <w:b w:val="false"/>
          <w:i w:val="false"/>
          <w:caps w:val="false"/>
          <w:smallCaps w:val="false"/>
          <w:strike w:val="false"/>
          <w:dstrike w:val="false"/>
          <w:sz w:val="20"/>
          <w:u w:val="none"/>
          <w:effect w:val="none"/>
        </w:rPr>
        <w:t>50%</w:t>
      </w:r>
      <w:r>
        <w:rPr>
          <w:rFonts w:ascii="Times New Roman;serif" w:hAnsi="Times New Roman;serif"/>
          <w:b w:val="false"/>
          <w:i w:val="false"/>
          <w:caps w:val="false"/>
          <w:smallCaps w:val="false"/>
          <w:sz w:val="20"/>
          <w:u w:val="single"/>
        </w:rPr>
        <w:t xml:space="preserve">. </w:t>
      </w:r>
      <w:r>
        <w:rPr>
          <w:rFonts w:ascii="Times New Roman;serif" w:hAnsi="Times New Roman;serif"/>
          <w:b w:val="false"/>
          <w:i w:val="false"/>
          <w:caps w:val="false"/>
          <w:smallCaps w:val="false"/>
          <w:strike w:val="false"/>
          <w:dstrike w:val="false"/>
          <w:sz w:val="20"/>
          <w:u w:val="none"/>
          <w:effect w:val="none"/>
          <w:shd w:fill="FFFFFF" w:val="clear"/>
        </w:rPr>
        <w:t>This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increase was primarily due to an increase in research and development expenses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29.9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or </w:t>
      </w:r>
      <w:r>
        <w:rPr>
          <w:rFonts w:ascii="Times New Roman;serif" w:hAnsi="Times New Roman;serif"/>
          <w:b w:val="false"/>
          <w:i w:val="false"/>
          <w:caps w:val="false"/>
          <w:smallCaps w:val="false"/>
          <w:strike w:val="false"/>
          <w:dstrike w:val="false"/>
          <w:sz w:val="20"/>
          <w:u w:val="none"/>
          <w:effect w:val="none"/>
        </w:rPr>
        <w:t>38%</w:t>
      </w:r>
      <w:r>
        <w:rPr>
          <w:rFonts w:ascii="Times New Roman;serif" w:hAnsi="Times New Roman;serif"/>
          <w:b w:val="false"/>
          <w:i w:val="false"/>
          <w:caps w:val="false"/>
          <w:smallCaps w:val="false"/>
          <w:sz w:val="20"/>
          <w:u w:val="single"/>
        </w:rPr>
        <w:t>,</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increase in general and administrative expenses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14.1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or </w:t>
      </w:r>
      <w:r>
        <w:rPr>
          <w:rFonts w:ascii="Times New Roman;serif" w:hAnsi="Times New Roman;serif"/>
          <w:b w:val="false"/>
          <w:i w:val="false"/>
          <w:caps w:val="false"/>
          <w:smallCaps w:val="false"/>
          <w:strike w:val="false"/>
          <w:dstrike w:val="false"/>
          <w:sz w:val="20"/>
          <w:u w:val="none"/>
          <w:effect w:val="none"/>
        </w:rPr>
        <w:t>86%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an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increase in sales and marketing</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expenses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3.1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or </w:t>
      </w:r>
      <w:r>
        <w:rPr>
          <w:rFonts w:ascii="Times New Roman;serif" w:hAnsi="Times New Roman;serif"/>
          <w:b w:val="false"/>
          <w:i w:val="false"/>
          <w:caps w:val="false"/>
          <w:smallCaps w:val="false"/>
          <w:strike w:val="false"/>
          <w:dstrike w:val="false"/>
          <w:sz w:val="20"/>
          <w:u w:val="none"/>
          <w:effect w:val="none"/>
        </w:rPr>
        <w:t>202%</w:t>
      </w:r>
      <w:r>
        <w:rPr>
          <w:rFonts w:ascii="Times New Roman;serif" w:hAnsi="Times New Roman;serif"/>
          <w:b w:val="false"/>
          <w:i w:val="false"/>
          <w:caps w:val="false"/>
          <w:smallCaps w:val="false"/>
          <w:strike w:val="false"/>
          <w:dstrike w:val="false"/>
          <w:sz w:val="20"/>
          <w:u w:val="none"/>
          <w:effect w:val="none"/>
          <w:shd w:fill="FFFFFF" w:val="clear"/>
        </w:rPr>
        <w: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Financial Loss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For the six months ended June 30, 2026, our net financial loss was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31.4 million, as compared to a net</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financial loss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7.1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rPr>
        <w:t>for the six 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mainly driven by (i) the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43.2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loss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on derecognition of our royalty certificates following their repurchase on May 7, 2026, (ii) non-cash expenses of</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3.2 million related to our royalty certificates and (iii) foreign exchange losses of €2.4 million, partly offset by (i)</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foreign exchange gains of €10.0 million (including the €6.7 million and €2.7 million non-cash impacts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revaluation of U.S. dollar-denominated intercompany receivables and cash and cash equivalents, respectively, as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June 30, 2026) and (ii) interest income of €1.9 million and fair value changes of €5.4 million in relation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invested proceeds from our U.S. initial public offering and listing on Nasdaq.</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For 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six months ended June 30, 2025, our financial loss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7.1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 mainly driven by interest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expenses of €6.9 million in relation to the first tranche of Kreos / Claret OCABSA, the second and third tranches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 senior secured bonds in the Kreos / Claret Financing (drawn on March 28, 2024 and June 21, 2024 respectively)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and the Heights Convertible Notes, non-cash expense of €1.1 million in relation to our royalty certificates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foreign exchange losses of €2.3 million (including the €0.4 million non-cash impact of the revaluation of U.S.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dollar-denominated cash and cash equivalents as of June 30, 2025).</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These costs were partly offset mainly by interest income of €1.1 million in relation to the invested proceeds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from our U.S. initial public offering and listing on Nasdaq, a non-cash income of €1.3 million related to the decrease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in the fair value of the Heights Convertible Notes and a €0.5 million income related to the fair value changes of</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certain of our cash equivalents.</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Income Taxes</w:t>
      </w:r>
      <w:r>
        <w:rPr>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For the six months ended June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30, 2026, our  tax income was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5.8 million, as compared to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six months ended June 30, 2025, attributable 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derecognition of our net deferred tax liability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5.8 million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recognized in our consolidated statements of financial position as of December 31, 2025.</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The deferred tax liability</w:t>
      </w:r>
      <w:r>
        <w:rPr>
          <w:caps w:val="false"/>
          <w:smallCaps w:val="false"/>
          <w:u w:val="single"/>
        </w:rPr>
        <w:t xml:space="preserve"> </w:t>
      </w:r>
      <w:r>
        <w:rPr>
          <w:rFonts w:ascii="Times New Roman;serif" w:hAnsi="Times New Roman;serif"/>
          <w:b w:val="false"/>
          <w:i w:val="false"/>
          <w:caps w:val="false"/>
          <w:smallCaps w:val="false"/>
          <w:sz w:val="20"/>
          <w:u w:val="single"/>
        </w:rPr>
        <w:t>resulted from the significant taxable temporary difference arising from our royalty</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certificates as of December 31, 2025, which in turn resulted from the difference between (i) the amount already</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deductible from our taxable income as of December 31, 2025 (based on the certificates' fair value minus their</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subscription price) and (ii) the amount of the related financial liability recognized in our condensed consolidated</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statements of financial position at that date (measured at amortized cost using the original effective interest rate).</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Further explanation on</w:t>
      </w:r>
      <w:r>
        <w:rPr>
          <w:caps w:val="false"/>
          <w:smallCaps w:val="false"/>
          <w:u w:val="single"/>
        </w:rPr>
        <w:t xml:space="preserve"> </w:t>
      </w:r>
      <w:r>
        <w:rPr>
          <w:rFonts w:ascii="Times New Roman;serif" w:hAnsi="Times New Roman;serif"/>
          <w:b w:val="false"/>
          <w:i w:val="false"/>
          <w:caps w:val="false"/>
          <w:smallCaps w:val="false"/>
          <w:sz w:val="20"/>
          <w:u w:val="single"/>
        </w:rPr>
        <w:t>the calculation of the deferred tax liability is disclosed in Note 22 to our financial</w:t>
      </w:r>
      <w:r>
        <w:rPr>
          <w:caps w:val="false"/>
          <w:smallCaps w:val="false"/>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statements as of and for the year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included in our Annual</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Report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on Form 20-F for the year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ended December 31, 2025.</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The deferred tax expense is non-cash for the six months ended June 30, 2026.</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Net Loss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For the </w:t>
      </w:r>
      <w:r>
        <w:rPr>
          <w:rFonts w:ascii="Times New Roman;serif" w:hAnsi="Times New Roman;serif"/>
          <w:b w:val="false"/>
          <w:i w:val="false"/>
          <w:caps w:val="false"/>
          <w:smallCaps w:val="false"/>
          <w:strike w:val="false"/>
          <w:dstrike w:val="false"/>
          <w:sz w:val="20"/>
          <w:u w:val="none"/>
          <w:effect w:val="none"/>
        </w:rPr>
        <w:t>six months ended June 30, 2026</w:t>
      </w:r>
      <w:r>
        <w:rPr>
          <w:rFonts w:ascii="Times New Roman;serif" w:hAnsi="Times New Roman;serif"/>
          <w:b w:val="false"/>
          <w:i w:val="false"/>
          <w:caps w:val="false"/>
          <w:smallCaps w:val="false"/>
          <w:sz w:val="20"/>
          <w:u w:val="single"/>
        </w:rPr>
        <w:t xml:space="preserve">, our net loss was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165.9 million</w:t>
      </w:r>
      <w:r>
        <w:rPr>
          <w:rFonts w:ascii="Times New Roman;serif" w:hAnsi="Times New Roman;serif"/>
          <w:b w:val="false"/>
          <w:i w:val="false"/>
          <w:caps w:val="false"/>
          <w:smallCaps w:val="false"/>
          <w:sz w:val="20"/>
          <w:u w:val="single"/>
        </w:rPr>
        <w:t xml:space="preserve">, as compared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100.8 million</w:t>
      </w:r>
      <w:r>
        <w:rPr>
          <w:caps w:val="false"/>
          <w:smallCaps w:val="false"/>
          <w:sz w:val="24"/>
          <w:u w:val="single"/>
        </w:rPr>
        <w:t xml:space="preserve"> </w:t>
      </w:r>
      <w:r>
        <w:rPr>
          <w:rFonts w:ascii="Times New Roman;serif" w:hAnsi="Times New Roman;serif"/>
          <w:b w:val="false"/>
          <w:i w:val="false"/>
          <w:caps w:val="false"/>
          <w:smallCaps w:val="false"/>
          <w:sz w:val="20"/>
          <w:u w:val="single"/>
        </w:rPr>
        <w:t>for</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the </w:t>
      </w:r>
      <w:r>
        <w:rPr>
          <w:rFonts w:ascii="Times New Roman;serif" w:hAnsi="Times New Roman;serif"/>
          <w:b w:val="false"/>
          <w:i w:val="false"/>
          <w:caps w:val="false"/>
          <w:smallCaps w:val="false"/>
          <w:strike w:val="false"/>
          <w:dstrike w:val="false"/>
          <w:sz w:val="20"/>
          <w:u w:val="none"/>
          <w:effect w:val="none"/>
        </w:rPr>
        <w:t>six months ended June 30, 2025</w:t>
      </w:r>
      <w:r>
        <w:rPr>
          <w:rFonts w:ascii="Times New Roman;serif" w:hAnsi="Times New Roman;serif"/>
          <w:b w:val="false"/>
          <w:i w:val="false"/>
          <w:caps w:val="false"/>
          <w:smallCaps w:val="false"/>
          <w:sz w:val="20"/>
          <w:u w:val="single"/>
        </w:rPr>
        <w:t>, an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increase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65.1 million, or 65%, mainly driven by an increase in financial</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loss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24.3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 increase in operating loss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46.6 million,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Liquidity and Capital Resources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Sources of Liquidity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We have incurred substantial </w:t>
      </w:r>
      <w:r>
        <w:rPr>
          <w:rFonts w:ascii="Times New Roman;serif" w:hAnsi="Times New Roman;serif"/>
          <w:b w:val="false"/>
          <w:i w:val="false"/>
          <w:caps w:val="false"/>
          <w:smallCaps w:val="false"/>
          <w:sz w:val="20"/>
          <w:u w:val="single"/>
        </w:rPr>
        <w:t>operating</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losses since inception and expect to continue to incur significant</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operating losses </w:t>
      </w:r>
      <w:r>
        <w:rPr>
          <w:rFonts w:ascii="Times New Roman;serif" w:hAnsi="Times New Roman;serif"/>
          <w:b w:val="false"/>
          <w:i w:val="false"/>
          <w:caps w:val="false"/>
          <w:smallCaps w:val="false"/>
          <w:sz w:val="20"/>
          <w:u w:val="single"/>
        </w:rPr>
        <w:t>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foreseeable future and may never become profitable. For the </w:t>
      </w:r>
      <w:r>
        <w:rPr>
          <w:rFonts w:ascii="Times New Roman;serif" w:hAnsi="Times New Roman;serif"/>
          <w:b w:val="false"/>
          <w:i w:val="false"/>
          <w:caps w:val="false"/>
          <w:smallCaps w:val="false"/>
          <w:strike w:val="false"/>
          <w:dstrike w:val="false"/>
          <w:sz w:val="20"/>
          <w:u w:val="none"/>
          <w:effect w:val="none"/>
          <w:shd w:fill="FFFFFF" w:val="clear"/>
        </w:rPr>
        <w:t>six months ended June 30, 2025</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and 2026</w:t>
      </w:r>
      <w:r>
        <w:rPr>
          <w:rFonts w:ascii="Times New Roman;serif" w:hAnsi="Times New Roman;serif"/>
          <w:b w:val="false"/>
          <w:i w:val="false"/>
          <w:caps w:val="false"/>
          <w:smallCaps w:val="false"/>
          <w:strike w:val="false"/>
          <w:dstrike w:val="false"/>
          <w:sz w:val="20"/>
          <w:u w:val="none"/>
          <w:effect w:val="none"/>
        </w:rPr>
        <w:t xml:space="preserve">, we reported net losses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100.8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165.9 million, respectively. As of December 31, 2025, we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carried forward accumulated tax losses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912.9 million</w:t>
      </w:r>
      <w:r>
        <w:rPr>
          <w:rFonts w:ascii="Times New Roman;serif" w:hAnsi="Times New Roman;serif"/>
          <w:b w:val="false"/>
          <w:i w:val="false"/>
          <w:caps w:val="false"/>
          <w:smallCaps w:val="false"/>
          <w:sz w:val="20"/>
          <w:u w:val="single"/>
        </w:rPr>
        <w:t>.</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Since inception, we have financed our operations through the issuance of ordinary shares with gross aggregate</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proceeds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2,002.1 million, of which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130.0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gross proceeds were from offerings of our ordinary shares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on Euronext Paris in February 2023,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223.3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gross proceeds were from offering of our ordinary shares in</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form of ADS on the Nasdaq Global Market in our U.S. initial public offering as well as ordinary shares in</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Europe (including France) and countries outside of the </w:t>
      </w:r>
      <w:r>
        <w:rPr>
          <w:rFonts w:ascii="Times New Roman;serif" w:hAnsi="Times New Roman;serif"/>
          <w:b w:val="false"/>
          <w:i w:val="false"/>
          <w:caps w:val="false"/>
          <w:smallCaps w:val="false"/>
          <w:sz w:val="20"/>
          <w:u w:val="single"/>
        </w:rPr>
        <w:t>United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States in a private placement in October 2023,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637.5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gross proceeds were from the offering of our ordinary shares in the form of ADS on the Nasdaq Global</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Market in July 2025 (the "2025 Offering"),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807.4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gross proceeds were from the offering of ordinary</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shares in the form of ADSs on the Nasdaq Global Market in July 2026 (the “2026 Offering”), bank borrowings and</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structured loans of €175.0 million, reimbursements of CIR in an amount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41.2 million, grants received from</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Bpifrance (including €21.3 million of subsidies and €1.8 million of conditional advances) and royalty certificates in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 amount of €2.9 million.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addition, on November 19, 2024, we entered into an equity distribution agreement with Piper Sandler &amp; Co.</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("Piper Sandler") allowing us to issue and sell from time to time, in one or more "at the market" offerings through</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Piper Sandler acting as sales </w:t>
      </w:r>
      <w:r>
        <w:rPr>
          <w:rFonts w:ascii="Times New Roman;serif" w:hAnsi="Times New Roman;serif"/>
          <w:b w:val="false"/>
          <w:i w:val="false"/>
          <w:caps w:val="false"/>
          <w:smallCaps w:val="false"/>
          <w:sz w:val="20"/>
          <w:u w:val="single"/>
        </w:rPr>
        <w:t>agent</w:t>
      </w:r>
      <w:r>
        <w:rPr>
          <w:rFonts w:ascii="Times New Roman;serif" w:hAnsi="Times New Roman;serif"/>
          <w:b w:val="false"/>
          <w:i w:val="false"/>
          <w:caps w:val="false"/>
          <w:smallCaps w:val="false"/>
          <w:strike w:val="false"/>
          <w:dstrike w:val="false"/>
          <w:sz w:val="20"/>
          <w:u w:val="none"/>
          <w:effect w:val="none"/>
        </w:rPr>
        <w:t>, ordinary shares in the form of ADSs, each ADS representing one ordinary share,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nominal value </w:t>
      </w:r>
      <w:r>
        <w:rPr>
          <w:rFonts w:ascii="Times New Roman;serif" w:hAnsi="Times New Roman;serif"/>
          <w:b w:val="false"/>
          <w:i w:val="false"/>
          <w:caps w:val="false"/>
          <w:smallCaps w:val="false"/>
          <w:sz w:val="20"/>
          <w:u w:val="single"/>
        </w:rPr>
        <w:t>of</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0.01 per share, with aggregate gross sales proceeds of up to $150.0 million (the "ATM Program").</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date, we have not sold any ADSs pursuant to the ATM Program.</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Based on (a) our existing cash and cash equivalents and other short-term investments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402.4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z w:val="20"/>
          <w:u w:val="single"/>
        </w:rPr>
        <w:t>as of</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(b) the net proceeds from the July 2026 Offering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767.1 million, </w:t>
      </w:r>
      <w:r>
        <w:rPr>
          <w:rFonts w:ascii="Times New Roman;serif" w:hAnsi="Times New Roman;serif"/>
          <w:b w:val="false"/>
          <w:i w:val="false"/>
          <w:caps w:val="false"/>
          <w:smallCaps w:val="false"/>
          <w:sz w:val="20"/>
          <w:u w:val="single"/>
        </w:rPr>
        <w:t>we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expect, as of the date of</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issuance of the </w:t>
      </w:r>
      <w:r>
        <w:rPr>
          <w:rFonts w:ascii="Times New Roman;serif" w:hAnsi="Times New Roman;serif"/>
          <w:b w:val="false"/>
          <w:i w:val="false"/>
          <w:caps w:val="false"/>
          <w:smallCaps w:val="false"/>
          <w:sz w:val="20"/>
          <w:u w:val="single"/>
        </w:rPr>
        <w:t xml:space="preserve">unaudited interim condensed </w:t>
      </w:r>
      <w:r>
        <w:rPr>
          <w:rFonts w:ascii="Times New Roman;serif" w:hAnsi="Times New Roman;serif"/>
          <w:b w:val="false"/>
          <w:i w:val="false"/>
          <w:caps w:val="false"/>
          <w:smallCaps w:val="false"/>
          <w:strike w:val="false"/>
          <w:dstrike w:val="false"/>
          <w:sz w:val="20"/>
          <w:u w:val="none"/>
          <w:effect w:val="none"/>
        </w:rPr>
        <w:t xml:space="preserve">consolidated financial statements included in </w:t>
      </w:r>
      <w:r>
        <w:rPr>
          <w:rFonts w:ascii="Times New Roman;serif" w:hAnsi="Times New Roman;serif"/>
          <w:b w:val="false"/>
          <w:i w:val="false"/>
          <w:caps w:val="false"/>
          <w:smallCaps w:val="false"/>
          <w:sz w:val="20"/>
          <w:u w:val="single"/>
        </w:rPr>
        <w:t>this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half-year report, to be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able to fund our forecasted cash flow requirements as they fall due for at least 12 months. </w:t>
      </w:r>
      <w:r>
        <w:rPr>
          <w:rFonts w:ascii="Times New Roman;serif" w:hAnsi="Times New Roman;serif"/>
          <w:b w:val="false"/>
          <w:i w:val="false"/>
          <w:caps w:val="false"/>
          <w:smallCaps w:val="false"/>
          <w:sz w:val="20"/>
          <w:u w:val="single"/>
        </w:rPr>
        <w:t>Our forecasted cash flow</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requirements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reflect continued investment in the extension of the Phase 3 clinical program for obefazimod in UC,</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 advancement of the Phase 2b ENHANCE-CD clinical trial in CD, with expected 12-week induction topline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results in mid-2027, the planned submission of an NDA for obefazimod in UC</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fourth quarter of 2026,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continued buildout of the U.S. commercial organization in preparation for a potential commercial launch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obefazimod in UC, if approved. Our forecasted cash flow requirements also include ongoing general and</w:t>
      </w:r>
      <w:r>
        <w:rPr>
          <w:caps w:val="false"/>
          <w:smallCaps w:val="false"/>
          <w:strike w:val="false"/>
          <w:dstrike w:val="false"/>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administrative expenses, working capital requirements and other operating activities necessary to support our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business.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Based on the above, management has concluded that our existing cash, cash equivalents and other short-term</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investments are </w:t>
      </w:r>
      <w:r>
        <w:rPr>
          <w:rFonts w:ascii="Times New Roman;serif" w:hAnsi="Times New Roman;serif"/>
          <w:b w:val="false"/>
          <w:i w:val="false"/>
          <w:caps w:val="false"/>
          <w:smallCaps w:val="false"/>
          <w:sz w:val="20"/>
          <w:u w:val="single"/>
        </w:rPr>
        <w:t>sufficient</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fund our operating and capital expenditure requirements for a period greater than 12</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months from the date of issuance of the financial statements accompanying this half-year report,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accompanying financial statements have been prepared on a going concern basis.</w:t>
      </w:r>
      <w:r>
        <w:rPr>
          <w:caps w:val="false"/>
          <w:smallCaps w:val="false"/>
          <w:strike w:val="false"/>
          <w:dstrike w:val="false"/>
          <w:u w:val="none"/>
          <w:effect w:val="none"/>
        </w:rPr>
        <w:t xml:space="preserve">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Capital Increases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On July 28, 2025, we received gross proceeds of €637.5 million from the issuance of 11,679,400 ordinary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shares in the form of ADSs, at a price of $64.00 per share (corresponding to €54.58 per ordinary share).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On May 7, 2026, as part of the settlement of the repurchase of our royalty certificates, we issued 403,347</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ordinary shares in the form of ADSs to the benefit of the holders of our royalty certificates, at an offering price of</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$111.57 per share (corresponding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95.34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ordinary share), representing an aggregate amount of €38.5 million.</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On July 6, 2026, we received gross proceeds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807.4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the issuance of 7,360,000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ordinary shares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the form of ADSs, at a price of $125.00 per share (corresponding to €109.71 per ordinary share).</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Research Tax Credits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From </w:t>
      </w:r>
      <w:r>
        <w:rPr>
          <w:rFonts w:ascii="Times New Roman;serif" w:hAnsi="Times New Roman;serif"/>
          <w:b w:val="false"/>
          <w:i w:val="false"/>
          <w:caps w:val="false"/>
          <w:smallCaps w:val="false"/>
          <w:sz w:val="20"/>
          <w:u w:val="single"/>
        </w:rPr>
        <w:t>our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inception 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June 30, 2026, we have benefited from refunds of CIRs in a total amount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41.2</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million.</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We currently expect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receive CIRs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with respect to eligible research expenses incurred during</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year ended December 31, 2025 in the second half of 2026.</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In June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2025, we received CIRs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with respect to eligible research expenses incurred during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year ended December 31, 2024.</w:t>
      </w:r>
    </w:p>
    <w:p>
      <w:pPr>
        <w:pStyle w:val="TextBody"/>
        <w:bidi w:val="0"/>
        <w:spacing w:lineRule="atLeast" w:line="200" w:before="0" w:after="0"/>
        <w:jc w:val="left"/>
        <w:rPr/>
      </w:pPr>
      <w:r>
        <w:rPr>
          <w:caps w:val="false"/>
          <w:smallCaps w:val="false"/>
          <w:strike w:val="false"/>
          <w:dstrike w:val="false"/>
          <w:u w:val="none"/>
          <w:effect w:val="none"/>
        </w:rPr>
        <w:t> </w:t>
      </w:r>
      <w:r>
        <w:rPr>
          <w:rFonts w:ascii="Times New Roman;serif" w:hAnsi="Times New Roman;serif"/>
          <w:b/>
          <w:i/>
          <w:strike w:val="false"/>
          <w:dstrike w:val="false"/>
          <w:sz w:val="20"/>
          <w:u w:val="none"/>
          <w:effect w:val="none"/>
        </w:rPr>
        <w:t xml:space="preserve">Indebtedness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For a description of material financing agreements, see "Item 10.C. Material Contracts" of the Company’s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Annual</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Report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on Form 20-F for the year ended December 31, 2025.</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connection with the repurchase of our royalty certificates in May 2026, we were granted an interest-free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vendor’s loan ("</w:t>
      </w:r>
      <w:r>
        <w:rPr>
          <w:rFonts w:ascii="Times New Roman;serif" w:hAnsi="Times New Roman;serif"/>
          <w:b w:val="false"/>
          <w:i/>
          <w:strike w:val="false"/>
          <w:dstrike w:val="false"/>
          <w:sz w:val="20"/>
          <w:u w:val="none"/>
          <w:effect w:val="none"/>
        </w:rPr>
        <w:t>crédit vendeur</w:t>
      </w:r>
      <w:r>
        <w:rPr>
          <w:rFonts w:ascii="Times New Roman;serif" w:hAnsi="Times New Roman;serif"/>
          <w:b w:val="false"/>
          <w:i w:val="false"/>
          <w:caps w:val="false"/>
          <w:smallCaps w:val="false"/>
          <w:strike w:val="false"/>
          <w:dstrike w:val="false"/>
          <w:sz w:val="20"/>
          <w:u w:val="none"/>
          <w:effect w:val="none"/>
        </w:rPr>
        <w:t>") in a total amount equal to $45 million, which was reinvested in our securities by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way of set off</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against the subscription price of 403,347 ordinary shares in the form of ADSs issued to the benefit of</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the royalty certificate holders, at an offering price of $111.57 per ADS (corresponding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95.34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ordinary share).</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set-off and the corresponding issuance and delivery of the ADSs to the holders occurred on May 7, 2026.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vendor's loan was fully extinguished at that date. The royalty certificates were immediately cancelled following the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transaction.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Historical Changes in Cash Flows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following</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table sets forth our cash inflows and outflows for the six-month periods ended June 30, 2025</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2026.</w:t>
      </w:r>
    </w:p>
    <w:tbl>
      <w:tblPr>
        <w:tblW w:w="9349" w:type="dxa"/>
        <w:jc w:val="left"/>
        <w:tblInd w:w="0" w:type="dxa"/>
        <w:tblLayout w:type="fixed"/>
        <w:tblCellMar>
          <w:top w:w="28" w:type="dxa"/>
          <w:left w:w="28" w:type="dxa"/>
          <w:bottom w:w="28" w:type="dxa"/>
          <w:right w:w="28" w:type="dxa"/>
        </w:tblCellMar>
      </w:tblPr>
      <w:tblGrid>
        <w:gridCol w:w="5281"/>
        <w:gridCol w:w="1456"/>
        <w:gridCol w:w="1456"/>
        <w:gridCol w:w="1156"/>
      </w:tblGrid>
      <w:tr>
        <w:trPr/>
        <w:tc>
          <w:tcPr>
            <w:tcW w:w="52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528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thousands of euros)</w:t>
            </w:r>
          </w:p>
        </w:tc>
        <w:tc>
          <w:tcPr>
            <w:tcW w:w="14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Six 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4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Six 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1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2026 vs 2025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Change</w:t>
            </w:r>
          </w:p>
        </w:tc>
      </w:tr>
      <w:tr>
        <w:trPr/>
        <w:tc>
          <w:tcPr>
            <w:tcW w:w="528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cash flows (used in) operating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(66,618)</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(102,509)</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w:t>
            </w:r>
          </w:p>
        </w:tc>
      </w:tr>
      <w:tr>
        <w:trPr/>
        <w:tc>
          <w:tcPr>
            <w:tcW w:w="528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cash flows provided by (used in) investing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1,269</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1,466</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r>
      <w:tr>
        <w:trPr/>
        <w:tc>
          <w:tcPr>
            <w:tcW w:w="528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cash flows provided by (used in) financing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(16,604)</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(39,276)</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w:t>
            </w:r>
          </w:p>
        </w:tc>
      </w:tr>
      <w:tr>
        <w:trPr/>
        <w:tc>
          <w:tcPr>
            <w:tcW w:w="528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Effect of movements in exchange rates on cash held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(1,785)</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6,206</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(448)%</w:t>
            </w:r>
          </w:p>
        </w:tc>
      </w:tr>
      <w:tr>
        <w:trPr/>
        <w:tc>
          <w:tcPr>
            <w:tcW w:w="528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Revaluation of cash equivalents measured at fair value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5,420</w:t>
            </w:r>
          </w:p>
        </w:tc>
        <w:tc>
          <w:tcPr>
            <w:tcW w:w="11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1,072%</w:t>
            </w:r>
          </w:p>
        </w:tc>
      </w:tr>
      <w:tr>
        <w:trPr/>
        <w:tc>
          <w:tcPr>
            <w:tcW w:w="528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Net (decrease) in cash and cash equivalents</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(83,275)</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(128,693)</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55%</w:t>
            </w:r>
          </w:p>
        </w:tc>
      </w:tr>
      <w:tr>
        <w:trPr/>
        <w:tc>
          <w:tcPr>
            <w:tcW w:w="5281"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Cash and cash equivalents at the beginning of the period</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144,221</w:t>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516,685</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258%</w:t>
            </w:r>
          </w:p>
        </w:tc>
      </w:tr>
      <w:tr>
        <w:trPr/>
        <w:tc>
          <w:tcPr>
            <w:tcW w:w="5281"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color w:val="000000"/>
                <w:sz w:val="20"/>
                <w:u w:val="none"/>
                <w:effect w:val="none"/>
              </w:rPr>
              <w:t>Cash and cash equivalents at the end of the period</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60,946</w:t>
            </w:r>
          </w:p>
        </w:tc>
        <w:tc>
          <w:tcPr>
            <w:tcW w:w="14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387,992</w:t>
            </w:r>
          </w:p>
        </w:tc>
        <w:tc>
          <w:tcPr>
            <w:tcW w:w="115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537%</w:t>
            </w:r>
          </w:p>
        </w:tc>
      </w:tr>
      <w:tr>
        <w:trPr/>
        <w:tc>
          <w:tcPr>
            <w:tcW w:w="5281" w:type="dxa"/>
            <w:tcBorders/>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Operating Activities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For the six months ended June 30, 2026, cash used in operating activities was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102.5 million, as compared to</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66.6 million</w:t>
      </w:r>
      <w:r>
        <w:rPr>
          <w:caps w:val="false"/>
          <w:smallCaps w:val="false"/>
          <w:sz w:val="24"/>
          <w:u w:val="single"/>
        </w:rPr>
        <w:t xml:space="preserve"> </w:t>
      </w:r>
      <w:r>
        <w:rPr>
          <w:rFonts w:ascii="Times New Roman;serif" w:hAnsi="Times New Roman;serif"/>
          <w:b w:val="false"/>
          <w:i w:val="false"/>
          <w:caps w:val="false"/>
          <w:smallCaps w:val="false"/>
          <w:strike w:val="false"/>
          <w:dstrike w:val="false"/>
          <w:sz w:val="20"/>
          <w:u w:val="none"/>
          <w:effect w:val="none"/>
        </w:rPr>
        <w:t xml:space="preserve">for the six months ended June 30, 2025, an increase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35.9 million, or 54%. Net cash used in</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operating activities for both periods was predominantly related to payments for the progression of our UC and CD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trials and personnel, legal, professional and infrastructure costs associated with operating as a dual-listed public</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company. The</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increase was mostly driven by the increase in our operating loss (as explained above), partly offset by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changes in our working capital requirements of €15.5 million for the six months ended June 30, 2025, resulting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primarily from an increase in our trade payables reflecting the progress of our Phase 3 clinical trials. For the six</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months ended June</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30, 2026, the changes in our working capital requirements further contributed to our net cash</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used in operating activities for €3.7 million.</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Investing Activities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For the six months ended June 30, 2026, cash provided by investing activities amounted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1.5 million</w:t>
      </w:r>
      <w:r>
        <w:rPr>
          <w:rFonts w:ascii="Times New Roman;serif" w:hAnsi="Times New Roman;serif"/>
          <w:b w:val="false"/>
          <w:i w:val="false"/>
          <w:caps w:val="false"/>
          <w:smallCaps w:val="false"/>
          <w:sz w:val="20"/>
          <w:u w:val="single"/>
        </w:rPr>
        <w:t>,</w:t>
      </w:r>
      <w:r>
        <w:rPr>
          <w:caps w:val="false"/>
          <w:smallCaps w:val="false"/>
          <w:sz w:val="24"/>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 xml:space="preserve">primarily </w:t>
      </w:r>
      <w:r>
        <w:rPr>
          <w:rFonts w:ascii="Times New Roman;serif" w:hAnsi="Times New Roman;serif"/>
          <w:b w:val="false"/>
          <w:i w:val="false"/>
          <w:caps w:val="false"/>
          <w:smallCaps w:val="false"/>
          <w:strike w:val="false"/>
          <w:dstrike w:val="false"/>
          <w:sz w:val="20"/>
          <w:u w:val="none"/>
          <w:effect w:val="none"/>
        </w:rPr>
        <w:t>reflecting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interest received on our invested proceeds from</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our 2025 Offering.</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six months ended June 30, 2025, cash provided by investing activities amounted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was mainly</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driven by €1.0 million of interest received on our invested proceeds from our initial public offering on</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Nasdaq Global Market and private placement in October 2023.</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Financing Activities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For the six months ended June 30, 2026, cash used in financing activities was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39.3 million, which primarily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consisted of the portion of the repurchase of our royalty certificates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settled in cash (€38.2 million).</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For the six months ended June 30, 2025, cash used in financing activities was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16.6 million, which consisted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of repayments of €12.6 million (of which €9.1 million under the tranches A, B and C of the Kreos / Claret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Financing, €2.2 million under the Heights Convertible Notes and €1.2 million under the PGE) and interest payments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3.9 million.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Material Cash Requirements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Contractual Obligations and Loans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 following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table sets forth information about material contractual obligations as of June 30, 2026.</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commitment</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amounts in the table below are associated with contracts that are enforceable and legally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binding and that specify all significant terms, including fixed or minimum services to be used, fixed, minimum or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variable price provisions, and the approximate timing of the actions under the contracts. Future events could cause</w:t>
      </w:r>
      <w:r>
        <w:rPr>
          <w:caps w:val="false"/>
          <w:smallCaps w:val="false"/>
          <w:strike w:val="false"/>
          <w:dstrike w:val="false"/>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actual payments to differ from these estimates. All amounts except the retirement benefits in the table below are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presented gross and are undiscounted.</w:t>
      </w:r>
      <w:r>
        <w:rPr>
          <w:caps w:val="false"/>
          <w:smallCaps w:val="false"/>
          <w:strike w:val="false"/>
          <w:dstrike w:val="false"/>
          <w:u w:val="none"/>
          <w:effect w:val="none"/>
        </w:rPr>
        <w:t xml:space="preserve"> </w:t>
      </w:r>
    </w:p>
    <w:p>
      <w:pPr>
        <w:pStyle w:val="TextBody"/>
        <w:bidi w:val="0"/>
        <w:spacing w:lineRule="atLeast" w:line="240"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7879" w:type="dxa"/>
        <w:jc w:val="left"/>
        <w:tblInd w:w="0" w:type="dxa"/>
        <w:tblLayout w:type="fixed"/>
        <w:tblCellMar>
          <w:top w:w="28" w:type="dxa"/>
          <w:left w:w="28" w:type="dxa"/>
          <w:bottom w:w="28" w:type="dxa"/>
          <w:right w:w="28" w:type="dxa"/>
        </w:tblCellMar>
      </w:tblPr>
      <w:tblGrid>
        <w:gridCol w:w="3196"/>
        <w:gridCol w:w="1546"/>
        <w:gridCol w:w="1546"/>
        <w:gridCol w:w="1591"/>
      </w:tblGrid>
      <w:tr>
        <w:trPr/>
        <w:tc>
          <w:tcPr>
            <w:tcW w:w="3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June 30, 2026</w:t>
            </w:r>
          </w:p>
        </w:tc>
        <w:tc>
          <w:tcPr>
            <w:tcW w:w="15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June 30, 2026</w:t>
            </w:r>
          </w:p>
        </w:tc>
        <w:tc>
          <w:tcPr>
            <w:tcW w:w="159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June 30, 2026</w:t>
            </w:r>
          </w:p>
        </w:tc>
      </w:tr>
      <w:tr>
        <w:trPr/>
        <w:tc>
          <w:tcPr>
            <w:tcW w:w="319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5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Less than</w:t>
            </w:r>
          </w:p>
        </w:tc>
        <w:tc>
          <w:tcPr>
            <w:tcW w:w="15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More than</w:t>
            </w:r>
          </w:p>
        </w:tc>
        <w:tc>
          <w:tcPr>
            <w:tcW w:w="159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thousands of euros)</w:t>
            </w:r>
          </w:p>
        </w:tc>
        <w:tc>
          <w:tcPr>
            <w:tcW w:w="15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 year</w:t>
            </w:r>
          </w:p>
        </w:tc>
        <w:tc>
          <w:tcPr>
            <w:tcW w:w="15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 year</w:t>
            </w:r>
          </w:p>
        </w:tc>
        <w:tc>
          <w:tcPr>
            <w:tcW w:w="159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31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Lease 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5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1,096</w:t>
            </w:r>
          </w:p>
        </w:tc>
        <w:tc>
          <w:tcPr>
            <w:tcW w:w="15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w:t>
            </w:r>
          </w:p>
        </w:tc>
        <w:tc>
          <w:tcPr>
            <w:tcW w:w="159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1,238</w:t>
            </w:r>
          </w:p>
        </w:tc>
      </w:tr>
      <w:tr>
        <w:trPr/>
        <w:tc>
          <w:tcPr>
            <w:tcW w:w="31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Retirement benefits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5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696</w:t>
            </w:r>
          </w:p>
        </w:tc>
        <w:tc>
          <w:tcPr>
            <w:tcW w:w="159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696</w:t>
            </w:r>
          </w:p>
        </w:tc>
      </w:tr>
      <w:tr>
        <w:trPr/>
        <w:tc>
          <w:tcPr>
            <w:tcW w:w="319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Off-balance sheet 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54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186,350</w:t>
            </w:r>
          </w:p>
        </w:tc>
        <w:tc>
          <w:tcPr>
            <w:tcW w:w="154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186,350</w:t>
            </w:r>
          </w:p>
        </w:tc>
      </w:tr>
      <w:tr>
        <w:trPr/>
        <w:tc>
          <w:tcPr>
            <w:tcW w:w="3196"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54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54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59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196" w:type="dxa"/>
            <w:tcBorders/>
            <w:vAlign w:val="center"/>
          </w:tcPr>
          <w:p>
            <w:pPr>
              <w:pStyle w:val="TableContents"/>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Total</w:t>
            </w:r>
            <w:r>
              <w:rPr>
                <w:caps w:val="false"/>
                <w:smallCaps w:val="false"/>
              </w:rPr>
              <w:t xml:space="preserve"> </w:t>
            </w:r>
            <w:r>
              <w:rPr>
                <w:rFonts w:ascii="Times New Roman;serif" w:hAnsi="Times New Roman;serif"/>
                <w:b/>
                <w:i w:val="false"/>
                <w:caps w:val="false"/>
                <w:smallCaps w:val="false"/>
                <w:strike w:val="false"/>
                <w:dstrike w:val="false"/>
                <w:color w:val="B4B4B4"/>
                <w:sz w:val="20"/>
                <w:u w:val="none"/>
                <w:effect w:val="none"/>
              </w:rPr>
              <w:t>....................................................</w:t>
            </w:r>
          </w:p>
        </w:tc>
        <w:tc>
          <w:tcPr>
            <w:tcW w:w="154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187,446</w:t>
            </w:r>
          </w:p>
        </w:tc>
        <w:tc>
          <w:tcPr>
            <w:tcW w:w="1546"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838</w:t>
            </w:r>
          </w:p>
        </w:tc>
        <w:tc>
          <w:tcPr>
            <w:tcW w:w="1591" w:type="dxa"/>
            <w:tcBorders>
              <w:bottom w:val="doub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188,284</w:t>
            </w:r>
          </w:p>
        </w:tc>
      </w:tr>
      <w:tr>
        <w:trPr/>
        <w:tc>
          <w:tcPr>
            <w:tcW w:w="3196"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546" w:type="dxa"/>
            <w:tcBorders>
              <w:top w:val="double" w:sz="8" w:space="0" w:color="000000"/>
            </w:tcBorders>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546" w:type="dxa"/>
            <w:tcBorders>
              <w:top w:val="double" w:sz="8" w:space="0" w:color="000000"/>
            </w:tcBorders>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591" w:type="dxa"/>
            <w:tcBorders>
              <w:top w:val="double" w:sz="8" w:space="0" w:color="000000"/>
            </w:tcBorders>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bl>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the ordinary course of our business, we regularly use the services of subcontractors and enter into research</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and partnership arrangements with various contract research organizations (“CROs”) and with public-sector partners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or subcontractors, who conduct clinical trials and studies in relation to our drug candidates. Off-balance sheet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obligations in the table above are commitments related to these research and partnership agreements. They are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classified at less than one year maturity in the absence of a fixed schedule in contracts, in case of multiple-year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contracts, such as CRO contracts. CRO contracts include payments that are conditional to the completion of future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development milestones. </w:t>
      </w:r>
      <w:r>
        <w:rPr>
          <w:rFonts w:ascii="Times New Roman;serif" w:hAnsi="Times New Roman;serif"/>
          <w:b w:val="false"/>
          <w:i w:val="false"/>
          <w:caps w:val="false"/>
          <w:smallCaps w:val="false"/>
          <w:sz w:val="20"/>
          <w:u w:val="single"/>
        </w:rPr>
        <w:t>The majority of the commitments with our CROs are cancellable under certain</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circumstances such as insolvency, study put on hold by competent authorities, breach in regulations or negligence in</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the provision of the services.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As of June 30, 2026, our contractual obligations were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188.3 million, comprising off-balance sheet obligations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186.3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with respect to purchase obligations, lease obligations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1.2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retirement benefits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obligations of </w:t>
      </w:r>
      <w:r>
        <w:rPr>
          <w:caps w:val="false"/>
          <w:smallCaps w:val="false"/>
          <w:strike w:val="false"/>
          <w:dstrike w:val="false"/>
          <w:sz w:val="24"/>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0.7 million.</w:t>
      </w:r>
      <w:r>
        <w:rPr>
          <w:caps w:val="false"/>
          <w:smallCaps w:val="false"/>
          <w:strike w:val="false"/>
          <w:dstrike w:val="false"/>
          <w:sz w:val="24"/>
          <w:u w:val="none"/>
          <w:effect w:val="none"/>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INDEX TO UNAUDITED INTERIM CONDENSED CONSOLIDATED FINANCIAL STATEMENTS</w:t>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8267" w:type="dxa"/>
        <w:jc w:val="left"/>
        <w:tblInd w:w="0" w:type="dxa"/>
        <w:tblLayout w:type="fixed"/>
        <w:tblCellMar>
          <w:top w:w="28" w:type="dxa"/>
          <w:left w:w="28" w:type="dxa"/>
          <w:bottom w:w="28" w:type="dxa"/>
          <w:right w:w="28" w:type="dxa"/>
        </w:tblCellMar>
      </w:tblPr>
      <w:tblGrid>
        <w:gridCol w:w="7846"/>
        <w:gridCol w:w="421"/>
      </w:tblGrid>
      <w:tr>
        <w:trPr/>
        <w:tc>
          <w:tcPr>
            <w:tcW w:w="78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784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Condensed </w:t>
            </w:r>
            <w:hyperlink w:anchor="i9f9dd81d6e8440aa9322d214e24fdbe2_43">
              <w:r>
                <w:rPr>
                  <w:rStyle w:val="InternetLink"/>
                  <w:rFonts w:ascii="Times New Roman;serif" w:hAnsi="Times New Roman;serif"/>
                  <w:b w:val="false"/>
                  <w:i w:val="false"/>
                  <w:caps w:val="false"/>
                  <w:smallCaps w:val="false"/>
                  <w:strike w:val="false"/>
                  <w:dstrike w:val="false"/>
                  <w:color w:val="000000"/>
                  <w:sz w:val="20"/>
                  <w:u w:val="single"/>
                  <w:effect w:val="none"/>
                </w:rPr>
                <w:t>Consolidated Statements of Financial Position</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421" w:type="dxa"/>
            <w:tcBorders/>
            <w:vAlign w:val="center"/>
          </w:tcPr>
          <w:p>
            <w:pPr>
              <w:pStyle w:val="TableContents"/>
              <w:bidi w:val="0"/>
              <w:spacing w:lineRule="atLeast" w:line="200" w:before="0" w:after="0"/>
              <w:jc w:val="left"/>
              <w:rPr/>
            </w:pPr>
            <w:hyperlink w:anchor="i9f9dd81d6e8440aa9322d214e24fdbe2_43">
              <w:r>
                <w:rPr>
                  <w:rStyle w:val="InternetLink"/>
                  <w:rFonts w:ascii="Times New Roman;serif" w:hAnsi="Times New Roman;serif"/>
                  <w:b w:val="false"/>
                  <w:i w:val="false"/>
                  <w:caps w:val="false"/>
                  <w:smallCaps w:val="false"/>
                  <w:strike w:val="false"/>
                  <w:dstrike w:val="false"/>
                  <w:color w:val="000000"/>
                  <w:sz w:val="20"/>
                  <w:u w:val="single"/>
                  <w:effect w:val="none"/>
                </w:rPr>
                <w:t>F-2</w:t>
              </w:r>
            </w:hyperlink>
          </w:p>
        </w:tc>
      </w:tr>
      <w:tr>
        <w:trPr/>
        <w:tc>
          <w:tcPr>
            <w:tcW w:w="784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Condensed </w:t>
            </w:r>
            <w:hyperlink w:anchor="i9f9dd81d6e8440aa9322d214e24fdbe2_46">
              <w:r>
                <w:rPr>
                  <w:rStyle w:val="InternetLink"/>
                  <w:rFonts w:ascii="Times New Roman;serif" w:hAnsi="Times New Roman;serif"/>
                  <w:b w:val="false"/>
                  <w:i w:val="false"/>
                  <w:caps w:val="false"/>
                  <w:smallCaps w:val="false"/>
                  <w:strike w:val="false"/>
                  <w:dstrike w:val="false"/>
                  <w:color w:val="000000"/>
                  <w:sz w:val="20"/>
                  <w:u w:val="single"/>
                  <w:effect w:val="none"/>
                </w:rPr>
                <w:t>Consolidated Statements of Loss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421" w:type="dxa"/>
            <w:tcBorders/>
            <w:vAlign w:val="center"/>
          </w:tcPr>
          <w:p>
            <w:pPr>
              <w:pStyle w:val="TableContents"/>
              <w:bidi w:val="0"/>
              <w:spacing w:lineRule="atLeast" w:line="200" w:before="0" w:after="0"/>
              <w:jc w:val="left"/>
              <w:rPr/>
            </w:pPr>
            <w:hyperlink w:anchor="i9f9dd81d6e8440aa9322d214e24fdbe2_46">
              <w:r>
                <w:rPr>
                  <w:rStyle w:val="InternetLink"/>
                  <w:rFonts w:ascii="Times New Roman;serif" w:hAnsi="Times New Roman;serif"/>
                  <w:b w:val="false"/>
                  <w:i w:val="false"/>
                  <w:caps w:val="false"/>
                  <w:smallCaps w:val="false"/>
                  <w:strike w:val="false"/>
                  <w:dstrike w:val="false"/>
                  <w:color w:val="000000"/>
                  <w:sz w:val="20"/>
                  <w:u w:val="single"/>
                  <w:effect w:val="none"/>
                </w:rPr>
                <w:t>F-3</w:t>
              </w:r>
            </w:hyperlink>
          </w:p>
        </w:tc>
      </w:tr>
      <w:tr>
        <w:trPr/>
        <w:tc>
          <w:tcPr>
            <w:tcW w:w="784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Condensed </w:t>
            </w:r>
            <w:hyperlink w:anchor="i9f9dd81d6e8440aa9322d214e24fdbe2_49">
              <w:r>
                <w:rPr>
                  <w:rStyle w:val="InternetLink"/>
                  <w:rFonts w:ascii="Times New Roman;serif" w:hAnsi="Times New Roman;serif"/>
                  <w:b w:val="false"/>
                  <w:i w:val="false"/>
                  <w:caps w:val="false"/>
                  <w:smallCaps w:val="false"/>
                  <w:strike w:val="false"/>
                  <w:dstrike w:val="false"/>
                  <w:color w:val="000000"/>
                  <w:sz w:val="20"/>
                  <w:u w:val="single"/>
                  <w:effect w:val="none"/>
                </w:rPr>
                <w:t>Consolidated Statements of Comprehensive Loss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421" w:type="dxa"/>
            <w:tcBorders/>
            <w:vAlign w:val="center"/>
          </w:tcPr>
          <w:p>
            <w:pPr>
              <w:pStyle w:val="TableContents"/>
              <w:bidi w:val="0"/>
              <w:spacing w:lineRule="atLeast" w:line="200" w:before="0" w:after="0"/>
              <w:jc w:val="left"/>
              <w:rPr/>
            </w:pPr>
            <w:hyperlink w:anchor="i9f9dd81d6e8440aa9322d214e24fdbe2_49">
              <w:r>
                <w:rPr>
                  <w:rStyle w:val="InternetLink"/>
                  <w:rFonts w:ascii="Times New Roman;serif" w:hAnsi="Times New Roman;serif"/>
                  <w:b w:val="false"/>
                  <w:i w:val="false"/>
                  <w:caps w:val="false"/>
                  <w:smallCaps w:val="false"/>
                  <w:strike w:val="false"/>
                  <w:dstrike w:val="false"/>
                  <w:color w:val="000000"/>
                  <w:sz w:val="20"/>
                  <w:u w:val="single"/>
                  <w:effect w:val="none"/>
                </w:rPr>
                <w:t>F-4</w:t>
              </w:r>
            </w:hyperlink>
          </w:p>
        </w:tc>
      </w:tr>
      <w:tr>
        <w:trPr/>
        <w:tc>
          <w:tcPr>
            <w:tcW w:w="784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Condensed </w:t>
            </w:r>
            <w:hyperlink w:anchor="i9f9dd81d6e8440aa9322d214e24fdbe2_52">
              <w:r>
                <w:rPr>
                  <w:rStyle w:val="InternetLink"/>
                  <w:rFonts w:ascii="Times New Roman;serif" w:hAnsi="Times New Roman;serif"/>
                  <w:b w:val="false"/>
                  <w:i w:val="false"/>
                  <w:caps w:val="false"/>
                  <w:smallCaps w:val="false"/>
                  <w:strike w:val="false"/>
                  <w:dstrike w:val="false"/>
                  <w:color w:val="000000"/>
                  <w:sz w:val="20"/>
                  <w:u w:val="single"/>
                  <w:effect w:val="none"/>
                </w:rPr>
                <w:t>Consolidated Statements of Changes in Shareholders’ Equity</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421" w:type="dxa"/>
            <w:tcBorders/>
            <w:vAlign w:val="center"/>
          </w:tcPr>
          <w:p>
            <w:pPr>
              <w:pStyle w:val="TableContents"/>
              <w:bidi w:val="0"/>
              <w:spacing w:lineRule="atLeast" w:line="200" w:before="0" w:after="0"/>
              <w:jc w:val="left"/>
              <w:rPr/>
            </w:pPr>
            <w:hyperlink w:anchor="i9f9dd81d6e8440aa9322d214e24fdbe2_52">
              <w:r>
                <w:rPr>
                  <w:rStyle w:val="InternetLink"/>
                  <w:rFonts w:ascii="Times New Roman;serif" w:hAnsi="Times New Roman;serif"/>
                  <w:b w:val="false"/>
                  <w:i w:val="false"/>
                  <w:caps w:val="false"/>
                  <w:smallCaps w:val="false"/>
                  <w:strike w:val="false"/>
                  <w:dstrike w:val="false"/>
                  <w:color w:val="000000"/>
                  <w:sz w:val="20"/>
                  <w:u w:val="single"/>
                  <w:effect w:val="none"/>
                </w:rPr>
                <w:t>F-5</w:t>
              </w:r>
            </w:hyperlink>
          </w:p>
        </w:tc>
      </w:tr>
      <w:tr>
        <w:trPr/>
        <w:tc>
          <w:tcPr>
            <w:tcW w:w="784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Condensed </w:t>
            </w:r>
            <w:hyperlink w:anchor="i9f9dd81d6e8440aa9322d214e24fdbe2_55">
              <w:r>
                <w:rPr>
                  <w:rStyle w:val="InternetLink"/>
                  <w:rFonts w:ascii="Times New Roman;serif" w:hAnsi="Times New Roman;serif"/>
                  <w:b w:val="false"/>
                  <w:i w:val="false"/>
                  <w:caps w:val="false"/>
                  <w:smallCaps w:val="false"/>
                  <w:strike w:val="false"/>
                  <w:dstrike w:val="false"/>
                  <w:color w:val="000000"/>
                  <w:sz w:val="20"/>
                  <w:u w:val="single"/>
                  <w:effect w:val="none"/>
                </w:rPr>
                <w:t>Consolidated Statements of Cash Flows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421" w:type="dxa"/>
            <w:tcBorders/>
            <w:vAlign w:val="center"/>
          </w:tcPr>
          <w:p>
            <w:pPr>
              <w:pStyle w:val="TableContents"/>
              <w:bidi w:val="0"/>
              <w:spacing w:lineRule="atLeast" w:line="200" w:before="0" w:after="0"/>
              <w:jc w:val="left"/>
              <w:rPr/>
            </w:pPr>
            <w:hyperlink w:anchor="i9f9dd81d6e8440aa9322d214e24fdbe2_55">
              <w:r>
                <w:rPr>
                  <w:rStyle w:val="InternetLink"/>
                  <w:rFonts w:ascii="Times New Roman;serif" w:hAnsi="Times New Roman;serif"/>
                  <w:b w:val="false"/>
                  <w:i w:val="false"/>
                  <w:caps w:val="false"/>
                  <w:smallCaps w:val="false"/>
                  <w:strike w:val="false"/>
                  <w:dstrike w:val="false"/>
                  <w:color w:val="000000"/>
                  <w:sz w:val="20"/>
                  <w:u w:val="single"/>
                  <w:effect w:val="none"/>
                </w:rPr>
                <w:t>F-6</w:t>
              </w:r>
            </w:hyperlink>
          </w:p>
        </w:tc>
      </w:tr>
      <w:tr>
        <w:trPr/>
        <w:tc>
          <w:tcPr>
            <w:tcW w:w="7846" w:type="dxa"/>
            <w:tcBorders/>
            <w:vAlign w:val="center"/>
          </w:tcPr>
          <w:p>
            <w:pPr>
              <w:pStyle w:val="TableContents"/>
              <w:bidi w:val="0"/>
              <w:spacing w:lineRule="atLeast" w:line="200" w:before="0" w:after="0"/>
              <w:jc w:val="left"/>
              <w:rPr/>
            </w:pPr>
            <w:hyperlink w:anchor="i9f9dd81d6e8440aa9322d214e24fdbe2_58">
              <w:r>
                <w:rPr>
                  <w:rStyle w:val="InternetLink"/>
                  <w:rFonts w:ascii="Times New Roman;serif" w:hAnsi="Times New Roman;serif"/>
                  <w:b w:val="false"/>
                  <w:i w:val="false"/>
                  <w:caps w:val="false"/>
                  <w:smallCaps w:val="false"/>
                  <w:strike w:val="false"/>
                  <w:dstrike w:val="false"/>
                  <w:color w:val="000000"/>
                  <w:sz w:val="20"/>
                  <w:u w:val="single"/>
                  <w:effect w:val="none"/>
                </w:rPr>
                <w:t>Notes to the Condensed Consolidated Financial Statements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421" w:type="dxa"/>
            <w:tcBorders/>
            <w:vAlign w:val="center"/>
          </w:tcPr>
          <w:p>
            <w:pPr>
              <w:pStyle w:val="TableContents"/>
              <w:bidi w:val="0"/>
              <w:spacing w:lineRule="atLeast" w:line="200" w:before="0" w:after="0"/>
              <w:jc w:val="left"/>
              <w:rPr/>
            </w:pPr>
            <w:hyperlink w:anchor="i9f9dd81d6e8440aa9322d214e24fdbe2_58">
              <w:r>
                <w:rPr>
                  <w:rStyle w:val="InternetLink"/>
                  <w:rFonts w:ascii="Times New Roman;serif" w:hAnsi="Times New Roman;serif"/>
                  <w:b w:val="false"/>
                  <w:i w:val="false"/>
                  <w:caps w:val="false"/>
                  <w:smallCaps w:val="false"/>
                  <w:strike w:val="false"/>
                  <w:dstrike w:val="false"/>
                  <w:color w:val="000000"/>
                  <w:sz w:val="20"/>
                  <w:u w:val="single"/>
                  <w:effect w:val="none"/>
                </w:rPr>
                <w:t>F-7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ABIVAX SA UNAUDITED INTERIM CONDENSED CONSOLIDATED STATEMENTS OF FINANCIAL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POSITION</w:t>
      </w:r>
    </w:p>
    <w:tbl>
      <w:tblPr>
        <w:tblW w:w="7272" w:type="dxa"/>
        <w:jc w:val="left"/>
        <w:tblInd w:w="0" w:type="dxa"/>
        <w:tblLayout w:type="fixed"/>
        <w:tblCellMar>
          <w:top w:w="28" w:type="dxa"/>
          <w:left w:w="28" w:type="dxa"/>
          <w:bottom w:w="28" w:type="dxa"/>
          <w:right w:w="28" w:type="dxa"/>
        </w:tblCellMar>
      </w:tblPr>
      <w:tblGrid>
        <w:gridCol w:w="3661"/>
        <w:gridCol w:w="421"/>
        <w:gridCol w:w="109"/>
        <w:gridCol w:w="1711"/>
        <w:gridCol w:w="109"/>
        <w:gridCol w:w="1261"/>
      </w:tblGrid>
      <w:tr>
        <w:trPr/>
        <w:tc>
          <w:tcPr>
            <w:tcW w:w="36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(Amounts in thousands of euros)</w:t>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w:t>
            </w:r>
          </w:p>
        </w:tc>
        <w:tc>
          <w:tcPr>
            <w:tcW w:w="4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Non-current assets</w:t>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Goodwill</w:t>
            </w:r>
          </w:p>
        </w:tc>
        <w:tc>
          <w:tcPr>
            <w:tcW w:w="42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18,419</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Intangible assets </w:t>
            </w:r>
          </w:p>
        </w:tc>
        <w:tc>
          <w:tcPr>
            <w:tcW w:w="4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6,605</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Property, plant and equipment </w:t>
            </w:r>
          </w:p>
        </w:tc>
        <w:tc>
          <w:tcPr>
            <w:tcW w:w="42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1,522</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financial assets</w:t>
            </w:r>
          </w:p>
        </w:tc>
        <w:tc>
          <w:tcPr>
            <w:tcW w:w="4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5,460</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receivables and assets</w:t>
            </w:r>
          </w:p>
        </w:tc>
        <w:tc>
          <w:tcPr>
            <w:tcW w:w="42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2,579</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non-current assets</w:t>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33,097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34,585</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Current assets</w:t>
            </w:r>
          </w:p>
        </w:tc>
        <w:tc>
          <w:tcPr>
            <w:tcW w:w="4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financial assets</w:t>
            </w:r>
          </w:p>
        </w:tc>
        <w:tc>
          <w:tcPr>
            <w:tcW w:w="4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21,415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22,692</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receivables and assets</w:t>
            </w:r>
          </w:p>
        </w:tc>
        <w:tc>
          <w:tcPr>
            <w:tcW w:w="42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16,941</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cash equivalents</w:t>
            </w:r>
          </w:p>
        </w:tc>
        <w:tc>
          <w:tcPr>
            <w:tcW w:w="4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516,685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387,992</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current assets</w:t>
            </w:r>
          </w:p>
        </w:tc>
        <w:tc>
          <w:tcPr>
            <w:tcW w:w="4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551,244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427,624</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ASSETS</w:t>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584,341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462,209</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LIABILITIES AND SHAREHOLDERS' EQUITY</w:t>
            </w:r>
          </w:p>
        </w:tc>
        <w:tc>
          <w:tcPr>
            <w:tcW w:w="4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Shareholders’ equity</w:t>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Share capital</w:t>
            </w:r>
          </w:p>
        </w:tc>
        <w:tc>
          <w:tcPr>
            <w:tcW w:w="4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798</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Premiums related to share capital</w:t>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1,190,593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1,228,664</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Translation reserve</w:t>
            </w:r>
          </w:p>
        </w:tc>
        <w:tc>
          <w:tcPr>
            <w:tcW w:w="4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1,768</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Retained earnings</w:t>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(402,380)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(699,063)</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loss for the period</w:t>
            </w:r>
          </w:p>
        </w:tc>
        <w:tc>
          <w:tcPr>
            <w:tcW w:w="4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(336,102)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(165,900)</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shareholders’ equity</w:t>
            </w:r>
          </w:p>
        </w:tc>
        <w:tc>
          <w:tcPr>
            <w:tcW w:w="4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455,205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366,266</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Non-current liabilities</w:t>
            </w:r>
          </w:p>
        </w:tc>
        <w:tc>
          <w:tcPr>
            <w:tcW w:w="4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Retirement benefit obligations</w:t>
            </w:r>
          </w:p>
        </w:tc>
        <w:tc>
          <w:tcPr>
            <w:tcW w:w="4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696</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Provisions</w:t>
            </w:r>
          </w:p>
        </w:tc>
        <w:tc>
          <w:tcPr>
            <w:tcW w:w="42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28,849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23,422</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4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Royalty certificates</w:t>
            </w:r>
          </w:p>
        </w:tc>
        <w:tc>
          <w:tcPr>
            <w:tcW w:w="42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Deferred tax liabilities</w:t>
            </w:r>
          </w:p>
        </w:tc>
        <w:tc>
          <w:tcPr>
            <w:tcW w:w="4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non-current liabilities</w:t>
            </w:r>
          </w:p>
        </w:tc>
        <w:tc>
          <w:tcPr>
            <w:tcW w:w="4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66,114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24,254</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Current liabilities</w:t>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w:t>
            </w:r>
          </w:p>
        </w:tc>
        <w:tc>
          <w:tcPr>
            <w:tcW w:w="42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1,075</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Provisions</w:t>
            </w:r>
          </w:p>
        </w:tc>
        <w:tc>
          <w:tcPr>
            <w:tcW w:w="4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17,030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23,914</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Trade payables and other current liabilities</w:t>
            </w:r>
          </w:p>
        </w:tc>
        <w:tc>
          <w:tcPr>
            <w:tcW w:w="42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37,552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39,010</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Tax and employee-related payables</w:t>
            </w:r>
          </w:p>
        </w:tc>
        <w:tc>
          <w:tcPr>
            <w:tcW w:w="4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7,689</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current liabilities</w:t>
            </w:r>
          </w:p>
        </w:tc>
        <w:tc>
          <w:tcPr>
            <w:tcW w:w="4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63,021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71,688</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LIABILITIES AND SHAREHOLDERS'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584,341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462,209</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ABIVAX SA UNAUDITED CONDENSED CONSOLIDATED STATEMENTS OF LOSS</w:t>
      </w:r>
    </w:p>
    <w:tbl>
      <w:tblPr>
        <w:tblW w:w="9157" w:type="dxa"/>
        <w:jc w:val="left"/>
        <w:tblInd w:w="0" w:type="dxa"/>
        <w:tblLayout w:type="fixed"/>
        <w:tblCellMar>
          <w:top w:w="28" w:type="dxa"/>
          <w:left w:w="28" w:type="dxa"/>
          <w:bottom w:w="28" w:type="dxa"/>
          <w:right w:w="28" w:type="dxa"/>
        </w:tblCellMar>
      </w:tblPr>
      <w:tblGrid>
        <w:gridCol w:w="3331"/>
        <w:gridCol w:w="511"/>
        <w:gridCol w:w="109"/>
        <w:gridCol w:w="1201"/>
        <w:gridCol w:w="109"/>
        <w:gridCol w:w="1201"/>
        <w:gridCol w:w="109"/>
        <w:gridCol w:w="1216"/>
        <w:gridCol w:w="109"/>
        <w:gridCol w:w="1261"/>
      </w:tblGrid>
      <w:tr>
        <w:trPr/>
        <w:tc>
          <w:tcPr>
            <w:tcW w:w="33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3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(Amounts in thousands of euros, except share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and per share amounts)</w:t>
            </w:r>
          </w:p>
        </w:tc>
        <w:tc>
          <w:tcPr>
            <w:tcW w:w="5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30, 2025</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30, 2026</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30, 2025</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30, 2026</w:t>
            </w:r>
          </w:p>
        </w:tc>
      </w:tr>
      <w:tr>
        <w:trPr/>
        <w:tc>
          <w:tcPr>
            <w:tcW w:w="3331" w:type="dxa"/>
            <w:tcBorders/>
            <w:shd w:fill="CCEC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operating income</w:t>
            </w:r>
          </w:p>
        </w:tc>
        <w:tc>
          <w:tcPr>
            <w:tcW w:w="51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2,545</w:t>
            </w:r>
          </w:p>
        </w:tc>
      </w:tr>
      <w:tr>
        <w:trPr/>
        <w:tc>
          <w:tcPr>
            <w:tcW w:w="333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operating income</w:t>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2,545</w:t>
            </w:r>
          </w:p>
        </w:tc>
      </w:tr>
      <w:tr>
        <w:trPr/>
        <w:tc>
          <w:tcPr>
            <w:tcW w:w="3331" w:type="dxa"/>
            <w:tcBorders/>
            <w:shd w:fill="CCEC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Sales and marketing</w:t>
            </w:r>
          </w:p>
        </w:tc>
        <w:tc>
          <w:tcPr>
            <w:tcW w:w="51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(4,633)</w:t>
            </w:r>
          </w:p>
        </w:tc>
      </w:tr>
      <w:tr>
        <w:trPr/>
        <w:tc>
          <w:tcPr>
            <w:tcW w:w="33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Research and development</w:t>
            </w:r>
          </w:p>
        </w:tc>
        <w:tc>
          <w:tcPr>
            <w:tcW w:w="5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(38,645)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(58,335)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(77,946)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(107,878)</w:t>
            </w:r>
          </w:p>
        </w:tc>
      </w:tr>
      <w:tr>
        <w:trPr/>
        <w:tc>
          <w:tcPr>
            <w:tcW w:w="3331" w:type="dxa"/>
            <w:tcBorders/>
            <w:shd w:fill="CCEC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General and administrative</w:t>
            </w:r>
          </w:p>
        </w:tc>
        <w:tc>
          <w:tcPr>
            <w:tcW w:w="51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(8,270)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(24,092)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(16,303)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(30,376)</w:t>
            </w:r>
          </w:p>
        </w:tc>
      </w:tr>
      <w:tr>
        <w:trPr/>
        <w:tc>
          <w:tcPr>
            <w:tcW w:w="333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operating expenses</w:t>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(47,589)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(85,312)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(95,783)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(142,886)</w:t>
            </w:r>
          </w:p>
        </w:tc>
      </w:tr>
      <w:tr>
        <w:trPr/>
        <w:tc>
          <w:tcPr>
            <w:tcW w:w="333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Operating loss</w:t>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(46,496)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(84,111)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(93,696)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(140,341)</w:t>
            </w:r>
          </w:p>
        </w:tc>
      </w:tr>
      <w:tr>
        <w:trPr/>
        <w:tc>
          <w:tcPr>
            <w:tcW w:w="33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Financial expenses </w:t>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(44,130)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(10,857)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(48,899)</w:t>
            </w:r>
          </w:p>
        </w:tc>
      </w:tr>
      <w:tr>
        <w:trPr/>
        <w:tc>
          <w:tcPr>
            <w:tcW w:w="33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Financial income </w:t>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17,491</w:t>
            </w:r>
          </w:p>
        </w:tc>
      </w:tr>
      <w:tr>
        <w:trPr/>
        <w:tc>
          <w:tcPr>
            <w:tcW w:w="333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Financial gain (loss)</w:t>
            </w:r>
          </w:p>
        </w:tc>
        <w:tc>
          <w:tcPr>
            <w:tcW w:w="5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(1,918)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(39,397)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(7,088)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(31,408)</w:t>
            </w:r>
          </w:p>
        </w:tc>
      </w:tr>
      <w:tr>
        <w:trPr/>
        <w:tc>
          <w:tcPr>
            <w:tcW w:w="333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loss before tax</w:t>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(48,414)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(123,508)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(100,784)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(171,748)</w:t>
            </w:r>
          </w:p>
        </w:tc>
      </w:tr>
      <w:tr>
        <w:trPr/>
        <w:tc>
          <w:tcPr>
            <w:tcW w:w="33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Income tax</w:t>
            </w:r>
          </w:p>
        </w:tc>
        <w:tc>
          <w:tcPr>
            <w:tcW w:w="5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5,848</w:t>
            </w:r>
          </w:p>
        </w:tc>
      </w:tr>
      <w:tr>
        <w:trPr/>
        <w:tc>
          <w:tcPr>
            <w:tcW w:w="333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loss for the period</w:t>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(48,414)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(117,433)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(100,784)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(165,900)</w:t>
            </w:r>
          </w:p>
        </w:tc>
      </w:tr>
      <w:tr>
        <w:trPr/>
        <w:tc>
          <w:tcPr>
            <w:tcW w:w="333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Loss per share (€/share)</w:t>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Weighted average number of outstanding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shares used for computing basic/diluted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per share</w:t>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63,440,023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79,647,974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63,409,688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79,274,779</w:t>
            </w:r>
          </w:p>
        </w:tc>
      </w:tr>
      <w:tr>
        <w:trPr/>
        <w:tc>
          <w:tcPr>
            <w:tcW w:w="333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Basic / diluted loss per share (€/share)</w:t>
            </w:r>
          </w:p>
        </w:tc>
        <w:tc>
          <w:tcPr>
            <w:tcW w:w="5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(0.76)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(2.09)</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ABIVAX SA UNAUDITED CONDENSED CONSOLIDATED STATEMENTS OF COMPREHENSIVE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LOSS</w:t>
      </w:r>
    </w:p>
    <w:tbl>
      <w:tblPr>
        <w:tblW w:w="9022" w:type="dxa"/>
        <w:jc w:val="left"/>
        <w:tblInd w:w="0" w:type="dxa"/>
        <w:tblLayout w:type="fixed"/>
        <w:tblCellMar>
          <w:top w:w="28" w:type="dxa"/>
          <w:left w:w="28" w:type="dxa"/>
          <w:bottom w:w="28" w:type="dxa"/>
          <w:right w:w="28" w:type="dxa"/>
        </w:tblCellMar>
      </w:tblPr>
      <w:tblGrid>
        <w:gridCol w:w="3196"/>
        <w:gridCol w:w="511"/>
        <w:gridCol w:w="109"/>
        <w:gridCol w:w="1201"/>
        <w:gridCol w:w="109"/>
        <w:gridCol w:w="1201"/>
        <w:gridCol w:w="109"/>
        <w:gridCol w:w="1216"/>
        <w:gridCol w:w="109"/>
        <w:gridCol w:w="1261"/>
      </w:tblGrid>
      <w:tr>
        <w:trPr/>
        <w:tc>
          <w:tcPr>
            <w:tcW w:w="3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(Amounts in thousands of euros)</w:t>
            </w:r>
          </w:p>
        </w:tc>
        <w:tc>
          <w:tcPr>
            <w:tcW w:w="5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30, 2025</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30, 2026</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30, 2025</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30, 2026</w:t>
            </w:r>
          </w:p>
        </w:tc>
      </w:tr>
      <w:tr>
        <w:trPr/>
        <w:tc>
          <w:tcPr>
            <w:tcW w:w="319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loss for the period</w:t>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(48,414)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(117,433)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(100,784)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(165,900)</w:t>
            </w:r>
          </w:p>
        </w:tc>
      </w:tr>
      <w:tr>
        <w:trPr/>
        <w:tc>
          <w:tcPr>
            <w:tcW w:w="319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Items that will not be reclassified to profit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or loss</w:t>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w:t>
            </w:r>
          </w:p>
        </w:tc>
      </w:tr>
      <w:tr>
        <w:trPr/>
        <w:tc>
          <w:tcPr>
            <w:tcW w:w="319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Actuarial gains and losses on retirement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benefit obligations</w:t>
            </w:r>
          </w:p>
        </w:tc>
        <w:tc>
          <w:tcPr>
            <w:tcW w:w="51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w:t>
            </w:r>
          </w:p>
        </w:tc>
      </w:tr>
      <w:tr>
        <w:trPr/>
        <w:tc>
          <w:tcPr>
            <w:tcW w:w="319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Items that are or may be reclassified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subsequently to profit or loss</w:t>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(541)</w:t>
            </w:r>
          </w:p>
        </w:tc>
      </w:tr>
      <w:tr>
        <w:trPr/>
        <w:tc>
          <w:tcPr>
            <w:tcW w:w="319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currency translation differences</w:t>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(541)</w:t>
            </w:r>
          </w:p>
        </w:tc>
      </w:tr>
      <w:tr>
        <w:trPr/>
        <w:tc>
          <w:tcPr>
            <w:tcW w:w="319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Other comprehensive income (loss) </w:t>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(532)</w:t>
            </w:r>
          </w:p>
        </w:tc>
      </w:tr>
      <w:tr>
        <w:trPr/>
        <w:tc>
          <w:tcPr>
            <w:tcW w:w="319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comprehensive income (loss) for the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period</w:t>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(48,070)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(117,713)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(100,189)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(166,432)</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ABIVAX SA UNAUDITED CONDENSED CONSOLIDATED STATEMENTS OF CHANGES IN SHAREHOLDERS’ EQUITY </w:t>
      </w:r>
    </w:p>
    <w:tbl>
      <w:tblPr>
        <w:tblW w:w="10205" w:type="dxa"/>
        <w:jc w:val="left"/>
        <w:tblInd w:w="0" w:type="dxa"/>
        <w:tblLayout w:type="fixed"/>
        <w:tblCellMar>
          <w:top w:w="28" w:type="dxa"/>
          <w:left w:w="28" w:type="dxa"/>
          <w:bottom w:w="28" w:type="dxa"/>
          <w:right w:w="28" w:type="dxa"/>
        </w:tblCellMar>
      </w:tblPr>
      <w:tblGrid>
        <w:gridCol w:w="2456"/>
        <w:gridCol w:w="659"/>
        <w:gridCol w:w="905"/>
        <w:gridCol w:w="109"/>
        <w:gridCol w:w="691"/>
        <w:gridCol w:w="109"/>
        <w:gridCol w:w="979"/>
        <w:gridCol w:w="109"/>
        <w:gridCol w:w="1093"/>
        <w:gridCol w:w="109"/>
        <w:gridCol w:w="823"/>
        <w:gridCol w:w="109"/>
        <w:gridCol w:w="770"/>
        <w:gridCol w:w="109"/>
        <w:gridCol w:w="1175"/>
      </w:tblGrid>
      <w:tr>
        <w:trPr/>
        <w:tc>
          <w:tcPr>
            <w:tcW w:w="24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245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 xml:space="preserve">(In thousands of euros, except share </w:t>
            </w:r>
          </w:p>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amounts)</w:t>
            </w:r>
          </w:p>
        </w:tc>
        <w:tc>
          <w:tcPr>
            <w:tcW w:w="659"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Notes</w:t>
            </w:r>
          </w:p>
        </w:tc>
        <w:tc>
          <w:tcPr>
            <w:tcW w:w="905"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NUMBER OF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SHARES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ISSUED</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SHARE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PREMIUMS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RELATED TO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SHARE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TRANSLATION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RESERVE</w:t>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RETAINED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NET LOSS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FOR THE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YEAR</w:t>
            </w:r>
          </w:p>
        </w:tc>
        <w:tc>
          <w:tcPr>
            <w:tcW w:w="109" w:type="dxa"/>
            <w:tcBorders/>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TOTAL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SHAREHOLDER</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S' EQUITY</w:t>
            </w:r>
          </w:p>
        </w:tc>
      </w:tr>
      <w:tr>
        <w:trPr/>
        <w:tc>
          <w:tcPr>
            <w:tcW w:w="2456" w:type="dxa"/>
            <w:tcBorders/>
            <w:shd w:fill="CCEE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AS OF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DECEMBER 31, 2024</w:t>
            </w:r>
          </w:p>
        </w:tc>
        <w:tc>
          <w:tcPr>
            <w:tcW w:w="65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63,347,837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633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478,905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(262,637)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(176,242)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40,584</w:t>
            </w:r>
          </w:p>
        </w:tc>
      </w:tr>
      <w:tr>
        <w:trPr/>
        <w:tc>
          <w:tcPr>
            <w:tcW w:w="2456"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Net loss for the period</w:t>
            </w:r>
          </w:p>
        </w:tc>
        <w:tc>
          <w:tcPr>
            <w:tcW w:w="659"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(100,784)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(100,784)</w:t>
            </w:r>
          </w:p>
        </w:tc>
      </w:tr>
      <w:tr>
        <w:trPr/>
        <w:tc>
          <w:tcPr>
            <w:tcW w:w="2456"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 xml:space="preserve">Other comprehensive income (loss) </w:t>
            </w:r>
          </w:p>
        </w:tc>
        <w:tc>
          <w:tcPr>
            <w:tcW w:w="659" w:type="dxa"/>
            <w:tcBorders/>
            <w:shd w:fill="CCEE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16</w:t>
            </w:r>
          </w:p>
        </w:tc>
        <w:tc>
          <w:tcPr>
            <w:tcW w:w="905"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559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594</w:t>
            </w:r>
          </w:p>
        </w:tc>
      </w:tr>
      <w:tr>
        <w:trPr/>
        <w:tc>
          <w:tcPr>
            <w:tcW w:w="2456"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Total comprehensive loss for the period</w:t>
            </w:r>
          </w:p>
        </w:tc>
        <w:tc>
          <w:tcPr>
            <w:tcW w:w="659"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559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(100,784)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(100,189)</w:t>
            </w:r>
          </w:p>
        </w:tc>
      </w:tr>
      <w:tr>
        <w:trPr/>
        <w:tc>
          <w:tcPr>
            <w:tcW w:w="2456"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Appropriation of prior period net loss</w:t>
            </w:r>
          </w:p>
        </w:tc>
        <w:tc>
          <w:tcPr>
            <w:tcW w:w="65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(176,242)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176,242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456"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 xml:space="preserve">Issue of share warrants </w:t>
            </w:r>
          </w:p>
        </w:tc>
        <w:tc>
          <w:tcPr>
            <w:tcW w:w="659"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14</w:t>
            </w:r>
          </w:p>
        </w:tc>
        <w:tc>
          <w:tcPr>
            <w:tcW w:w="905"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300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300</w:t>
            </w:r>
          </w:p>
        </w:tc>
      </w:tr>
      <w:tr>
        <w:trPr/>
        <w:tc>
          <w:tcPr>
            <w:tcW w:w="2456"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Issue of free shares</w:t>
            </w:r>
          </w:p>
        </w:tc>
        <w:tc>
          <w:tcPr>
            <w:tcW w:w="659" w:type="dxa"/>
            <w:tcBorders/>
            <w:shd w:fill="CCEE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14</w:t>
            </w:r>
          </w:p>
        </w:tc>
        <w:tc>
          <w:tcPr>
            <w:tcW w:w="905"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124,096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456"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Share-based compensation expense</w:t>
            </w:r>
          </w:p>
        </w:tc>
        <w:tc>
          <w:tcPr>
            <w:tcW w:w="659"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14</w:t>
            </w:r>
          </w:p>
        </w:tc>
        <w:tc>
          <w:tcPr>
            <w:tcW w:w="905"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11,021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11,021</w:t>
            </w:r>
          </w:p>
        </w:tc>
      </w:tr>
      <w:tr>
        <w:trPr/>
        <w:tc>
          <w:tcPr>
            <w:tcW w:w="24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Others</w:t>
            </w:r>
          </w:p>
        </w:tc>
        <w:tc>
          <w:tcPr>
            <w:tcW w:w="65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4</w:t>
            </w:r>
          </w:p>
        </w:tc>
      </w:tr>
      <w:tr>
        <w:trPr/>
        <w:tc>
          <w:tcPr>
            <w:tcW w:w="2456"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AS OF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JUNE 30, 2025</w:t>
            </w:r>
          </w:p>
        </w:tc>
        <w:tc>
          <w:tcPr>
            <w:tcW w:w="659"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63,471,933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635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479,204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484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(427,819)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(100,784)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(48,280)</w:t>
            </w:r>
          </w:p>
        </w:tc>
      </w:tr>
      <w:tr>
        <w:trPr/>
        <w:tc>
          <w:tcPr>
            <w:tcW w:w="2456" w:type="dxa"/>
            <w:tcBorders/>
            <w:shd w:fill="CCEEFF" w:val="clear"/>
            <w:vAlign w:val="center"/>
          </w:tcPr>
          <w:p>
            <w:pPr>
              <w:pStyle w:val="TableContents"/>
              <w:bidi w:val="0"/>
              <w:spacing w:before="0" w:after="283"/>
              <w:jc w:val="left"/>
              <w:rPr>
                <w:sz w:val="4"/>
                <w:szCs w:val="4"/>
              </w:rPr>
            </w:pPr>
            <w:r>
              <w:rPr>
                <w:sz w:val="4"/>
                <w:szCs w:val="4"/>
              </w:rPr>
            </w:r>
          </w:p>
        </w:tc>
        <w:tc>
          <w:tcPr>
            <w:tcW w:w="65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AS OF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DECEMBER 31, 2025</w:t>
            </w:r>
          </w:p>
        </w:tc>
        <w:tc>
          <w:tcPr>
            <w:tcW w:w="659"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78,536,412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785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1,190,593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2,309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(402,380)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(336,102)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455,205</w:t>
            </w:r>
          </w:p>
        </w:tc>
      </w:tr>
      <w:tr>
        <w:trPr/>
        <w:tc>
          <w:tcPr>
            <w:tcW w:w="2456"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Net loss for the period</w:t>
            </w:r>
          </w:p>
        </w:tc>
        <w:tc>
          <w:tcPr>
            <w:tcW w:w="65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(165,900)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(165,900)</w:t>
            </w:r>
          </w:p>
        </w:tc>
      </w:tr>
      <w:tr>
        <w:trPr/>
        <w:tc>
          <w:tcPr>
            <w:tcW w:w="2456"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 xml:space="preserve">Other comprehensive income (loss) </w:t>
            </w:r>
          </w:p>
        </w:tc>
        <w:tc>
          <w:tcPr>
            <w:tcW w:w="659"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16</w:t>
            </w:r>
          </w:p>
        </w:tc>
        <w:tc>
          <w:tcPr>
            <w:tcW w:w="905"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(541)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(532)</w:t>
            </w:r>
          </w:p>
        </w:tc>
      </w:tr>
      <w:tr>
        <w:trPr/>
        <w:tc>
          <w:tcPr>
            <w:tcW w:w="2456" w:type="dxa"/>
            <w:tcBorders/>
            <w:shd w:fill="CCEE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Total comprehensive loss for the period</w:t>
            </w:r>
          </w:p>
        </w:tc>
        <w:tc>
          <w:tcPr>
            <w:tcW w:w="65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(541)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(165,900)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(166,432)</w:t>
            </w:r>
          </w:p>
        </w:tc>
      </w:tr>
      <w:tr>
        <w:trPr/>
        <w:tc>
          <w:tcPr>
            <w:tcW w:w="2456"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Appropriation of prior period net loss</w:t>
            </w:r>
          </w:p>
        </w:tc>
        <w:tc>
          <w:tcPr>
            <w:tcW w:w="659"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(336,102)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336,102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456"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 xml:space="preserve">Capital increase from issuance of ordinary </w:t>
            </w:r>
          </w:p>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shares</w:t>
            </w:r>
          </w:p>
        </w:tc>
        <w:tc>
          <w:tcPr>
            <w:tcW w:w="659" w:type="dxa"/>
            <w:tcBorders/>
            <w:shd w:fill="CCEE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15.5, 13.2</w:t>
            </w:r>
          </w:p>
        </w:tc>
        <w:tc>
          <w:tcPr>
            <w:tcW w:w="905"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403,347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37,449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37,453</w:t>
            </w:r>
          </w:p>
        </w:tc>
      </w:tr>
      <w:tr>
        <w:trPr/>
        <w:tc>
          <w:tcPr>
            <w:tcW w:w="2456"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 xml:space="preserve">Issue of share warrants </w:t>
            </w:r>
          </w:p>
        </w:tc>
        <w:tc>
          <w:tcPr>
            <w:tcW w:w="659"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14</w:t>
            </w:r>
          </w:p>
        </w:tc>
        <w:tc>
          <w:tcPr>
            <w:tcW w:w="905"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475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475</w:t>
            </w:r>
          </w:p>
        </w:tc>
      </w:tr>
      <w:tr>
        <w:trPr/>
        <w:tc>
          <w:tcPr>
            <w:tcW w:w="2456"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Exercises of share warrants</w:t>
            </w:r>
          </w:p>
        </w:tc>
        <w:tc>
          <w:tcPr>
            <w:tcW w:w="659" w:type="dxa"/>
            <w:tcBorders/>
            <w:shd w:fill="CCEE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13.2, 14</w:t>
            </w:r>
          </w:p>
        </w:tc>
        <w:tc>
          <w:tcPr>
            <w:tcW w:w="905"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18,940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155</w:t>
            </w:r>
          </w:p>
        </w:tc>
      </w:tr>
      <w:tr>
        <w:trPr/>
        <w:tc>
          <w:tcPr>
            <w:tcW w:w="2456"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Issue of free shares</w:t>
            </w:r>
          </w:p>
        </w:tc>
        <w:tc>
          <w:tcPr>
            <w:tcW w:w="659"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14</w:t>
            </w:r>
          </w:p>
        </w:tc>
        <w:tc>
          <w:tcPr>
            <w:tcW w:w="905"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858,370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tcBorders/>
            <w:shd w:fill="FFFFFF" w:val="cle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456"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Share-based compensation expense</w:t>
            </w:r>
          </w:p>
        </w:tc>
        <w:tc>
          <w:tcPr>
            <w:tcW w:w="659" w:type="dxa"/>
            <w:tcBorders/>
            <w:shd w:fill="CCEE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14</w:t>
            </w:r>
          </w:p>
        </w:tc>
        <w:tc>
          <w:tcPr>
            <w:tcW w:w="905"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39,410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39,410</w:t>
            </w:r>
          </w:p>
        </w:tc>
      </w:tr>
      <w:tr>
        <w:trPr/>
        <w:tc>
          <w:tcPr>
            <w:tcW w:w="2456"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AS OF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JUNE 30, 2026</w:t>
            </w:r>
          </w:p>
        </w:tc>
        <w:tc>
          <w:tcPr>
            <w:tcW w:w="659" w:type="dxa"/>
            <w:tcBorders/>
            <w:shd w:fill="FFFFFF" w:val="cle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13.1</w:t>
            </w:r>
          </w:p>
        </w:tc>
        <w:tc>
          <w:tcPr>
            <w:tcW w:w="905"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79,817,069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798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1,228,664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1,768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(699,063)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(165,900)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366,266</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ABIVAX SA UNAUDITED CONDENSED CONSOLIDATED STATEMENTS OF CASH FLOWS</w:t>
      </w:r>
    </w:p>
    <w:tbl>
      <w:tblPr>
        <w:tblW w:w="8701" w:type="dxa"/>
        <w:jc w:val="left"/>
        <w:tblInd w:w="0" w:type="dxa"/>
        <w:tblLayout w:type="fixed"/>
        <w:tblCellMar>
          <w:top w:w="28" w:type="dxa"/>
          <w:left w:w="28" w:type="dxa"/>
          <w:bottom w:w="28" w:type="dxa"/>
          <w:right w:w="28" w:type="dxa"/>
        </w:tblCellMar>
      </w:tblPr>
      <w:tblGrid>
        <w:gridCol w:w="5206"/>
        <w:gridCol w:w="109"/>
        <w:gridCol w:w="691"/>
        <w:gridCol w:w="109"/>
        <w:gridCol w:w="1216"/>
        <w:gridCol w:w="109"/>
        <w:gridCol w:w="1261"/>
      </w:tblGrid>
      <w:tr>
        <w:trPr/>
        <w:tc>
          <w:tcPr>
            <w:tcW w:w="5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2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(Amounts 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30, 2025</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30, 2026</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flows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loss for the period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(100,784)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(165,900)</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Adjustments for: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before="0" w:after="283"/>
              <w:jc w:val="left"/>
              <w:rPr>
                <w:sz w:val="4"/>
                <w:szCs w:val="4"/>
              </w:rPr>
            </w:pPr>
            <w:r>
              <w:rPr>
                <w:sz w:val="4"/>
                <w:szCs w:val="4"/>
              </w:rPr>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Amortization of intangibles and depreciation of property, plant and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equipment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741</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Retirement benefit obligations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65</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Share-based compensation 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11,021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39,410</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expenses and other financial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48,904</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Financial income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(17,299)</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Effect of unwinding the discount related to advances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(193)</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Increase/(decrease) in derivatives and liabilities measured at 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provisions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1,314</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Current and deferred tax income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(5,853)</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Cash flows provided by (used in) operating activities before change 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working capital requirements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(82,079)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(98,774)</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Decrease / (increase) in other receivables and related accounts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(5,026)</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Increase / (decrease) in trade payables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1,445</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Increase / (decrease) in tax and social security liabilities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(87)</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 in deferred income and other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750</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Changes in working capital requirements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15,461</w:t>
            </w:r>
          </w:p>
        </w:tc>
        <w:tc>
          <w:tcPr>
            <w:tcW w:w="10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(3,735)</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Income taxes paid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flows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(66,618)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(102,509)</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flows provided by (used in) investing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Acquisitions of property, plant and 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Advances reimbursed by / (made to) CROs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Increase in 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Decrease in deposits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received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1,589</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Cash flows provided by (used in) investing activities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1,466</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flows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Transaction costs related to capital increase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(1,002)</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Exercise of warrants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bookmarkStart w:id="2" w:name="iecd5a4042bcb4aa7ac09dba7c58bf0ca_41-3-1"/>
            <w:bookmarkEnd w:id="2"/>
            <w:r>
              <w:rPr>
                <w:rFonts w:ascii="Times New Roman;serif" w:hAnsi="Times New Roman;serif"/>
                <w:b/>
                <w:i w:val="false"/>
                <w:caps w:val="false"/>
                <w:smallCaps w:val="false"/>
                <w:strike w:val="false"/>
                <w:dstrike w:val="false"/>
                <w:color w:val="000000"/>
                <w:sz w:val="16"/>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155</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Warrants subscription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475</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Repayments of convertible loan notes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Repayments of non-convertible bond loans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(9,140)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Repayment of PGE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Repayment of royalty certificates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(38,233)</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Payments of the lease liabilities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(648)</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Interest paid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Cash flows provided by (used in) financing activities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(16,604)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(39,276)</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Effect of movements in exchange rates on cash held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6,206</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Revaluation of cash equivalents measured at 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 &amp; 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5,420</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Increase (decrease) in cash and cash equivalents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(83,275)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(128,693)</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cash equivalents at the beginning of the year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144,221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516,685</w:t>
            </w:r>
          </w:p>
        </w:tc>
      </w:tr>
      <w:tr>
        <w:trPr/>
        <w:tc>
          <w:tcPr>
            <w:tcW w:w="52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cash equivalents at the end of the year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60,946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387,992</w:t>
            </w:r>
          </w:p>
        </w:tc>
      </w:tr>
      <w:tr>
        <w:trPr/>
        <w:tc>
          <w:tcPr>
            <w:tcW w:w="520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Increase (decrease) in cash and cash equivalents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(83,275)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(128,693)</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ABIVAX SA NOTES TO THE UNAUDITED INTERIM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Note 1. The Group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Note 1.1. Information on the Group and its business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ABIVAX SA (the “Company”) is a </w:t>
      </w:r>
      <w:r>
        <w:rPr>
          <w:rFonts w:ascii="Times New Roman;serif" w:hAnsi="Times New Roman;serif"/>
          <w:b w:val="false"/>
          <w:i/>
          <w:strike w:val="false"/>
          <w:dstrike w:val="false"/>
          <w:sz w:val="20"/>
          <w:u w:val="none"/>
          <w:effect w:val="none"/>
        </w:rPr>
        <w:t>société anonyme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incorporated under the laws of France on December 4, 2013. Its registered office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 located at 7-11 Boulevard Haussmann—75009 Paris, France. The Company is developing therapeutics designed to harness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body’s natural regulatory mechanisms to stabilize the immune response in patients with chronic inflammatory diseases.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unaudited interim condensed consolidated financial statements as of and for the three- and six-month periods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comprise the Company and ABIVAX LLC (the “Subsidiary”), the United States subsidiary of ABIVAX SA, created on March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 2023 under the laws of the State of Delaware (together referred to as the “Group”).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The Group has incurred losses since its inception and had shareholders’ equity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366,266 thousand</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as </w:t>
      </w:r>
      <w:r>
        <w:rPr>
          <w:rFonts w:ascii="Times New Roman;serif" w:hAnsi="Times New Roman;serif"/>
          <w:b w:val="false"/>
          <w:i w:val="false"/>
          <w:caps w:val="false"/>
          <w:smallCaps w:val="false"/>
          <w:strike w:val="false"/>
          <w:dstrike w:val="false"/>
          <w:sz w:val="20"/>
          <w:u w:val="none"/>
          <w:effect w:val="none"/>
        </w:rPr>
        <w:t xml:space="preserve">of June 30, 2026. The Group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anticipates incurring additional losses until such time, if ever, that it can generate significant revenue from its drug candidates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are currently under development. Substantial additional financing will be needed by the Group to fund its operations and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commercially develop its drug candidates, if approved. See </w:t>
      </w:r>
      <w:r>
        <w:rPr>
          <w:rFonts w:ascii="Times New Roman;serif" w:hAnsi="Times New Roman;serif"/>
          <w:b w:val="false"/>
          <w:i/>
          <w:strike w:val="false"/>
          <w:dstrike w:val="false"/>
          <w:sz w:val="20"/>
          <w:u w:val="none"/>
          <w:effect w:val="none"/>
        </w:rPr>
        <w:t>note 3.3. Subsequent event</w:t>
      </w:r>
      <w:r>
        <w:rPr>
          <w:rFonts w:ascii="Times New Roman;serif" w:hAnsi="Times New Roman;serif"/>
          <w:b w:val="false"/>
          <w:i w:val="false"/>
          <w:caps w:val="false"/>
          <w:smallCaps w:val="false"/>
          <w:strike w:val="false"/>
          <w:dstrike w:val="false"/>
          <w:sz w:val="20"/>
          <w:u w:val="none"/>
          <w:effect w:val="none"/>
        </w:rPr>
        <w: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Group's future operations are highly dependent on a combination of factors, including: (i) the success of its research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development activities; (ii) regulatory approval and market acceptance of its proposed future products; (iii) the timely and successful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completion of additional financing and (iv) the development of competitive therapies by other biotechnology and pharmaceutical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companies. As a result, the Group is, and expects to continue to be, in the short to mid-term, financed through the issuance of new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or debt instruments.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is focusing its efforts on the following points: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Preparing a New Drug Application (“NDA”) submission to the U.S. Food and Drug Administration (“FDA”)  for obefazimod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moderately to severely active ulcerative colitis (“UC”) and potential commercialization in the U.S., if approved.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Continuation of the Phase 2b clinical trial (ENHANCE-CD) of obefazimod in Crohn’s disease (“CD”).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Evaluating combination therapy candidates with obefazimod in inflammatory bowel diseases ("IBD").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Selecting a follow-on candidate for obefazimod.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Note 1.2. Date of authorization of issuance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unaudited interim condensed consolidated financial statements and related notes have been prepared under the responsibility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management of the Group and were approved and authorized for issuance by the Group’s board of directors on September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18, 2026.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Note 2. Basis of preparation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Except for share data and per share amounts, the unaudited interim condensed consolidated financial statements are presented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thousands of euros. Amounts are rounded up or down the nearest whole number for the calculation of certain financial data and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information contained in these accounts. Accordingly, the total amounts presented in certain tables may not be the exact sum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preceding figures.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F-8</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Statement of compliance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These unaudited interim condensed consolidated financial statements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for the three- and six-month periods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have been prepared in accordance with IAS 34 “Interim Financial Reporting” as issued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International Accounting Standards Board ("IASB") and as adopted by the European Union (EU) and should be read in conjunction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the latest Group’s annual financial statements for the years ended December 31, 2023, 2024 and 2025, prepared in accordance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the International Financial Reporting Standards ("IFRS") as issued by IASB and as adopted by the EU.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They do not include all the information required for a complete set of financial statements prepared under IFRS. They do, however,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 selected notes explaining significant events and transactions in order to understand the changes in the Group’s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position and performance since the last annual financial statements.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accounting policies used to prepare these unaudited interim condensed financial statements are identical to those applied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Group as of December 31, 2025, except for: </w:t>
      </w:r>
    </w:p>
    <w:p>
      <w:pPr>
        <w:pStyle w:val="TextBody"/>
        <w:bidi w:val="0"/>
        <w:spacing w:lineRule="atLeast" w:line="24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the texts whose application is compulsory as from January 1, 2026;</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specific provisions of IAS 34 used in the preparation of the unaudited interim condensed consolidated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Group applied the following amendments that are effective for annual reporting periods beginning on or after January 1, 2026:</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IFRS 9 Financial Instruments and IFRS 7 Financial Instruments: Disclosures – Amendments to the Classification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Measurement of Financial Instruments.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amendments clarify the timing of recognition and derecognition of financial assets and financial liabilities and introduce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derecognition exception that permits an entity to derecognize a financial liability before settlement date when the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liability is settled with cash, using an electronic payment system that meets specific criteria. Adopting the amendments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resulted in a change in the Group's accounting policy only for the derecognition of financial liabilities settled with cash using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qualifying electronic payment systems, for which the Group has elected to apply the exception.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change in accounting policy did not have a material effect on the Group’s unaudited interim condensed consolidated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financial statements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periods presented.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other additional disclosures introduced by the amendments in relation to (i) investments in equity instruments designated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fair value through other comprehensive income ("FVOCI") and (ii) financial instruments not measured at fair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through profit or loss ("FVTPL") with certain contingent features are not applicable to the Group.</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IFRS 9 Financial Instruments and IFRS 7 Financial Instruments: Disclosures – Contracts Referencing Nature-dependent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Electricity.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assessed that the application of these issued accounting pronouncements has no impact on the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standards and interpretations not yet mandatory as of June 30, 2026 are the following: </w:t>
      </w:r>
    </w:p>
    <w:p>
      <w:pPr>
        <w:pStyle w:val="TextBody"/>
        <w:bidi w:val="0"/>
        <w:spacing w:lineRule="atLeast" w:line="24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IFRS 18 Presentation and Disclosure in Financial Statements, whose application is for annual reporting periods beginning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 after January 1, 2027, as approved by the EU on February 16, 2026;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IFRS 19 Subsidiaries without Public Accountability: Disclosures, and the Amendments (issued on August 21, 2025) whose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application is for annual reporting periods beginning on or after January 1, 2027 (not yet approved by the EU);</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IAS 21 The Effects of Changes in Foreign Exchange Rates: Translation to a Hyperinflationary Presentation Currency, whose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application is for annual reporting periods beginning on or after January 1, 2027 (not yet approved by the EU);</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IFRS 20 Regulatory Assets and Regulatory Liabilities (issued on May 27, 2026) whose application is for annual reporting</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periods beginning on or after January 1, 2029 (not yet approved by the EU), and</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IAS 28 Investments in Associates and Joint Ventures: Amendments to the Fair Value Option, whose application is for annual</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reporting periods beginning on or after January 1, 2027 (not yet approved by the EU).</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texts have not been early adopted. The application of the standards and interpretations issued respectively by the IASB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IFRS IC that are not yet effective as of June 30, 2026 is not expected to have a material impact on the Group’s consolidated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statements. IFRS 18, issued in April 2024 and effective from January 1, 2027, will modify the presentation of the Consolidated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statements of income (loss) and the Consolidated statements of cash flows.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F-9</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Preparation of the financial statements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unaudited interim condensed consolidated financial statements of the Group were prepared on a historical cost basis,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exception of certain asset and liability categories and in accordance with the provisions set out in IFRS such as employee benefits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measured using the projected unit credit method, the Heights notes (classified under "Convertible loan notes") measured at fair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derivative financial instruments measured at fair value and certain investments classified under "Cash and equivalents" measured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fair value.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Going concern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has incurred substantial operating losses since inception and expects to continue to incur significant operating losses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foreseeable future and may never become profitable. For the six-month period ended June 30, 2026, the Group had a net loss of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165.9 million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Since inception, the Group has financed its operations through the issuance of ordinary shares with gross aggregate proceeds of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2,002.1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which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130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gross proceeds were from offerings of its ordinary shares on Euronext Paris in February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2023,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223.3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gross proceeds were from its offering of ordinary shares in the form of American Depository Shares ("ADS")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the Nasdaq Global Market as well as ordinary shares in Europe (including France) and countries outside of the United States in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private placement in October 2023,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637.5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gross proceeds were from the offering of ordinary shares in the form of ADSs 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the Nasdaq Global Market in July 2025 (the “2025 Offering”) 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807.4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gross proceeds were from the offering of ordinary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shares in the form of ADSs on the Nasdaq Global Market in July 2026 (the “2026 Offering”), bank borrowings and structured loans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for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175.0 million, reimbursements of Research Tax Credits (</w:t>
      </w:r>
      <w:r>
        <w:rPr>
          <w:rFonts w:ascii="Times New Roman;serif" w:hAnsi="Times New Roman;serif"/>
          <w:b w:val="false"/>
          <w:i/>
          <w:strike w:val="false"/>
          <w:dstrike w:val="false"/>
          <w:sz w:val="20"/>
          <w:u w:val="none"/>
          <w:effect w:val="none"/>
        </w:rPr>
        <w:t>Crédit d’Impôt Recherche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(“CIR”)) in an amount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41.2 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grants received from </w:t>
      </w:r>
      <w:r>
        <w:rPr>
          <w:rFonts w:ascii="Times New Roman;serif" w:hAnsi="Times New Roman;serif"/>
          <w:b w:val="false"/>
          <w:i/>
          <w:strike w:val="false"/>
          <w:dstrike w:val="false"/>
          <w:sz w:val="20"/>
          <w:u w:val="none"/>
          <w:effect w:val="none"/>
        </w:rPr>
        <w:t>Banque Publique d’Investissement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(“Bpifrance”) (including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17.1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subsidies 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conditional advances) and royalty certificates in an amount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2.9 million.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Based on (a) the Group’s existing cash and cash equivalents and other short-term investments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402.4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and (b) the net proceeds from the July 2026 Offering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767.1 million, the Group expects, as of the date of issuance of these financial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statements, to be able to fund its forecasted cash flow requirements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they fall due for at least 12 months from the date these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financial statements were authorized for issuance.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This reflects continued investment in the extension of the Phase 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clinical program for obefazimod in UC, the advancement of the Phase 2b ENHANCE-CD clinical trial in CD, with expected 12-week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induction topline results in mid-2027, the planned submission of an NDA for obefazimod in UC in the fourth quarter of 2026,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continued buildout of the U.S. commercial organization in preparation for a potential commercial launch of obefazimod in UC, if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approved. The Group’s  forecasted cash flow requirements also include ongoing general and administrative expenses, working capital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requirements and other operating activities necessary to support its business.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Based on the above, these financial statements have been prepared on a going concern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Note 3. Significant events for the year ended December 31, 2025 and the six-month period ended June 30, 2026 and subsequent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events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Note 3.1. For the year ended December 31, 2025</w:t>
      </w:r>
    </w:p>
    <w:p>
      <w:pPr>
        <w:pStyle w:val="TextBody"/>
        <w:bidi w:val="0"/>
        <w:spacing w:lineRule="atLeast" w:line="240" w:before="0" w:after="0"/>
        <w:jc w:val="left"/>
        <w:rPr>
          <w:sz w:val="24"/>
        </w:rPr>
      </w:pPr>
      <w:r>
        <w:rPr>
          <w:rFonts w:ascii="Times New Roman;serif" w:hAnsi="Times New Roman;serif"/>
          <w:b w:val="false"/>
          <w:i/>
          <w:strike w:val="false"/>
          <w:dstrike w:val="false"/>
          <w:sz w:val="20"/>
          <w:u w:val="none"/>
          <w:effect w:val="none"/>
        </w:rPr>
        <w:t>Share-based compensation plans</w:t>
      </w:r>
      <w:r>
        <w:rPr>
          <w:strike w:val="false"/>
          <w:dstrike w:val="false"/>
          <w:sz w:val="24"/>
          <w:u w:val="none"/>
          <w:effect w:val="none"/>
        </w:rPr>
        <w:t xml:space="preserve"> – </w:t>
      </w:r>
      <w:r>
        <w:rPr>
          <w:rFonts w:ascii="Times New Roman;serif" w:hAnsi="Times New Roman;serif"/>
          <w:b w:val="false"/>
          <w:i/>
          <w:strike w:val="false"/>
          <w:dstrike w:val="false"/>
          <w:sz w:val="20"/>
          <w:u w:val="none"/>
          <w:effect w:val="none"/>
        </w:rPr>
        <w:t>January-November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January 2025, the Group granted its independent Board members, as well as one of its Board Observers and Advisor, the right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subscribe up to 125,000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 warrants (BSA) in the aggregate, the vesting of which (if subscribed) is subject to a service condition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four years, by tranches of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each, vested on January 1 of each year.</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February, March, May, August and November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Group issued eight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free-share compensation plans to certain of its officers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employees, representing a maximum of 6,280,727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in the aggregate, the vesting of which is subject to the following service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condition: 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AGAs vest at the end of a two-year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the end of a three-year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period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allocation date and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the end of a four-year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 (with the exception of the 123,102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2025-2 AGAs,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which vest at the end of a two-year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 and the 50,000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2025-5 AGAs , which vest only upon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F-10</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achievement of milestones related to clinical studies). Moreover, the vesting of almost half of the 4,319,500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2025-1 AGAs is subject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occurrence of a tender offer on the securities issued by the Group and resulting in a change of control of the Group</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before a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April 2025, the Group granted to one of its Board members the right to subscribe up to 39,370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 warrants (BSA), the vesting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which is subject to a service condition of four years, by tranches of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each, vested on May 1 of each year. The BSAs were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subscribed in May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detailed terms and conditions of these plans are set forth in Note 14.</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Change in management – April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April 22, 2025, the Group announced the appointment of Dominik Höchli, MD to the Board of Directors of Abivax, effective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immediately.</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Completion of enrollment for the Phase 3 ABTECT trials in patients with moderately to severely active UC - April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April 29, 2025, the Group announced the completion of enrollment for the Phase 3 ABTECT trials in patients with moderately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severely active UC.</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Publication of positive Phase 3 results from both ABTECT 8-week induction trials investigating obefazimod, in moderate to severely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active UC </w:t>
      </w:r>
      <w:r>
        <w:rPr>
          <w:strike w:val="false"/>
          <w:dstrike w:val="false"/>
          <w:sz w:val="24"/>
          <w:u w:val="none"/>
          <w:effect w:val="none"/>
        </w:rPr>
        <w:t xml:space="preserve">– </w:t>
      </w:r>
      <w:r>
        <w:rPr>
          <w:rFonts w:ascii="Times New Roman;serif" w:hAnsi="Times New Roman;serif"/>
          <w:b w:val="false"/>
          <w:i/>
          <w:strike w:val="false"/>
          <w:dstrike w:val="false"/>
          <w:sz w:val="20"/>
          <w:u w:val="none"/>
          <w:effect w:val="none"/>
        </w:rPr>
        <w:t xml:space="preserve">July 2025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22, 2025, the Group announced the positive results of the ABTECT-1 and ABTECT-2 induction trials in patients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moderately to severely active UC. ABTECT-1 and 2 are global, multicenter, randomized, double-blind, placebo-controlled trials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assessing once-daily oral administration of obefazimod at 25 mg or 50 mg doses in adult patients with moderately to severely active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UC. Eligible participants had inadequate response, loss of response, or intolerance to conventional and/or advanced therapies.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Following this announcement and that of its Offering completed on July 28, 2025 (see </w:t>
      </w:r>
      <w:r>
        <w:rPr>
          <w:rFonts w:ascii="Times New Roman;serif" w:hAnsi="Times New Roman;serif"/>
          <w:b w:val="false"/>
          <w:i/>
          <w:strike w:val="false"/>
          <w:dstrike w:val="false"/>
          <w:sz w:val="20"/>
          <w:u w:val="none"/>
          <w:effect w:val="none"/>
        </w:rPr>
        <w:t>Completion of a public offering – July 2025</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within this section), the Group’s share price increased significantly, from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6.64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2025,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57.00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July 28,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the same time, the Group reassessed the probability of success (“POS”) of obtaining a future market authorization for obefazimod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UC, to reflect a reduced level of uncertainty following positive Phase 3 results.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main financial effects of this event on the Group’s financial statements are the following: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A significant increase in the carrying value of the royalty certificates, measured at amortized cost, reflecting an increase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projected probability-weighted cash flows of the instrument, following the reassessment of the POS (see Note 15.5),</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Significant changes in the carrying value of the Group’s financial liabilities measured at fair value through profit or loss, i.e.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Kreos / Claret BSA, the Kreos / Claret MRI and the Heights convertible notes (the latter as well as the Kreos / Claret BSA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being converted into ordinary shares at the request of the noteholders in July and August 2025, see </w:t>
      </w:r>
      <w:r>
        <w:rPr>
          <w:rFonts w:ascii="Times New Roman;serif" w:hAnsi="Times New Roman;serif"/>
          <w:b w:val="false"/>
          <w:i/>
          <w:strike w:val="false"/>
          <w:dstrike w:val="false"/>
          <w:sz w:val="20"/>
          <w:u w:val="none"/>
          <w:effect w:val="none"/>
        </w:rPr>
        <w:t xml:space="preserve">Conversion of the Heights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convertible notes, Kreos OCABSA and Kreos / Claret BSA and prepayment of the Kreos / Claret Tranches B and C bond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loans –</w:t>
      </w:r>
      <w:r>
        <w:rPr>
          <w:strike w:val="false"/>
          <w:dstrike w:val="false"/>
          <w:sz w:val="24"/>
          <w:u w:val="none"/>
          <w:effect w:val="none"/>
        </w:rPr>
        <w:t xml:space="preserve"> </w:t>
      </w:r>
      <w:r>
        <w:rPr>
          <w:rFonts w:ascii="Times New Roman;serif" w:hAnsi="Times New Roman;serif"/>
          <w:b w:val="false"/>
          <w:i/>
          <w:strike w:val="false"/>
          <w:dstrike w:val="false"/>
          <w:sz w:val="20"/>
          <w:u w:val="none"/>
          <w:effect w:val="none"/>
        </w:rPr>
        <w:t xml:space="preserve">July-December 2025 </w:t>
      </w:r>
      <w:r>
        <w:rPr>
          <w:rFonts w:ascii="Times New Roman;serif" w:hAnsi="Times New Roman;serif"/>
          <w:b w:val="false"/>
          <w:i w:val="false"/>
          <w:caps w:val="false"/>
          <w:smallCaps w:val="false"/>
          <w:strike w:val="false"/>
          <w:dstrike w:val="false"/>
          <w:sz w:val="20"/>
          <w:u w:val="none"/>
          <w:effect w:val="none"/>
        </w:rPr>
        <w:t>below</w:t>
      </w:r>
      <w:r>
        <w:rPr>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Notes 15.1 and 15.2),</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Significant changes in the disclosure of the fair values of other financial instruments measured at amortized cost (i.e.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royalty certificates, the debt components of (i) the Kreos / Claret OCABSA (Tranche A, converted into shares in August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and (ii) Tranche B and C bond loans; these fair value changes are not expected directly to impact the future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position and net loss of the Group - see Note 15),</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A significant increase in provisions related to employer contributions on AGAs (the contribution being based on the vesting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date share price - see Note 14).</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F-11</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Completion of a public offering </w:t>
      </w:r>
      <w:r>
        <w:rPr>
          <w:strike w:val="false"/>
          <w:dstrike w:val="false"/>
          <w:sz w:val="24"/>
          <w:u w:val="none"/>
          <w:effect w:val="none"/>
        </w:rPr>
        <w:t xml:space="preserve">– </w:t>
      </w:r>
      <w:r>
        <w:rPr>
          <w:rFonts w:ascii="Times New Roman;serif" w:hAnsi="Times New Roman;serif"/>
          <w:b w:val="false"/>
          <w:i/>
          <w:strike w:val="false"/>
          <w:dstrike w:val="false"/>
          <w:sz w:val="20"/>
          <w:u w:val="none"/>
          <w:effect w:val="none"/>
        </w:rPr>
        <w:t xml:space="preserve">July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July 28, 2025, the Group announced the completion of an underwritten public offering of 11,679,400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ADSs (the “2025 Offering”)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at a price of $64.00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ADS (corresponding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54.58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ordinary share, based on the exchange rate of €1.00 = $1.1726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published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by the European Central Bank on July 23, 2025). The aggregate gross proceeds amounted to approximately $747.5 million, equivalent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to approximately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637.5 million, before deduction of underwriting commissions and estimated expenses, and the net proceeds, after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deducting underwriting commissions and estimated offering expenses, were approximately $700.3 million, equivalent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approximately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597.2 million. The net cash from the 2025 Offering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608.1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presented within the Unaudited Condensed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Interim Statements of Cash Flows also includes the effect of a net foreign exchange gain resulting from the favorable change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euro to U.S. dollar exchange rate between the closing of the 2025 Offering and the date of receipt of funds.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Conversion of the Heights convertible notes, Kreos OCABSA and Kreos / Claret BSA and prepayment of the Kreos / Claret Tranches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B and C bond loans –</w:t>
      </w:r>
      <w:r>
        <w:rPr>
          <w:strike w:val="false"/>
          <w:dstrike w:val="false"/>
          <w:sz w:val="24"/>
          <w:u w:val="none"/>
          <w:effect w:val="none"/>
        </w:rPr>
        <w:t xml:space="preserve"> </w:t>
      </w:r>
      <w:r>
        <w:rPr>
          <w:rFonts w:ascii="Times New Roman;serif" w:hAnsi="Times New Roman;serif"/>
          <w:b w:val="false"/>
          <w:i/>
          <w:strike w:val="false"/>
          <w:dstrike w:val="false"/>
          <w:sz w:val="20"/>
          <w:u w:val="none"/>
          <w:effect w:val="none"/>
        </w:rPr>
        <w:t xml:space="preserve">July-December 2025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23 and July 30, 2025, the Group received notices from entities affiliated with Heights Capital Management, which hold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amortizing senior convertible notes of the Group issued in August 2023 (the “Height convertible notes”), for the immediate conversion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respectively 150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convertible notes (corresponding to the entirety of the outstanding principal amount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21.9 million) into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920,377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new ordinary shares of the Group at a conversion price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23.7674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ordinary share in accordance with the terms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conditions of the convertible notes.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On August 8, 2025, Kreos Capital VII (UK) Limited converted its portion of the Tranche A of the Kreos / Claret Financing (the Kreos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OCABSA), resulting in the issuance of 785,389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ordinary shares. In addition, on July 30, 2025 Kreos Capital VII Aggregator SCSp</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exercised its share warrants (the tranche A-B BSA and tranche C BSA) resulting in the issuance of 319,251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ordinary shares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Group.</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August 28, 2025, Claret European Growth Capital Fund III SCSp exercised its share warrants (the tranche A-B BSA and tranche C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BSA) resulting in the issuance of 206,662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ordinary shares of the Group.</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November 25, 2025, Claret European Growth Capital Fund III SCSp converted its portion of the Tranche A portion of the Kreos /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Claret Financing (the Claret OCABSA), resulting in the issuance of 392,695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ordinary shares of the Group.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December 23, 2025, the Group completed the full prepayment of the outstanding balances of Tranches B and C of the Kreos /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Claret Financing. The repayment amount, including end-of-loan exit fees and prepayment fees, amounts to 33,823 thousand.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Following these transactions, the Group no longer holds any debt related to the Kreos / Claret and Heights Financings.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impacts of these operations on the Group's financial statements are set forth in Note 15.1 and 15.2.</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Admission to the CAC Mid 60 and SBF 120 indices - September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Following the annual review of the Euronext Paris indices on September 11, 2025, the Scientific Council of the Indices has decided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admit the Company to the CAC Mid 60 and SBF 120 indices. This decision took effect on Friday, September 19, 2025, after market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close. The CAC Mid 60 and SBF 120 are key indices on the Euronext Paris exchange, representing mid-sized listed companies and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broader selection of 120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major securities, respectively.</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Note 3.2. For the six-month period ended June 30, 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F-12</w:t>
      </w:r>
    </w:p>
    <w:p>
      <w:pPr>
        <w:pStyle w:val="TextBody"/>
        <w:bidi w:val="0"/>
        <w:spacing w:lineRule="atLeast" w:line="240" w:before="0" w:after="0"/>
        <w:jc w:val="left"/>
        <w:rPr>
          <w:sz w:val="24"/>
        </w:rPr>
      </w:pPr>
      <w:r>
        <w:rPr>
          <w:rFonts w:ascii="Times New Roman;serif" w:hAnsi="Times New Roman;serif"/>
          <w:b w:val="false"/>
          <w:i/>
          <w:strike w:val="false"/>
          <w:dstrike w:val="false"/>
          <w:sz w:val="20"/>
          <w:u w:val="none"/>
          <w:effect w:val="none"/>
        </w:rPr>
        <w:t>Share-based compensation plans</w:t>
      </w:r>
      <w:r>
        <w:rPr>
          <w:strike w:val="false"/>
          <w:dstrike w:val="false"/>
          <w:sz w:val="24"/>
          <w:u w:val="none"/>
          <w:effect w:val="none"/>
        </w:rPr>
        <w:t xml:space="preserve"> – </w:t>
      </w:r>
      <w:r>
        <w:rPr>
          <w:rFonts w:ascii="Times New Roman;serif" w:hAnsi="Times New Roman;serif"/>
          <w:b w:val="false"/>
          <w:i/>
          <w:strike w:val="false"/>
          <w:dstrike w:val="false"/>
          <w:sz w:val="20"/>
          <w:u w:val="none"/>
          <w:effect w:val="none"/>
        </w:rPr>
        <w:t>February, March and May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February, March and May 2026, certain of the Group's officers and employees were allocated  47,500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AGAs (AGA plan 2026-1),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294,476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(AGA plan 2026-2), 1,619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(AGA plan 2026-3) and 41,717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(AGA plan 2026-4), the vesting of which is subject to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following service condition: 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AGAs vest at the end of a two-year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the end of a three-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 and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the end of a four-year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February 2026, the Group granted its independent Board members, as well as a board observer and advisor, the right to subscribe up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23,477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 warrants (BSA) in the aggregate, the vesting of which is subject to a service condition of four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years, by tranches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each, vested on each February 1st thereafter. The BSAs were subscribed in February 2026.</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Changes in management - March 2026</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March 2026, the Group appointed Michael Nesrallah, MBA, as Chief Commercial Officer, Keith Fournier, Ph.D., as Senior Vice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President of Global Regulatory Affairs, and Maurus de la Rosa, Ph.D., Senior Vice President of Research.</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March 2026, Sofinnova Partners, represented by Dr. Kinam Hong, stepped down from the Group's Board of Directors.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light of Dr. Didier Scherrer's departure from his role as Chief Scientific Officer, the Group entered into a settlement agreement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t>
      </w:r>
      <w:r>
        <w:rPr>
          <w:rFonts w:ascii="Times New Roman;serif" w:hAnsi="Times New Roman;serif"/>
          <w:b w:val="false"/>
          <w:i/>
          <w:strike w:val="false"/>
          <w:dstrike w:val="false"/>
          <w:sz w:val="20"/>
          <w:u w:val="none"/>
          <w:effect w:val="none"/>
        </w:rPr>
        <w:t>protocole d’accord transactionnel</w:t>
      </w:r>
      <w:r>
        <w:rPr>
          <w:rFonts w:ascii="Times New Roman;serif" w:hAnsi="Times New Roman;serif"/>
          <w:b w:val="false"/>
          <w:i w:val="false"/>
          <w:caps w:val="false"/>
          <w:smallCaps w:val="false"/>
          <w:strike w:val="false"/>
          <w:dstrike w:val="false"/>
          <w:sz w:val="20"/>
          <w:u w:val="none"/>
          <w:effect w:val="none"/>
        </w:rPr>
        <w:t>") with Dr. Didier Scherrer in March 2026 under which:</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Dr. Scherrer received a balance of notice pay in the total gross amount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278 thousand, together with a contractual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severance indemnity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240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(net);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the Group waived the continued employment condition attached to 77,050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free shares previously granted to Dr. Scherrer;</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the Group waived the continued employment condition for a further 40,200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free shares, subject to specific performance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conditions;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the remaining 217,750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free shares previously granted to Dr. Scherrer are lapsed;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Dr. Scherrer irrevocably waived all claims and renounced any legal action against the Group.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accounting treatment of this transaction is set forth in Note 14.</w:t>
      </w:r>
    </w:p>
    <w:p>
      <w:pPr>
        <w:pStyle w:val="TextBody"/>
        <w:bidi w:val="0"/>
        <w:spacing w:lineRule="atLeast" w:line="240" w:before="0" w:after="0"/>
        <w:jc w:val="left"/>
        <w:rPr>
          <w:sz w:val="24"/>
        </w:rPr>
      </w:pPr>
      <w:r>
        <w:rPr>
          <w:rFonts w:ascii="Times New Roman;serif" w:hAnsi="Times New Roman;serif"/>
          <w:b w:val="false"/>
          <w:i/>
          <w:strike w:val="false"/>
          <w:dstrike w:val="false"/>
          <w:sz w:val="20"/>
          <w:u w:val="none"/>
          <w:effect w:val="none"/>
        </w:rPr>
        <w:t>Repurchase of royalty certificates</w:t>
      </w:r>
      <w:r>
        <w:rPr>
          <w:strike w:val="false"/>
          <w:dstrike w:val="false"/>
          <w:sz w:val="24"/>
          <w:u w:val="none"/>
          <w:effect w:val="none"/>
        </w:rPr>
        <w:t xml:space="preserve"> – </w:t>
      </w:r>
      <w:r>
        <w:rPr>
          <w:rFonts w:ascii="Times New Roman;serif" w:hAnsi="Times New Roman;serif"/>
          <w:b w:val="false"/>
          <w:i/>
          <w:strike w:val="false"/>
          <w:dstrike w:val="false"/>
          <w:sz w:val="20"/>
          <w:u w:val="none"/>
          <w:effect w:val="none"/>
        </w:rPr>
        <w:t>May 2026</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May 4, 2026, the Group entered into a purchase agreement with the holders of its royalty certificates (TCG Crossover Fund I, L.P.,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VHCP ABVX Holdings, LLC, Deep Track Biotechnology Master Fund, Ltd., Sofinnova Crossover I SLP, Invus Public Equities, L.P.,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FPCI BioMedTech and Santé Holdings Srl, together referred to as the “Holders”). Pursuant to the agreement, the Holders agreed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sell, and the Group agreed to purchase, all of the royalty certificates for a purchase price equal to $90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(equivalent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approximately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76.5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of which $45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 paid in cash on May 7,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Holders granted the Group an interest-free vendor’s loan ("</w:t>
      </w:r>
      <w:r>
        <w:rPr>
          <w:rFonts w:ascii="Times New Roman;serif" w:hAnsi="Times New Roman;serif"/>
          <w:b w:val="false"/>
          <w:i/>
          <w:strike w:val="false"/>
          <w:dstrike w:val="false"/>
          <w:sz w:val="20"/>
          <w:u w:val="none"/>
          <w:effect w:val="none"/>
        </w:rPr>
        <w:t>crédit vendeur</w:t>
      </w:r>
      <w:r>
        <w:rPr>
          <w:rFonts w:ascii="Times New Roman;serif" w:hAnsi="Times New Roman;serif"/>
          <w:b w:val="false"/>
          <w:i w:val="false"/>
          <w:caps w:val="false"/>
          <w:smallCaps w:val="false"/>
          <w:strike w:val="false"/>
          <w:dstrike w:val="false"/>
          <w:sz w:val="20"/>
          <w:u w:val="none"/>
          <w:effect w:val="none"/>
        </w:rPr>
        <w:t xml:space="preserve">") in a total amount equal to the remaining $45 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be reinvested in the Group's securities by way of set off against the subscription price of 403,347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ordinary shares in the form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ADSs to be issued by the Group to the Holders, at an offering price of $111.57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ADS (corresponding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95.34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ordinary share,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based on the exchange rate of €1.00 = $1.1702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published by the European Central Bank on April 30, 2026). The set-off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corresponding issuance and delivery of the ADSs to the Holders occurred on May 7, 2026. The vendor's loan was fully extinguished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that date.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royalty certificates repurchased by the Group were immediately cancelled by the Group.</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impact in profit or loss of the repurchase of the royalty certificates on May 7, 2026 resulted in an expense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43.2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was recognized in the second quarter of 2026. The amount corresponds to the difference between the certificates' carrying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amount on the repurchase date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33.5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the total consideration transferred, comprising a gross equity consideration of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38.5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a cash consideration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38.2 million, based on the exchange rates prevailing at the capital increase date and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cash settlement date (including the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0.2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effect of a net foreign exchange loss on the cash settlement). Consequently, the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6.1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deferred tax liability recognized in the Group's statements of financial position as of March 31, 2026 was derecognized,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a corresponding tax income was recognized, for the six-month period ended June 30, 2026 (see Note 22). Transaction costs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amounting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were accounted for as a deduction from shareholders' equity.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F-13</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May 7, 2026, the Group filed a prospectus supplement to its effective shelf registration statement on Form F-3ASR filed with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Securities and Exchange Commission on July 23, 2025, for the purpose of registering for resale up to 403,347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ADSs held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Holders.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Note 3.3. Subsequent events</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Completion of a public offering </w:t>
      </w:r>
      <w:r>
        <w:rPr>
          <w:strike w:val="false"/>
          <w:dstrike w:val="false"/>
          <w:sz w:val="24"/>
          <w:u w:val="none"/>
          <w:effect w:val="none"/>
        </w:rPr>
        <w:t xml:space="preserve">– </w:t>
      </w:r>
      <w:r>
        <w:rPr>
          <w:rFonts w:ascii="Times New Roman;serif" w:hAnsi="Times New Roman;serif"/>
          <w:b w:val="false"/>
          <w:i/>
          <w:strike w:val="false"/>
          <w:dstrike w:val="false"/>
          <w:sz w:val="20"/>
          <w:u w:val="none"/>
          <w:effect w:val="none"/>
        </w:rPr>
        <w:t xml:space="preserve">July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July 6, 2026, the Group announced the completion of an underwritten public offering of 7,360,000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ADSs (the “2026 Offering”),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each representing one ordinary share of the Group, which includes the full exercise of the underwriters’ option to purchase additional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ADSs, at a price of 125.00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ADS (corresponding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109.71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ordinary share, based on the exchange rate of €1.00 = $1.1394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published by the European Central Bank on June 30, 2026). The aggregate gross proceeds amounted to approximately $920.0 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equivalent to approximately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807.4 million, before deduction of underwriting commissions and estimated expenses, and the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proceeds, after deducting underwriting commissions and estimated offering expenses, were approximately $874.1 million, equivalent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to approximately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767.1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believes that the net proceeds from the 2026 Offering, together with its current cash and cash equivalents, will allow it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finance its forecasted cash flow requirements as they fall due for at least 12 months from the date these consolidated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statements were authorized for issuance (see Note 2 above "Going concern").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Changes in management </w:t>
      </w:r>
      <w:r>
        <w:rPr>
          <w:strike w:val="false"/>
          <w:dstrike w:val="false"/>
          <w:sz w:val="24"/>
          <w:u w:val="none"/>
          <w:effect w:val="none"/>
        </w:rPr>
        <w:t xml:space="preserve">– </w:t>
      </w:r>
      <w:r>
        <w:rPr>
          <w:rFonts w:ascii="Times New Roman;serif" w:hAnsi="Times New Roman;serif"/>
          <w:b w:val="false"/>
          <w:i/>
          <w:strike w:val="false"/>
          <w:dstrike w:val="false"/>
          <w:sz w:val="20"/>
          <w:u w:val="none"/>
          <w:effect w:val="none"/>
        </w:rPr>
        <w:t>July 2026 and September 2026</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July 2026, the Group appointed James Berger as Global Head of Marketing, Ivan Nuñez-Pacheco as Global Head of Patient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Services, Heather Dean as Global Head of Sales, Accounts &amp; Commercial Operations and Jeff Haas as Global Head of Market Access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&amp; Pricing. These additions strengthen the Group's commercial organization as the Group prepares for the potential U.S.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commercialization of obefazimod, including a planned NDA submission to the FDA</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fourth quarter of 2026.</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September 2026, the Group announced that Fabio Cataldi, M.D., Chief Medical Officer, will be leaving the Group in the fourth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quarter of 2026. Chris Rabbat, Ph.D., who has led Global Medical Affairs since 2023, will succeed Dr. Cataldi as Chief Medical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Officer, leading the medical organization as the Group advances toward potential commercialization. Dr. Rabbat bring extensive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biopharmaceutical industry experience, including deep expertise in IBD and experience supporting therapies through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commercialization and launch. Dr. Rabbat's appointment is effective immediately.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September 2026, the Group has also appointed Tim Kelly as Chief Technical Officer. Mr. Kelly will lead the Company's CMC,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Quality and Information Technology functions, further strengthening the infrastructure supporting the Group continued growth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potential transition to a commercial-stage organization. Most recently, Mr. Kelly served as the Chief Technical Officer of Caribou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Biosciences and previously held senior leadership roles at Oxford Biomedica Solutions, Homology Medicines, Shire, UCB Pharma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Biogen. Mr Kelly's appointment is effective immediately. </w:t>
      </w:r>
    </w:p>
    <w:p>
      <w:pPr>
        <w:pStyle w:val="TextBody"/>
        <w:bidi w:val="0"/>
        <w:spacing w:lineRule="atLeast" w:line="240" w:before="0" w:after="0"/>
        <w:jc w:val="left"/>
        <w:rPr>
          <w:sz w:val="24"/>
        </w:rPr>
      </w:pPr>
      <w:r>
        <w:rPr>
          <w:rFonts w:ascii="Times New Roman;serif" w:hAnsi="Times New Roman;serif"/>
          <w:b w:val="false"/>
          <w:i/>
          <w:strike w:val="false"/>
          <w:dstrike w:val="false"/>
          <w:sz w:val="20"/>
          <w:u w:val="none"/>
          <w:effect w:val="none"/>
        </w:rPr>
        <w:t>Share-based compensation plans</w:t>
      </w:r>
      <w:r>
        <w:rPr>
          <w:strike w:val="false"/>
          <w:dstrike w:val="false"/>
          <w:sz w:val="24"/>
          <w:u w:val="none"/>
          <w:effect w:val="none"/>
        </w:rPr>
        <w:t xml:space="preserve"> – </w:t>
      </w:r>
      <w:r>
        <w:rPr>
          <w:rFonts w:ascii="Times New Roman;serif" w:hAnsi="Times New Roman;serif"/>
          <w:b w:val="false"/>
          <w:i/>
          <w:strike w:val="false"/>
          <w:dstrike w:val="false"/>
          <w:sz w:val="20"/>
          <w:u w:val="none"/>
          <w:effect w:val="none"/>
        </w:rPr>
        <w:t>July and September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July 2026, certain of the Group's officers and employees were allocated  25,620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AGAs (AGA plan 2026-5), the vesting of which is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subject to the following service condition: 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AGAs vest at the end of a two-year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at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 of a three-year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 and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the end of a four-year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September 2026, certain of the Group's officers and employees were allocated 45,551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AGAs (AGA plan 2026-6), the vesting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which is subject to the following service condition: 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AGAs vest at the end of a two-year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period from the allocation date,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the end of a three-year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 and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the end of a four-year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Note 4. Accounting principles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Group's accounting policies are the same as those described in the annual consolidated financial statements of the Group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31, 2025 accompanying the Company’s Annual Report on Form 20-F for the year ended December 31, 2025 (the “Annual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Report”), with the exception of the change in accounting policy implemented following the application of the Amendments to IFRS 9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Instruments and IFRS 7 Financial Instruments: Disclosures – Amendments to the Classification and Measurement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Instruments (see Note 2). Under the new accounting policy, the Group derecognises financial liabilities on the settlement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date. However, for certain financial liabilities settled with cash using electronic payment systems, the Group applies an exception on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system-by-system basis to derecognise financial liabilities earlier. For these liabilities, derecognition occurs when the Group’s ability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withdraw, stop or cancel the payment instruction is surrendered and the other eligibility criteria are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Use of judgments and estimates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preparing these unaudited condensed consolidated financial statements, management has made judgments and estimates that affect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application of the Group’s accounting policies and the reported amounts of assets and liabilities, income and expenses. Actual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values may differ from estimated values.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significant judgments made by management in the application of the Group’s accounting policies and the key sources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estimation uncertainty are the same as those described in the annual consolidated financial statements of the Group as of December 31,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accompanying the Annual Report.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Measurement of fair values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number of the Group’s accounting policies require the measurement of fair values, for both financial and non-financial assets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When measuring the fair value of an asset or a liability, the Group uses market observable data as far as possible. Fair values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categorized into different levels in a fair value hierarchy based on the inputs used in the valuation techniques as follows.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Level 1: quoted prices (unadjusted) in active markets for identical assets or liabilities.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Level 2: inputs other than quoted prices included in Level 1 that are observable for the asset or liability, either directly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(i.e., prices) or indirectly (i.e., derived from prices).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Level 3: inputs for the asset or liability that are not based on observable market data (unobservable inputs).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Seasonality of operations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Group’s operations are not subject to significant seasonality.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Note 5. Segment information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assessment of the Group’s performance and the decisions about resources to be allocated are made by the chief operating decision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maker, based on the management reporting system of the Group. The Group identified the Chief Executive Officer of the Group as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Chief operating decision maker”. The Chief operating decision maker reviews on an aggregated basis the incurred expenses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allocating and evaluating performance of the Group.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operates in a single operating segment: R&amp;D of pharmaceutical products in order to market them in the future.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Substantially all operations, assets, liabilities, and losses of the Group are located in France. As of June 30, 2026, the Subsidiary’s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contributions to the Group’s liabilities and net losses were less than 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its contribution to the Group's assets were 22.2%</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(consisting predominantly of cash and cash equivalents).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Note 6. Goodwill and impairment test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Goodwill relates to the acquisition of Splicos SAS that occurred in 2014 (i.e., prior to the transition date to IFRS) which was merged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into the Group the same year.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Goodwill from the Splicos SAS acquisition corresponds to the “Modulation of RNA biogenesis / splicing” technological platform,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which derived the lead drug candidate of the Group: obefazimod.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accordance with IAS 36, goodwill is allocated to groups of cash generating units (CGUs) at a level corresponding to the lead drug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candidates. Thus, goodwill from Splicos SAS is allocated to obefazimod.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net carrying amount of Splicos SAS goodwill is €18,419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thousand as of December 31, 2025 and June 30,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Obefazimod is currently in clinical development, so a clinical trial failure or a failure to obtain a marketing approval could result in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impairment. As of June 30, 2026, the Group has not identified any indication of impairment loss related to goodwill, intangible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tangible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Note 7. Intangible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Intangible assets are mainly comprised of the intellectual property underlying: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(i)The collaboration and license agreement with the French National Centre for Scientific Research (CNRS), Montpellier 2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University and the Curie.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(ii)Patents acquired through the acquisition of Prosynergia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6,529 thousand. The patents are not yet amortized, similarly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licenses, and are included in obefazimod CGU for impairment test purposes.</w:t>
      </w:r>
    </w:p>
    <w:p>
      <w:pPr>
        <w:pStyle w:val="TextBody"/>
        <w:bidi w:val="0"/>
        <w:spacing w:lineRule="atLeast" w:line="142"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Licenses and patents recognized as Intangible assets are not amortized since they are not operating in a manner intended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 As a consequence, and in accordance with IAS 36, those assets were subject to an annual impairment test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 which did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result in any impairment loss. As of June 30, 2026, no indicator of impairment has been identified.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F-16</w:t>
      </w:r>
    </w:p>
    <w:tbl>
      <w:tblPr>
        <w:tblW w:w="6212" w:type="dxa"/>
        <w:jc w:val="left"/>
        <w:tblInd w:w="0" w:type="dxa"/>
        <w:tblLayout w:type="fixed"/>
        <w:tblCellMar>
          <w:top w:w="28" w:type="dxa"/>
          <w:left w:w="28" w:type="dxa"/>
          <w:bottom w:w="28" w:type="dxa"/>
          <w:right w:w="28" w:type="dxa"/>
        </w:tblCellMar>
      </w:tblPr>
      <w:tblGrid>
        <w:gridCol w:w="2356"/>
        <w:gridCol w:w="901"/>
        <w:gridCol w:w="109"/>
        <w:gridCol w:w="1051"/>
        <w:gridCol w:w="109"/>
        <w:gridCol w:w="856"/>
        <w:gridCol w:w="109"/>
        <w:gridCol w:w="721"/>
      </w:tblGrid>
      <w:tr>
        <w:trPr/>
        <w:tc>
          <w:tcPr>
            <w:tcW w:w="235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LICENSES</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SOFTWARE</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PATENTS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GROSS VALUES</w:t>
            </w:r>
          </w:p>
        </w:tc>
        <w:tc>
          <w:tcPr>
            <w:tcW w:w="90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901"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6,529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6,677</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6,529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6,677</w:t>
            </w:r>
          </w:p>
        </w:tc>
      </w:tr>
      <w:tr>
        <w:trPr/>
        <w:tc>
          <w:tcPr>
            <w:tcW w:w="235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90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6,529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6,677</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6,529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6,677</w:t>
            </w:r>
          </w:p>
        </w:tc>
      </w:tr>
    </w:tbl>
    <w:tbl>
      <w:tblPr>
        <w:tblW w:w="6212" w:type="dxa"/>
        <w:jc w:val="left"/>
        <w:tblInd w:w="0" w:type="dxa"/>
        <w:tblLayout w:type="fixed"/>
        <w:tblCellMar>
          <w:top w:w="28" w:type="dxa"/>
          <w:left w:w="28" w:type="dxa"/>
          <w:bottom w:w="28" w:type="dxa"/>
          <w:right w:w="28" w:type="dxa"/>
        </w:tblCellMar>
      </w:tblPr>
      <w:tblGrid>
        <w:gridCol w:w="2356"/>
        <w:gridCol w:w="901"/>
        <w:gridCol w:w="109"/>
        <w:gridCol w:w="1051"/>
        <w:gridCol w:w="109"/>
        <w:gridCol w:w="856"/>
        <w:gridCol w:w="109"/>
        <w:gridCol w:w="721"/>
      </w:tblGrid>
      <w:tr>
        <w:trPr/>
        <w:tc>
          <w:tcPr>
            <w:tcW w:w="235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LICENSES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SOFTWARE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PATENTS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AMORTIZATION</w:t>
            </w:r>
          </w:p>
        </w:tc>
        <w:tc>
          <w:tcPr>
            <w:tcW w:w="901"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90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(70)</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Increase </w:t>
            </w:r>
          </w:p>
        </w:tc>
        <w:tc>
          <w:tcPr>
            <w:tcW w:w="9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(71)</w:t>
            </w:r>
          </w:p>
        </w:tc>
      </w:tr>
      <w:tr>
        <w:trPr/>
        <w:tc>
          <w:tcPr>
            <w:tcW w:w="235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90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(71)</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Increase </w:t>
            </w:r>
          </w:p>
        </w:tc>
        <w:tc>
          <w:tcPr>
            <w:tcW w:w="9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(72)</w:t>
            </w:r>
          </w:p>
        </w:tc>
      </w:tr>
    </w:tbl>
    <w:tbl>
      <w:tblPr>
        <w:tblW w:w="6212" w:type="dxa"/>
        <w:jc w:val="left"/>
        <w:tblInd w:w="0" w:type="dxa"/>
        <w:tblLayout w:type="fixed"/>
        <w:tblCellMar>
          <w:top w:w="28" w:type="dxa"/>
          <w:left w:w="28" w:type="dxa"/>
          <w:bottom w:w="28" w:type="dxa"/>
          <w:right w:w="28" w:type="dxa"/>
        </w:tblCellMar>
      </w:tblPr>
      <w:tblGrid>
        <w:gridCol w:w="2356"/>
        <w:gridCol w:w="901"/>
        <w:gridCol w:w="109"/>
        <w:gridCol w:w="1051"/>
        <w:gridCol w:w="109"/>
        <w:gridCol w:w="856"/>
        <w:gridCol w:w="109"/>
        <w:gridCol w:w="721"/>
      </w:tblGrid>
      <w:tr>
        <w:trPr/>
        <w:tc>
          <w:tcPr>
            <w:tcW w:w="235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LICENSES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SOFTWARE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PATENTS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BOOK VALUES</w:t>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6,529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6,606</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6,529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6,605</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901"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6,529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6,605</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8. Property, plant and equipment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 xml:space="preserve">The following tables present changes in property, plant and equipment including the right of use of assets (or “ROU”) as of June 30,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2025 and 2026:</w:t>
      </w:r>
    </w:p>
    <w:tbl>
      <w:tblPr>
        <w:tblW w:w="10105" w:type="dxa"/>
        <w:jc w:val="left"/>
        <w:tblInd w:w="0" w:type="dxa"/>
        <w:tblLayout w:type="fixed"/>
        <w:tblCellMar>
          <w:top w:w="28" w:type="dxa"/>
          <w:left w:w="28" w:type="dxa"/>
          <w:bottom w:w="28" w:type="dxa"/>
          <w:right w:w="28" w:type="dxa"/>
        </w:tblCellMar>
      </w:tblPr>
      <w:tblGrid>
        <w:gridCol w:w="3991"/>
        <w:gridCol w:w="1021"/>
        <w:gridCol w:w="346"/>
        <w:gridCol w:w="1111"/>
        <w:gridCol w:w="346"/>
        <w:gridCol w:w="1126"/>
        <w:gridCol w:w="196"/>
        <w:gridCol w:w="676"/>
        <w:gridCol w:w="196"/>
        <w:gridCol w:w="1096"/>
      </w:tblGrid>
      <w:tr>
        <w:trPr/>
        <w:tc>
          <w:tcPr>
            <w:tcW w:w="39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BUILDINGS</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FURNITURE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AND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COMPUTER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WHICH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ROU</w:t>
            </w:r>
          </w:p>
        </w:tc>
      </w:tr>
      <w:tr>
        <w:trPr/>
        <w:tc>
          <w:tcPr>
            <w:tcW w:w="39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GROSS VALUES</w:t>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102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2,818</w:t>
            </w:r>
          </w:p>
        </w:tc>
        <w:tc>
          <w:tcPr>
            <w:tcW w:w="34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1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513</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698</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4,029</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2,526</w:t>
            </w:r>
          </w:p>
        </w:tc>
      </w:tr>
      <w:tr>
        <w:trPr/>
        <w:tc>
          <w:tcPr>
            <w:tcW w:w="3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Acquisition</w:t>
            </w:r>
          </w:p>
        </w:tc>
        <w:tc>
          <w:tcPr>
            <w:tcW w:w="102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80</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106</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w:t>
            </w:r>
          </w:p>
        </w:tc>
      </w:tr>
      <w:tr>
        <w:trPr/>
        <w:tc>
          <w:tcPr>
            <w:tcW w:w="3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Disposal</w:t>
            </w:r>
          </w:p>
        </w:tc>
        <w:tc>
          <w:tcPr>
            <w:tcW w:w="102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r>
      <w:tr>
        <w:trPr/>
        <w:tc>
          <w:tcPr>
            <w:tcW w:w="3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Effect of the change in foreign currency exchange rates</w:t>
            </w:r>
          </w:p>
        </w:tc>
        <w:tc>
          <w:tcPr>
            <w:tcW w:w="102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w:t>
            </w:r>
          </w:p>
        </w:tc>
      </w:tr>
      <w:tr>
        <w:trPr/>
        <w:tc>
          <w:tcPr>
            <w:tcW w:w="39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2,849</w:t>
            </w:r>
          </w:p>
        </w:tc>
        <w:tc>
          <w:tcPr>
            <w:tcW w:w="34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497</w:t>
            </w:r>
          </w:p>
        </w:tc>
        <w:tc>
          <w:tcPr>
            <w:tcW w:w="34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673</w:t>
            </w:r>
          </w:p>
        </w:tc>
        <w:tc>
          <w:tcPr>
            <w:tcW w:w="19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0</w:t>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4,020</w:t>
            </w:r>
          </w:p>
        </w:tc>
        <w:tc>
          <w:tcPr>
            <w:tcW w:w="19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0</w:t>
            </w:r>
          </w:p>
        </w:tc>
        <w:tc>
          <w:tcPr>
            <w:tcW w:w="10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2,508</w:t>
            </w:r>
          </w:p>
        </w:tc>
      </w:tr>
      <w:tr>
        <w:trPr/>
        <w:tc>
          <w:tcPr>
            <w:tcW w:w="3991"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doub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2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3,204</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463</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607</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4,274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16"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2,865</w:t>
            </w:r>
          </w:p>
        </w:tc>
      </w:tr>
      <w:tr>
        <w:trPr/>
        <w:tc>
          <w:tcPr>
            <w:tcW w:w="3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Acquisition</w:t>
            </w:r>
          </w:p>
        </w:tc>
        <w:tc>
          <w:tcPr>
            <w:tcW w:w="102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152</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168</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Effect of the change in foreign currency exchange rates</w:t>
            </w:r>
          </w:p>
        </w:tc>
        <w:tc>
          <w:tcPr>
            <w:tcW w:w="102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w:t>
            </w:r>
          </w:p>
        </w:tc>
      </w:tr>
      <w:tr>
        <w:trPr/>
        <w:tc>
          <w:tcPr>
            <w:tcW w:w="39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3,221</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474</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763</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4,457</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2,877</w:t>
            </w:r>
          </w:p>
        </w:tc>
      </w:tr>
    </w:tbl>
    <w:tbl>
      <w:tblPr>
        <w:tblW w:w="10018" w:type="dxa"/>
        <w:jc w:val="left"/>
        <w:tblInd w:w="0" w:type="dxa"/>
        <w:tblLayout w:type="fixed"/>
        <w:tblCellMar>
          <w:top w:w="28" w:type="dxa"/>
          <w:left w:w="28" w:type="dxa"/>
          <w:bottom w:w="28" w:type="dxa"/>
          <w:right w:w="28" w:type="dxa"/>
        </w:tblCellMar>
      </w:tblPr>
      <w:tblGrid>
        <w:gridCol w:w="3991"/>
        <w:gridCol w:w="1021"/>
        <w:gridCol w:w="346"/>
        <w:gridCol w:w="1111"/>
        <w:gridCol w:w="346"/>
        <w:gridCol w:w="1126"/>
        <w:gridCol w:w="196"/>
        <w:gridCol w:w="676"/>
        <w:gridCol w:w="109"/>
        <w:gridCol w:w="1096"/>
      </w:tblGrid>
      <w:tr>
        <w:trPr/>
        <w:tc>
          <w:tcPr>
            <w:tcW w:w="39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BUILDINGS</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FURNITURE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AND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COMPUTER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WHICH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ROU</w:t>
            </w:r>
          </w:p>
        </w:tc>
      </w:tr>
      <w:tr>
        <w:trPr/>
        <w:tc>
          <w:tcPr>
            <w:tcW w:w="39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DEPRECIATION</w:t>
            </w:r>
          </w:p>
        </w:tc>
        <w:tc>
          <w:tcPr>
            <w:tcW w:w="102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1021"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(613)</w:t>
            </w:r>
          </w:p>
        </w:tc>
        <w:tc>
          <w:tcPr>
            <w:tcW w:w="3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(419)</w:t>
            </w:r>
          </w:p>
        </w:tc>
        <w:tc>
          <w:tcPr>
            <w:tcW w:w="34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(332)</w:t>
            </w:r>
          </w:p>
        </w:tc>
        <w:tc>
          <w:tcPr>
            <w:tcW w:w="19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(1,363)</w:t>
            </w:r>
          </w:p>
        </w:tc>
        <w:tc>
          <w:tcPr>
            <w:tcW w:w="109"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(575)</w:t>
            </w:r>
          </w:p>
        </w:tc>
      </w:tr>
      <w:tr>
        <w:trPr/>
        <w:tc>
          <w:tcPr>
            <w:tcW w:w="3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Increase </w:t>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(452)</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(422)</w:t>
            </w:r>
          </w:p>
        </w:tc>
      </w:tr>
      <w:tr>
        <w:trPr/>
        <w:tc>
          <w:tcPr>
            <w:tcW w:w="3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Disposal</w:t>
            </w:r>
          </w:p>
        </w:tc>
        <w:tc>
          <w:tcPr>
            <w:tcW w:w="10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r>
      <w:tr>
        <w:trPr/>
        <w:tc>
          <w:tcPr>
            <w:tcW w:w="3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Effect of the change in foreign currency exchange rates</w:t>
            </w:r>
          </w:p>
        </w:tc>
        <w:tc>
          <w:tcPr>
            <w:tcW w:w="102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r>
      <w:tr>
        <w:trPr/>
        <w:tc>
          <w:tcPr>
            <w:tcW w:w="39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(1,048)</w:t>
            </w:r>
          </w:p>
        </w:tc>
        <w:tc>
          <w:tcPr>
            <w:tcW w:w="34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(422)</w:t>
            </w:r>
          </w:p>
        </w:tc>
        <w:tc>
          <w:tcPr>
            <w:tcW w:w="34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(390)</w:t>
            </w:r>
          </w:p>
        </w:tc>
        <w:tc>
          <w:tcPr>
            <w:tcW w:w="19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0</w:t>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(1,860)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(961)</w:t>
            </w:r>
          </w:p>
        </w:tc>
      </w:tr>
      <w:tr>
        <w:trPr/>
        <w:tc>
          <w:tcPr>
            <w:tcW w:w="3991"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doub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doub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doub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21"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(1,498)</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(404)</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(281)</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(2,184)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(1,302)</w:t>
            </w:r>
          </w:p>
        </w:tc>
      </w:tr>
      <w:tr>
        <w:trPr/>
        <w:tc>
          <w:tcPr>
            <w:tcW w:w="3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Increase </w:t>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(627)</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(97)</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(559)</w:t>
            </w:r>
          </w:p>
        </w:tc>
      </w:tr>
      <w:tr>
        <w:trPr/>
        <w:tc>
          <w:tcPr>
            <w:tcW w:w="3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Effect of the change in foreign currency exchange rates</w:t>
            </w:r>
          </w:p>
        </w:tc>
        <w:tc>
          <w:tcPr>
            <w:tcW w:w="102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w:t>
            </w:r>
          </w:p>
        </w:tc>
      </w:tr>
      <w:tr>
        <w:trPr/>
        <w:tc>
          <w:tcPr>
            <w:tcW w:w="39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(2,135)</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(420)</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(380)</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(2,935)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(1,870)</w:t>
            </w:r>
          </w:p>
        </w:tc>
      </w:tr>
    </w:tbl>
    <w:tbl>
      <w:tblPr>
        <w:tblW w:w="7822" w:type="dxa"/>
        <w:jc w:val="left"/>
        <w:tblInd w:w="0" w:type="dxa"/>
        <w:tblLayout w:type="fixed"/>
        <w:tblCellMar>
          <w:top w:w="28" w:type="dxa"/>
          <w:left w:w="28" w:type="dxa"/>
          <w:bottom w:w="28" w:type="dxa"/>
          <w:right w:w="28" w:type="dxa"/>
        </w:tblCellMar>
      </w:tblPr>
      <w:tblGrid>
        <w:gridCol w:w="2356"/>
        <w:gridCol w:w="1021"/>
        <w:gridCol w:w="109"/>
        <w:gridCol w:w="1111"/>
        <w:gridCol w:w="109"/>
        <w:gridCol w:w="1126"/>
        <w:gridCol w:w="109"/>
        <w:gridCol w:w="676"/>
        <w:gridCol w:w="109"/>
        <w:gridCol w:w="1096"/>
      </w:tblGrid>
      <w:tr>
        <w:trPr/>
        <w:tc>
          <w:tcPr>
            <w:tcW w:w="235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2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BUILDINGS</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FURNITURE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AND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COMPUTER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EQUIPMENT</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WHICH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ROU</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BOOK VALUES</w:t>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2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1,801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2,159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1,547</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2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1,706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1,563</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21"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1,007</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Right of use assets relate to buildings and furniture. The net book value of right of use assets related to buildings amounted 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1,489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2025,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1,473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December 31, 2025 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927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2026.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F-18</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of June 30, 2026, no indicator of impairment has been identified.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9. Other financial assets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Other financial assets break down as follows:</w:t>
      </w:r>
    </w:p>
    <w:tbl>
      <w:tblPr>
        <w:tblW w:w="6273" w:type="dxa"/>
        <w:jc w:val="left"/>
        <w:tblInd w:w="0" w:type="dxa"/>
        <w:tblLayout w:type="fixed"/>
        <w:tblCellMar>
          <w:top w:w="28" w:type="dxa"/>
          <w:left w:w="28" w:type="dxa"/>
          <w:bottom w:w="28" w:type="dxa"/>
          <w:right w:w="28" w:type="dxa"/>
        </w:tblCellMar>
      </w:tblPr>
      <w:tblGrid>
        <w:gridCol w:w="2986"/>
        <w:gridCol w:w="109"/>
        <w:gridCol w:w="1711"/>
        <w:gridCol w:w="206"/>
        <w:gridCol w:w="1261"/>
      </w:tblGrid>
      <w:tr>
        <w:trPr/>
        <w:tc>
          <w:tcPr>
            <w:tcW w:w="2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98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206"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298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 FINANCIAL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Advances related to CRO contracts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4,665</w:t>
            </w:r>
          </w:p>
        </w:tc>
        <w:tc>
          <w:tcPr>
            <w:tcW w:w="20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4,755</w:t>
            </w:r>
          </w:p>
        </w:tc>
      </w:tr>
      <w:tr>
        <w:trPr/>
        <w:tc>
          <w:tcPr>
            <w:tcW w:w="29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693</w:t>
            </w:r>
          </w:p>
        </w:tc>
        <w:tc>
          <w:tcPr>
            <w:tcW w:w="20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705</w:t>
            </w:r>
          </w:p>
        </w:tc>
      </w:tr>
      <w:tr>
        <w:trPr/>
        <w:tc>
          <w:tcPr>
            <w:tcW w:w="298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other non-current financial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5,358</w:t>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5,460</w:t>
            </w:r>
          </w:p>
        </w:tc>
      </w:tr>
      <w:tr>
        <w:trPr/>
        <w:tc>
          <w:tcPr>
            <w:tcW w:w="29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Advances related to CRO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7,717</w:t>
            </w:r>
          </w:p>
        </w:tc>
        <w:tc>
          <w:tcPr>
            <w:tcW w:w="20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261"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7,872</w:t>
            </w:r>
          </w:p>
        </w:tc>
      </w:tr>
      <w:tr>
        <w:trPr/>
        <w:tc>
          <w:tcPr>
            <w:tcW w:w="29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Receivable from Citibank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429</w:t>
            </w:r>
          </w:p>
        </w:tc>
      </w:tr>
      <w:tr>
        <w:trPr/>
        <w:tc>
          <w:tcPr>
            <w:tcW w:w="29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13,698</w:t>
            </w:r>
          </w:p>
        </w:tc>
        <w:tc>
          <w:tcPr>
            <w:tcW w:w="20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14,390</w:t>
            </w:r>
          </w:p>
        </w:tc>
      </w:tr>
      <w:tr>
        <w:trPr/>
        <w:tc>
          <w:tcPr>
            <w:tcW w:w="298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other current financial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21,415</w:t>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22,692</w:t>
            </w:r>
          </w:p>
        </w:tc>
      </w:tr>
      <w:tr>
        <w:trPr/>
        <w:tc>
          <w:tcPr>
            <w:tcW w:w="298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 financial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26,772</w:t>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28,152</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Advances related to CRO contracts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These advances granted in 2022 for a total undiscounted amount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12,187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clinical studies are to be recovered at the end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studies after final reconciliation with pass-through costs, which are being invoiced and paid as studies are carried out. These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long-term advances were measured at fair value on initial recognition, using discount rates ranging from 0.19%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7.16%, and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subsequently measured at amortized cost. The recovery dates of the first two advances are scheduled in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During the first half of 2023, additional advances related to CRO contracts amounting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1,620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were made (undiscounted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amount). These long-term advances were measured at fair value on initial recognition, using discount rates ranging from 7.09%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7.59%, and are subsequently measured at amortized cost.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inception, a prepaid expenses asset was recognized for the difference between the advances’ nominal value and fair value,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spread over the term of the advances, at the rate of recognition of the related R&amp;D expenses (see Note 10).</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March 2024, a change order was signed with the CRO, extending the scope (addition of maintenance studies) and end date of one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the studies to 2029, thus postponing the recovery date of the corresponding advance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5,538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June 2026 to June 2029.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considered that this asset modification met the criteria for derecognition, and recognized a new financial asset at fair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that date, using a discount rate of 6.83%. Since the Group considers that these advances are made in exchange for a discount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future services to be received from the CROs, a prepaid expense asset was also recognized for the difference between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derecognized asset carrying value and new asset fair value, and spread over the term of the advance (equal to the period of service)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 similar manner.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of June 30, 2026, the recovery dates of these advances are spread from the second half of 2026 to 2030.</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credit risk related to these advances is deemed insignificant due to the CROs' credit ratings.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Other investments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investments consist of 9-month and 12-month term deposits that do not qualify for a classification under cash and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equivalents.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Deposits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Deposits include amounts related to the Paris and Boston offices lease contracts, the ATM Program, as well as other security deposits.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10. Other receivables and assets</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color w:val="231F20"/>
          <w:sz w:val="20"/>
          <w:u w:val="none"/>
          <w:effect w:val="none"/>
        </w:rPr>
        <w:t>Other receivables and assets break down as follows:</w:t>
      </w:r>
      <w:r>
        <w:rPr>
          <w:caps w:val="false"/>
          <w:smallCaps w:val="false"/>
          <w:strike w:val="false"/>
          <w:dstrike w:val="false"/>
          <w:sz w:val="24"/>
          <w:u w:val="none"/>
          <w:effect w:val="none"/>
        </w:rPr>
        <w:t xml:space="preserve"> </w:t>
      </w:r>
    </w:p>
    <w:tbl>
      <w:tblPr>
        <w:tblW w:w="6656" w:type="dxa"/>
        <w:jc w:val="left"/>
        <w:tblInd w:w="0" w:type="dxa"/>
        <w:tblLayout w:type="fixed"/>
        <w:tblCellMar>
          <w:top w:w="28" w:type="dxa"/>
          <w:left w:w="28" w:type="dxa"/>
          <w:bottom w:w="28" w:type="dxa"/>
          <w:right w:w="28" w:type="dxa"/>
        </w:tblCellMar>
      </w:tblPr>
      <w:tblGrid>
        <w:gridCol w:w="3466"/>
        <w:gridCol w:w="109"/>
        <w:gridCol w:w="1711"/>
        <w:gridCol w:w="109"/>
        <w:gridCol w:w="1261"/>
      </w:tblGrid>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346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 RECEIVABLES AND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Research tax credit ("CIR")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2,137</w:t>
            </w:r>
          </w:p>
        </w:tc>
      </w:tr>
      <w:tr>
        <w:trPr/>
        <w:tc>
          <w:tcPr>
            <w:tcW w:w="34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Prepaid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441</w:t>
            </w:r>
          </w:p>
        </w:tc>
      </w:tr>
      <w:tr>
        <w:trPr/>
        <w:tc>
          <w:tcPr>
            <w:tcW w:w="346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non-current other receivables and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2,579</w:t>
            </w:r>
          </w:p>
        </w:tc>
      </w:tr>
      <w:tr>
        <w:trPr/>
        <w:tc>
          <w:tcPr>
            <w:tcW w:w="34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Research tax credit ("CIR")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3,174</w:t>
            </w:r>
          </w:p>
        </w:tc>
      </w:tr>
      <w:tr>
        <w:trPr/>
        <w:tc>
          <w:tcPr>
            <w:tcW w:w="34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VAT receivables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6,870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8,134</w:t>
            </w:r>
          </w:p>
        </w:tc>
      </w:tr>
      <w:tr>
        <w:trPr/>
        <w:tc>
          <w:tcPr>
            <w:tcW w:w="34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Prepaid expenses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4,392</w:t>
            </w:r>
          </w:p>
        </w:tc>
      </w:tr>
      <w:tr>
        <w:trPr/>
        <w:tc>
          <w:tcPr>
            <w:tcW w:w="34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Employee-related receivables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872</w:t>
            </w:r>
          </w:p>
        </w:tc>
      </w:tr>
      <w:tr>
        <w:trPr/>
        <w:tc>
          <w:tcPr>
            <w:tcW w:w="34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Credit notes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243</w:t>
            </w:r>
          </w:p>
        </w:tc>
      </w:tr>
      <w:tr>
        <w:trPr/>
        <w:tc>
          <w:tcPr>
            <w:tcW w:w="34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126</w:t>
            </w:r>
          </w:p>
        </w:tc>
      </w:tr>
      <w:tr>
        <w:trPr/>
        <w:tc>
          <w:tcPr>
            <w:tcW w:w="346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current other receivables and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13,144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16,941</w:t>
            </w:r>
          </w:p>
        </w:tc>
      </w:tr>
      <w:tr>
        <w:trPr/>
        <w:tc>
          <w:tcPr>
            <w:tcW w:w="346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 receivables and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13,769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19,520</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Research tax credit (“CIR”)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CIR is recognized as Other Operating Income in the year to which the eligible research expense relates. The Group received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payment for the CIR for the 2024 tax year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5,640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June 2025 and received payment for the CIR for the 2025 tax year of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3,174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August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additional CIR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2,137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recorded over the six-month period ended June 30,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relates to research expenses incurred during the period.</w:t>
      </w:r>
    </w:p>
    <w:p>
      <w:pPr>
        <w:pStyle w:val="TextBody"/>
        <w:bidi w:val="0"/>
        <w:spacing w:lineRule="atLeast" w:line="142"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Prepaid expenses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Prepaid expenses as of June 30, 2026 include prepaid expenses related to CRO contracts for an amount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441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(see Note 9),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expenses related to capital</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increases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888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(contributing to the increase in the balance compared to December 31,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other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expenses from various suppliers amounting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3,512 thousand.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11. Cash and cash equivalents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Cash and cash equivalents break down as follows:</w:t>
      </w:r>
    </w:p>
    <w:tbl>
      <w:tblPr>
        <w:tblW w:w="5921" w:type="dxa"/>
        <w:jc w:val="left"/>
        <w:tblInd w:w="0" w:type="dxa"/>
        <w:tblLayout w:type="fixed"/>
        <w:tblCellMar>
          <w:top w:w="28" w:type="dxa"/>
          <w:left w:w="28" w:type="dxa"/>
          <w:bottom w:w="28" w:type="dxa"/>
          <w:right w:w="28" w:type="dxa"/>
        </w:tblCellMar>
      </w:tblPr>
      <w:tblGrid>
        <w:gridCol w:w="2731"/>
        <w:gridCol w:w="109"/>
        <w:gridCol w:w="1711"/>
        <w:gridCol w:w="109"/>
        <w:gridCol w:w="1261"/>
      </w:tblGrid>
      <w:tr>
        <w:trPr/>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2731" w:type="dxa"/>
            <w:tcBorders/>
            <w:shd w:fill="CCEC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AND CASH EQUIVALENTS</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equivalents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478,541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218,055</w:t>
            </w:r>
          </w:p>
        </w:tc>
      </w:tr>
      <w:tr>
        <w:trPr/>
        <w:tc>
          <w:tcPr>
            <w:tcW w:w="2731" w:type="dxa"/>
            <w:tcBorders/>
            <w:shd w:fill="CCEC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711" w:type="dxa"/>
            <w:tcBorders>
              <w:bottom w:val="single" w:sz="16" w:space="0" w:color="000000"/>
            </w:tcBorders>
            <w:shd w:fill="CCEC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38,144</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261" w:type="dxa"/>
            <w:tcBorders>
              <w:bottom w:val="single" w:sz="16" w:space="0" w:color="000000"/>
            </w:tcBorders>
            <w:shd w:fill="CCEC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169,936</w:t>
            </w:r>
          </w:p>
        </w:tc>
      </w:tr>
      <w:tr>
        <w:trPr/>
        <w:tc>
          <w:tcPr>
            <w:tcW w:w="273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and cash equivalents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top w:val="single" w:sz="16"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516,685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16"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387,992</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Cash equivalents mainly include term deposits with short-term maturities and highly liquid investments in mutual funds (measured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amortized cost) and highly liquid investments in mutual funds and structured notes (measured at fair value through profit or loss)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denominated in euros and U.S. dollars. Cash equivalents include the invested proceeds from the 2025 Offering.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and June 30, 2026, in addition to the Group’s bank accounts, cash includes notice accounts and demand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deposit accounts amounting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5,744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66,120 thousand, respectively. These funds are available on demand within 24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hours and without penalty.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and June 30, 2026, the impact of the revaluation of cash and cash equivalents held in U.S. dollars into the</w:t>
      </w:r>
      <w:r>
        <w:rPr>
          <w:caps w:val="false"/>
          <w:smallCaps w:val="false"/>
          <w:strike w:val="false"/>
          <w:dstrike w:val="false"/>
          <w:sz w:val="24"/>
          <w:u w:val="none"/>
          <w:effect w:val="none"/>
        </w:rPr>
        <w:t xml:space="preserve"> </w:t>
      </w:r>
    </w:p>
    <w:p>
      <w:pPr>
        <w:pStyle w:val="TextBody"/>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Company's functional currency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is a net financial expense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8,639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a net financial gain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2,736 thousand, respectively.</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12. Financial assets and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 xml:space="preserve">The following table shows the carrying amounts and fair value of financial assets and financial liabilities, including their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levels in the fair value hierarchy.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 xml:space="preserve">Tax and employee-related payables are non-financial liabilities and are therefore excluded from the tables below. They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presented in Note 17.2.</w:t>
      </w:r>
    </w:p>
    <w:tbl>
      <w:tblPr>
        <w:tblW w:w="10205" w:type="dxa"/>
        <w:jc w:val="left"/>
        <w:tblInd w:w="0" w:type="dxa"/>
        <w:tblLayout w:type="fixed"/>
        <w:tblCellMar>
          <w:top w:w="28" w:type="dxa"/>
          <w:left w:w="28" w:type="dxa"/>
          <w:bottom w:w="28" w:type="dxa"/>
          <w:right w:w="28" w:type="dxa"/>
        </w:tblCellMar>
      </w:tblPr>
      <w:tblGrid>
        <w:gridCol w:w="3298"/>
        <w:gridCol w:w="1357"/>
        <w:gridCol w:w="109"/>
        <w:gridCol w:w="1126"/>
        <w:gridCol w:w="109"/>
        <w:gridCol w:w="1347"/>
        <w:gridCol w:w="109"/>
        <w:gridCol w:w="1162"/>
        <w:gridCol w:w="109"/>
        <w:gridCol w:w="1479"/>
      </w:tblGrid>
      <w:tr>
        <w:trPr/>
        <w:tc>
          <w:tcPr>
            <w:tcW w:w="329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329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3298"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357"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AMOUNT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RECOGNIZED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 THE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STATEMENT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FINANCIAL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POSITION</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ASSETS/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LIABILITIES AT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PROFIT AND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LOSS</w:t>
            </w:r>
          </w:p>
        </w:tc>
        <w:tc>
          <w:tcPr>
            <w:tcW w:w="109" w:type="dxa"/>
            <w:tcBorders/>
            <w:vAlign w:val="center"/>
          </w:tcPr>
          <w:p>
            <w:pPr>
              <w:pStyle w:val="TableContents"/>
              <w:bidi w:val="0"/>
              <w:spacing w:before="0" w:after="283"/>
              <w:jc w:val="left"/>
              <w:rPr>
                <w:sz w:val="4"/>
                <w:szCs w:val="4"/>
              </w:rPr>
            </w:pPr>
            <w:r>
              <w:rPr>
                <w:sz w:val="4"/>
                <w:szCs w:val="4"/>
              </w:rPr>
            </w:r>
          </w:p>
        </w:tc>
        <w:tc>
          <w:tcPr>
            <w:tcW w:w="116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ASSETS AT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AMORTIZED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COST</w:t>
            </w:r>
          </w:p>
        </w:tc>
        <w:tc>
          <w:tcPr>
            <w:tcW w:w="109" w:type="dxa"/>
            <w:tcBorders/>
            <w:vAlign w:val="center"/>
          </w:tcPr>
          <w:p>
            <w:pPr>
              <w:pStyle w:val="TableContents"/>
              <w:bidi w:val="0"/>
              <w:spacing w:before="0" w:after="283"/>
              <w:jc w:val="left"/>
              <w:rPr>
                <w:sz w:val="4"/>
                <w:szCs w:val="4"/>
              </w:rPr>
            </w:pPr>
            <w:r>
              <w:rPr>
                <w:sz w:val="4"/>
                <w:szCs w:val="4"/>
              </w:rPr>
            </w:r>
          </w:p>
        </w:tc>
        <w:tc>
          <w:tcPr>
            <w:tcW w:w="147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LIABILITIES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AT AMORTIZED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COST</w:t>
            </w:r>
          </w:p>
        </w:tc>
      </w:tr>
      <w:tr>
        <w:trPr/>
        <w:tc>
          <w:tcPr>
            <w:tcW w:w="329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financial assets (2)</w:t>
            </w:r>
          </w:p>
        </w:tc>
        <w:tc>
          <w:tcPr>
            <w:tcW w:w="1357"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26,772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47"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9"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29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receivables and assets (2)</w:t>
            </w:r>
          </w:p>
        </w:tc>
        <w:tc>
          <w:tcPr>
            <w:tcW w:w="135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29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cash equivalents (1)</w:t>
            </w:r>
          </w:p>
        </w:tc>
        <w:tc>
          <w:tcPr>
            <w:tcW w:w="1357"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516,685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516,685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47"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437,031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79,654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9"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298"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financial assets</w:t>
            </w:r>
          </w:p>
        </w:tc>
        <w:tc>
          <w:tcPr>
            <w:tcW w:w="135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557,226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557,595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4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437,031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120,565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29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Financial liabilities—non-current portion (4, Note 15)</w:t>
            </w:r>
          </w:p>
        </w:tc>
        <w:tc>
          <w:tcPr>
            <w:tcW w:w="1357"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102,555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47"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9"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102,555</w:t>
            </w:r>
          </w:p>
        </w:tc>
      </w:tr>
      <w:tr>
        <w:trPr/>
        <w:tc>
          <w:tcPr>
            <w:tcW w:w="329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Financial liabilities—current portion (3, Note 15)</w:t>
            </w:r>
          </w:p>
        </w:tc>
        <w:tc>
          <w:tcPr>
            <w:tcW w:w="135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1,302</w:t>
            </w:r>
          </w:p>
        </w:tc>
      </w:tr>
      <w:tr>
        <w:trPr/>
        <w:tc>
          <w:tcPr>
            <w:tcW w:w="329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Trade payables and other current liabilities (3)</w:t>
            </w:r>
          </w:p>
        </w:tc>
        <w:tc>
          <w:tcPr>
            <w:tcW w:w="1357"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37,552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37,552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47"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9"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37,552</w:t>
            </w:r>
          </w:p>
        </w:tc>
      </w:tr>
      <w:tr>
        <w:trPr/>
        <w:tc>
          <w:tcPr>
            <w:tcW w:w="3298"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financial liabilities</w:t>
            </w:r>
          </w:p>
        </w:tc>
        <w:tc>
          <w:tcPr>
            <w:tcW w:w="135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69,644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141,409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4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141,409</w:t>
            </w:r>
          </w:p>
        </w:tc>
      </w:tr>
    </w:tbl>
    <w:tbl>
      <w:tblPr>
        <w:tblW w:w="10205" w:type="dxa"/>
        <w:jc w:val="left"/>
        <w:tblInd w:w="0" w:type="dxa"/>
        <w:tblLayout w:type="fixed"/>
        <w:tblCellMar>
          <w:top w:w="28" w:type="dxa"/>
          <w:left w:w="28" w:type="dxa"/>
          <w:bottom w:w="28" w:type="dxa"/>
          <w:right w:w="28" w:type="dxa"/>
        </w:tblCellMar>
      </w:tblPr>
      <w:tblGrid>
        <w:gridCol w:w="3280"/>
        <w:gridCol w:w="1359"/>
        <w:gridCol w:w="109"/>
        <w:gridCol w:w="1126"/>
        <w:gridCol w:w="109"/>
        <w:gridCol w:w="1359"/>
        <w:gridCol w:w="109"/>
        <w:gridCol w:w="1164"/>
        <w:gridCol w:w="109"/>
        <w:gridCol w:w="1481"/>
      </w:tblGrid>
      <w:tr>
        <w:trPr/>
        <w:tc>
          <w:tcPr>
            <w:tcW w:w="328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328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3280"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35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AMOUNT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RECOGNIZED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 THE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STATEMENT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FINANCIAL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POSITION</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ASSETS/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LIABILITIES AT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THROUGH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PROFIT AND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LOSS</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ASSETS AT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AMORTIZED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COST</w:t>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LIABILITIES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AT AMORTIZED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COST</w:t>
            </w:r>
          </w:p>
        </w:tc>
      </w:tr>
      <w:tr>
        <w:trPr/>
        <w:tc>
          <w:tcPr>
            <w:tcW w:w="328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financial assets (2)</w:t>
            </w:r>
          </w:p>
        </w:tc>
        <w:tc>
          <w:tcPr>
            <w:tcW w:w="1359"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28,152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28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receivables and assets (2)</w:t>
            </w:r>
          </w:p>
        </w:tc>
        <w:tc>
          <w:tcPr>
            <w:tcW w:w="13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19,520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19,520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19,520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28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cash equivalents (1)</w:t>
            </w:r>
          </w:p>
        </w:tc>
        <w:tc>
          <w:tcPr>
            <w:tcW w:w="1359"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387,992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387,992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166,055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221,936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280"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financial assets</w:t>
            </w:r>
          </w:p>
        </w:tc>
        <w:tc>
          <w:tcPr>
            <w:tcW w:w="135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435,663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435,568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166,055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269,513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28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Financial liabilities—non-current portion (Note 15)</w:t>
            </w:r>
          </w:p>
        </w:tc>
        <w:tc>
          <w:tcPr>
            <w:tcW w:w="1359"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1"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w:t>
            </w:r>
          </w:p>
        </w:tc>
      </w:tr>
      <w:tr>
        <w:trPr/>
        <w:tc>
          <w:tcPr>
            <w:tcW w:w="328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Financial liabilities—current portion (3, Note 15)</w:t>
            </w:r>
          </w:p>
        </w:tc>
        <w:tc>
          <w:tcPr>
            <w:tcW w:w="13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1,075</w:t>
            </w:r>
          </w:p>
        </w:tc>
      </w:tr>
      <w:tr>
        <w:trPr/>
        <w:tc>
          <w:tcPr>
            <w:tcW w:w="328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Trade payables and other current liabilities (3)</w:t>
            </w:r>
          </w:p>
        </w:tc>
        <w:tc>
          <w:tcPr>
            <w:tcW w:w="1359"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39,010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39,010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39,010</w:t>
            </w:r>
          </w:p>
        </w:tc>
      </w:tr>
      <w:tr>
        <w:trPr/>
        <w:tc>
          <w:tcPr>
            <w:tcW w:w="3280"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financial liabilities</w:t>
            </w:r>
          </w:p>
        </w:tc>
        <w:tc>
          <w:tcPr>
            <w:tcW w:w="135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40,222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40,222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40,222</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    The fair value of cash and cash equivalents is determined based on Level 1 fair value measurement and corresponds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market value of the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    The carrying amount of financial assets measured at amortized cost is deemed to be a reasonable estimate of fair value, except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long-term advances made to CROs, whose fair value is determined based on Level 3 fair value measurement and is estimated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based on future cash-flows discounted at market rates, using credit spreads ranging from 34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bp to 131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bp as of December 31, 2025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bp to 81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bp as of June 30, 2026. As of December 31, 2025 and June 30, 2026, an increase in the credit spread by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bp would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result in a decrease in the advances fair value by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231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202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(3)    The carrying amount of current financial liabilities measured at amortized cost, including Trade payables and other current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was deemed to be a reasonable estimate of fair value.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F-22</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(4)    The fair value of the royalty certificates, is based on Level 3 fair value measurement and is estimated based on models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assumptions detailed in Note 15.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13.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13.1. Share capital issued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 xml:space="preserve">The Group manages its capital to ensure that it will be able to continue as a going concern while maximizing the return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shareholders through the optimization of the debt and equity balance.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June 30, 2026, the Group's share capital amounted to €798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divided into 79,817,069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ordinary shares issued with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par value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0.01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each, fully paid up, after taking into account the various capital increases that took place since inception.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color w:val="231F20"/>
          <w:sz w:val="20"/>
          <w:u w:val="none"/>
          <w:effect w:val="none"/>
        </w:rPr>
        <w:t>Share capital does not include founders’ share subscription warrants (“</w:t>
      </w:r>
      <w:r>
        <w:rPr>
          <w:rFonts w:ascii="Times New Roman;serif" w:hAnsi="Times New Roman;serif"/>
          <w:b w:val="false"/>
          <w:i/>
          <w:strike w:val="false"/>
          <w:dstrike w:val="false"/>
          <w:color w:val="231F20"/>
          <w:sz w:val="20"/>
          <w:u w:val="none"/>
          <w:effect w:val="none"/>
        </w:rPr>
        <w:t>bons de souscription de parts de créateur d’entreprise</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 xml:space="preserve">or </w:t>
      </w:r>
    </w:p>
    <w:p>
      <w:pPr>
        <w:pStyle w:val="TextBody"/>
        <w:bidi w:val="0"/>
        <w:spacing w:lineRule="atLeast" w:line="200" w:before="0" w:after="0"/>
        <w:jc w:val="left"/>
        <w:rPr/>
      </w:pPr>
      <w:r>
        <w:rPr>
          <w:caps w:val="false"/>
          <w:smallCaps w:val="false"/>
          <w:strike w:val="false"/>
          <w:dstrike w:val="false"/>
          <w:color w:val="231F20"/>
          <w:u w:val="none"/>
          <w:effect w:val="none"/>
        </w:rPr>
        <w:t>“</w:t>
      </w:r>
      <w:r>
        <w:rPr>
          <w:rFonts w:ascii="Times New Roman;serif" w:hAnsi="Times New Roman;serif"/>
          <w:b w:val="false"/>
          <w:i w:val="false"/>
          <w:caps w:val="false"/>
          <w:smallCaps w:val="false"/>
          <w:strike w:val="false"/>
          <w:dstrike w:val="false"/>
          <w:color w:val="231F20"/>
          <w:sz w:val="20"/>
          <w:u w:val="none"/>
          <w:effect w:val="none"/>
        </w:rPr>
        <w:t>BCE”), share subscription warrants (“</w:t>
      </w:r>
      <w:r>
        <w:rPr>
          <w:rFonts w:ascii="Times New Roman;serif" w:hAnsi="Times New Roman;serif"/>
          <w:b w:val="false"/>
          <w:i/>
          <w:strike w:val="false"/>
          <w:dstrike w:val="false"/>
          <w:color w:val="231F20"/>
          <w:sz w:val="20"/>
          <w:u w:val="none"/>
          <w:effect w:val="none"/>
        </w:rPr>
        <w:t>Bons de souscription d’actions</w:t>
      </w:r>
      <w:r>
        <w:rPr>
          <w:rFonts w:ascii="Times New Roman;serif" w:hAnsi="Times New Roman;serif"/>
          <w:b w:val="false"/>
          <w:i w:val="false"/>
          <w:caps w:val="false"/>
          <w:smallCaps w:val="false"/>
          <w:strike w:val="false"/>
          <w:dstrike w:val="false"/>
          <w:color w:val="231F20"/>
          <w:sz w:val="20"/>
          <w:u w:val="none"/>
          <w:effect w:val="none"/>
        </w:rPr>
        <w:t>,” or “BSA”) and free shares (“</w:t>
      </w:r>
      <w:r>
        <w:rPr>
          <w:rFonts w:ascii="Times New Roman;serif" w:hAnsi="Times New Roman;serif"/>
          <w:b w:val="false"/>
          <w:i/>
          <w:strike w:val="false"/>
          <w:dstrike w:val="false"/>
          <w:color w:val="231F20"/>
          <w:sz w:val="20"/>
          <w:u w:val="none"/>
          <w:effect w:val="none"/>
        </w:rPr>
        <w:t>Attributions gratuites d’actions</w:t>
      </w:r>
      <w:r>
        <w:rPr>
          <w:rFonts w:ascii="Times New Roman;serif" w:hAnsi="Times New Roman;serif"/>
          <w:b w:val="false"/>
          <w:i w:val="false"/>
          <w:caps w:val="false"/>
          <w:smallCaps w:val="false"/>
          <w:strike w:val="false"/>
          <w:dstrike w:val="false"/>
          <w:color w:val="231F20"/>
          <w:sz w:val="20"/>
          <w:u w:val="none"/>
          <w:effect w:val="none"/>
        </w:rPr>
        <w:t>,”</w:t>
      </w:r>
      <w:r>
        <w:rPr>
          <w:caps w:val="false"/>
          <w:smallCaps w:val="false"/>
          <w:strike w:val="false"/>
          <w:dstrike w:val="false"/>
          <w:color w:val="231F20"/>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or “AGA”) that have been granted to certain natural persons, both employees and non-employees of the Group, but not yet exercised.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Group held none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its own shares as of December 31, 2025 and June 30,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number of outstanding ordinary shares was 78,536,412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79,817,069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 and June 30, 2026, respectively</w:t>
      </w:r>
      <w:r>
        <w:rPr>
          <w:rFonts w:ascii="Times New Roman;serif" w:hAnsi="Times New Roman;serif"/>
          <w:b w:val="false"/>
          <w:i w:val="false"/>
          <w:caps w:val="false"/>
          <w:smallCaps w:val="false"/>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13.2. Change in share capital</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increase in the share capital for the six months ended June 30, 2026 relates to (i) the issuance, in May 2026, of 403,347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ADSs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subscribed by the royalty certificates Holders at a price of $111.57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ADS (corresponding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95.34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ordinary share, based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exchange rate of €1.00 = $1.1702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published by the European Central Bank on April 30, 2026), as part of the repurchase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certificates (see Note 15.5),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(ii) (x) the vesting of 858,370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AGAs, (y) the exercise of 2,540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BCEs  and (z) the exercise of 16,400</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(See Note 14). BSAs, resulting in the issuance of respectively 858,370, 2,540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16,400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ordinary shares (i.e. 877,310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aggregate) with a par value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0.01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share.</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Distribution of dividends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did not distribute any dividends during any of the periods presented, does not have any present plan to pay any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dividends on its equity securities in the foreseeable future and currently intends to retain all available funds and any future earnings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operate and expand its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14. Share-based payments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has granted BCEs, BSAs and AGAs. These plans qualify as “equity settled” under IFRS 2. The Group does not have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obligation to purchase these instruments in the event of departure or if a specific event does not occur.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BCEs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tables summarize the data relating to BCEs:</w:t>
      </w:r>
    </w:p>
    <w:tbl>
      <w:tblPr>
        <w:tblW w:w="9828" w:type="dxa"/>
        <w:jc w:val="left"/>
        <w:tblInd w:w="0" w:type="dxa"/>
        <w:tblLayout w:type="fixed"/>
        <w:tblCellMar>
          <w:top w:w="28" w:type="dxa"/>
          <w:left w:w="28" w:type="dxa"/>
          <w:bottom w:w="28" w:type="dxa"/>
          <w:right w:w="28" w:type="dxa"/>
        </w:tblCellMar>
      </w:tblPr>
      <w:tblGrid>
        <w:gridCol w:w="1021"/>
        <w:gridCol w:w="871"/>
        <w:gridCol w:w="109"/>
        <w:gridCol w:w="1021"/>
        <w:gridCol w:w="1021"/>
        <w:gridCol w:w="109"/>
        <w:gridCol w:w="1081"/>
        <w:gridCol w:w="109"/>
        <w:gridCol w:w="931"/>
        <w:gridCol w:w="109"/>
        <w:gridCol w:w="1021"/>
        <w:gridCol w:w="109"/>
        <w:gridCol w:w="946"/>
        <w:gridCol w:w="109"/>
        <w:gridCol w:w="1261"/>
      </w:tblGrid>
      <w:tr>
        <w:trPr/>
        <w:tc>
          <w:tcPr>
            <w:tcW w:w="102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021" w:type="dxa"/>
            <w:vMerge w:val="restart"/>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TYPE</w:t>
            </w:r>
          </w:p>
        </w:tc>
        <w:tc>
          <w:tcPr>
            <w:tcW w:w="871" w:type="dxa"/>
            <w:vMerge w:val="restart"/>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BCEs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ISSUED</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vMerge w:val="restart"/>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BCE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OUTSTAND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ING 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JANUARY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1, 2026</w:t>
            </w:r>
          </w:p>
        </w:tc>
        <w:tc>
          <w:tcPr>
            <w:tcW w:w="10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ISSUED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BCEs</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LAPSED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BCEs</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 BCEs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BCEs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OUTSTAND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ING </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BCEs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EXERCISA</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BLE</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MAXIMUM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SHARES TO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BE ISSUED IF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ALL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CONDITIONS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ARE MET</w:t>
            </w:r>
          </w:p>
        </w:tc>
      </w:tr>
      <w:tr>
        <w:trPr/>
        <w:tc>
          <w:tcPr>
            <w:tcW w:w="1021" w:type="dxa"/>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871" w:type="dxa"/>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325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Total BCEs</w:t>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390,965</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207,679</w:t>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(2,540)</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205,139</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120,922</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205,139</w:t>
            </w:r>
          </w:p>
        </w:tc>
      </w:tr>
    </w:tbl>
    <w:p>
      <w:pPr>
        <w:pStyle w:val="TextBody"/>
        <w:bidi w:val="0"/>
        <w:spacing w:lineRule="atLeast" w:line="200" w:before="0" w:after="0"/>
        <w:jc w:val="left"/>
        <w:rPr>
          <w:rFonts w:ascii="Times New Roman;serif" w:hAnsi="Times New Roman;serif"/>
          <w:b w:val="false"/>
          <w:i/>
          <w:strike w:val="false"/>
          <w:dstrike w:val="false"/>
          <w:color w:val="231F20"/>
          <w:sz w:val="20"/>
          <w:u w:val="none"/>
          <w:effect w:val="none"/>
        </w:rPr>
      </w:pPr>
      <w:r>
        <w:rPr>
          <w:rFonts w:ascii="Times New Roman;serif" w:hAnsi="Times New Roman;serif"/>
          <w:b w:val="false"/>
          <w:i/>
          <w:strike w:val="false"/>
          <w:dstrike w:val="false"/>
          <w:color w:val="231F20"/>
          <w:sz w:val="20"/>
          <w:u w:val="none"/>
          <w:effect w:val="none"/>
        </w:rPr>
        <w:t>BSAs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The following tables summarize the data relating to BSAs:</w:t>
      </w:r>
    </w:p>
    <w:tbl>
      <w:tblPr>
        <w:tblW w:w="10205" w:type="dxa"/>
        <w:jc w:val="left"/>
        <w:tblInd w:w="0" w:type="dxa"/>
        <w:tblLayout w:type="fixed"/>
        <w:tblCellMar>
          <w:top w:w="28" w:type="dxa"/>
          <w:left w:w="28" w:type="dxa"/>
          <w:bottom w:w="28" w:type="dxa"/>
          <w:right w:w="28" w:type="dxa"/>
        </w:tblCellMar>
      </w:tblPr>
      <w:tblGrid>
        <w:gridCol w:w="928"/>
        <w:gridCol w:w="870"/>
        <w:gridCol w:w="109"/>
        <w:gridCol w:w="1021"/>
        <w:gridCol w:w="1019"/>
        <w:gridCol w:w="109"/>
        <w:gridCol w:w="1079"/>
        <w:gridCol w:w="109"/>
        <w:gridCol w:w="931"/>
        <w:gridCol w:w="109"/>
        <w:gridCol w:w="1021"/>
        <w:gridCol w:w="346"/>
        <w:gridCol w:w="946"/>
        <w:gridCol w:w="346"/>
        <w:gridCol w:w="1262"/>
      </w:tblGrid>
      <w:tr>
        <w:trPr/>
        <w:tc>
          <w:tcPr>
            <w:tcW w:w="92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928" w:type="dxa"/>
            <w:vMerge w:val="restart"/>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TYPE</w:t>
            </w:r>
          </w:p>
        </w:tc>
        <w:tc>
          <w:tcPr>
            <w:tcW w:w="870" w:type="dxa"/>
            <w:vMerge w:val="restart"/>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BSAs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ISSUED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vMerge w:val="restart"/>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BCE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OUTSTAND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ING 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JANUARY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1, 2026</w:t>
            </w:r>
          </w:p>
        </w:tc>
        <w:tc>
          <w:tcPr>
            <w:tcW w:w="1019"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ISSUED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BSAs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9"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LAPSED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BSAs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  BSAs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BSAs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OUTSTAND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ING </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BSAs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EXERCISA</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BLE</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MAXIMUM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SHARES TO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BE ISSUED IF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ALL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CONDITIONS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ARE MET</w:t>
            </w:r>
          </w:p>
        </w:tc>
      </w:tr>
      <w:tr>
        <w:trPr/>
        <w:tc>
          <w:tcPr>
            <w:tcW w:w="928"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0"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3247"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ENDED JUNE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30, 2026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92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BSAs</w:t>
            </w:r>
          </w:p>
        </w:tc>
        <w:tc>
          <w:tcPr>
            <w:tcW w:w="87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314,867</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253,727</w:t>
            </w:r>
          </w:p>
        </w:tc>
        <w:tc>
          <w:tcPr>
            <w:tcW w:w="101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23,477</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(16,400)</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260,804</w:t>
            </w:r>
          </w:p>
        </w:tc>
        <w:tc>
          <w:tcPr>
            <w:tcW w:w="3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75,136</w:t>
            </w:r>
          </w:p>
        </w:tc>
        <w:tc>
          <w:tcPr>
            <w:tcW w:w="3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6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260,804</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BSAs granted in February 2026</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February 2026, the Group granted its independent Board members, as well as a Board observer and advisor, the right to subscribe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up to 23,477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BSAs in the aggregate, the vesting of which is subject to a service condition of four years, by tranches of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each,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vested on each February 1, thereafter. The BSAs were subscribed in February 2026.</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fair value of the BSAs was determined at grant date using the Black Scholes model, with the following assumptions: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F-24</w:t>
      </w:r>
    </w:p>
    <w:tbl>
      <w:tblPr>
        <w:tblW w:w="10205" w:type="dxa"/>
        <w:jc w:val="left"/>
        <w:tblInd w:w="0" w:type="dxa"/>
        <w:tblLayout w:type="fixed"/>
        <w:tblCellMar>
          <w:top w:w="28" w:type="dxa"/>
          <w:left w:w="28" w:type="dxa"/>
          <w:bottom w:w="28" w:type="dxa"/>
          <w:right w:w="28" w:type="dxa"/>
        </w:tblCellMar>
      </w:tblPr>
      <w:tblGrid>
        <w:gridCol w:w="830"/>
        <w:gridCol w:w="109"/>
        <w:gridCol w:w="1258"/>
        <w:gridCol w:w="109"/>
        <w:gridCol w:w="977"/>
        <w:gridCol w:w="109"/>
        <w:gridCol w:w="1026"/>
        <w:gridCol w:w="109"/>
        <w:gridCol w:w="1081"/>
        <w:gridCol w:w="109"/>
        <w:gridCol w:w="912"/>
        <w:gridCol w:w="109"/>
        <w:gridCol w:w="1036"/>
        <w:gridCol w:w="109"/>
        <w:gridCol w:w="1024"/>
        <w:gridCol w:w="109"/>
        <w:gridCol w:w="1189"/>
      </w:tblGrid>
      <w:tr>
        <w:trPr/>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83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TYPE</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THE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UNDERLYING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OF THE BSA</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NUMBER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BSAs</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SUBSCRIPTI</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ON PRICE</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STRIKE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PRICE PER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RISK FREE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RATE</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EXPECTED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MATURITY</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VOLATILITY</w:t>
            </w:r>
          </w:p>
        </w:tc>
      </w:tr>
      <w:tr>
        <w:trPr/>
        <w:tc>
          <w:tcPr>
            <w:tcW w:w="83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BSA-2026-1</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5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16"/>
                <w:u w:val="none"/>
                <w:effect w:val="none"/>
              </w:rPr>
              <w:t>99.63</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16"/>
                <w:u w:val="none"/>
                <w:effect w:val="none"/>
              </w:rPr>
              <w:t>77.7-</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16"/>
                <w:u w:val="none"/>
                <w:effect w:val="none"/>
              </w:rPr>
              <w:t>83.2]</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23,477</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16"/>
                <w:u w:val="none"/>
                <w:effect w:val="none"/>
              </w:rPr>
              <w:t>20.23</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16"/>
                <w:u w:val="none"/>
                <w:effect w:val="none"/>
              </w:rPr>
              <w:t>99.63</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3.77%</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[5.5-7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years]</w:t>
            </w:r>
          </w:p>
        </w:tc>
        <w:tc>
          <w:tcPr>
            <w:tcW w:w="10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99.33%</w:t>
            </w:r>
          </w:p>
        </w:tc>
      </w:tr>
    </w:tbl>
    <w:p>
      <w:pPr>
        <w:pStyle w:val="TextBody"/>
        <w:bidi w:val="0"/>
        <w:spacing w:lineRule="atLeast" w:line="200" w:before="0" w:after="0"/>
        <w:jc w:val="left"/>
        <w:rPr>
          <w:rFonts w:ascii="Times New Roman;serif" w:hAnsi="Times New Roman;serif"/>
          <w:b w:val="false"/>
          <w:i/>
          <w:strike w:val="false"/>
          <w:dstrike w:val="false"/>
          <w:color w:val="231F20"/>
          <w:sz w:val="20"/>
          <w:u w:val="none"/>
          <w:effect w:val="none"/>
        </w:rPr>
      </w:pPr>
      <w:r>
        <w:rPr>
          <w:rFonts w:ascii="Times New Roman;serif" w:hAnsi="Times New Roman;serif"/>
          <w:b w:val="false"/>
          <w:i/>
          <w:strike w:val="false"/>
          <w:dstrike w:val="false"/>
          <w:color w:val="231F20"/>
          <w:sz w:val="20"/>
          <w:u w:val="none"/>
          <w:effect w:val="none"/>
        </w:rPr>
        <w:t>AGAs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 xml:space="preserve">The following tables summarize the data relating to AGAs as well as the assumptions used for the measurement thereof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color w:val="231F20"/>
          <w:sz w:val="20"/>
          <w:u w:val="none"/>
          <w:effect w:val="none"/>
        </w:rPr>
        <w:t>accordance with IFRS 2—</w:t>
      </w:r>
      <w:r>
        <w:rPr>
          <w:rFonts w:ascii="Times New Roman;serif" w:hAnsi="Times New Roman;serif"/>
          <w:b w:val="false"/>
          <w:i/>
          <w:strike w:val="false"/>
          <w:dstrike w:val="false"/>
          <w:color w:val="231F20"/>
          <w:sz w:val="20"/>
          <w:u w:val="none"/>
          <w:effect w:val="none"/>
        </w:rPr>
        <w:t>Share-based Payment</w:t>
      </w:r>
      <w:r>
        <w:rPr>
          <w:rFonts w:ascii="Times New Roman;serif" w:hAnsi="Times New Roman;serif"/>
          <w:b w:val="false"/>
          <w:i w:val="false"/>
          <w:caps w:val="false"/>
          <w:smallCaps w:val="false"/>
          <w:strike w:val="false"/>
          <w:dstrike w:val="false"/>
          <w:color w:val="231F20"/>
          <w:sz w:val="20"/>
          <w:u w:val="none"/>
          <w:effect w:val="none"/>
        </w:rPr>
        <w:t>:</w:t>
      </w:r>
    </w:p>
    <w:tbl>
      <w:tblPr>
        <w:tblW w:w="10205" w:type="dxa"/>
        <w:jc w:val="left"/>
        <w:tblInd w:w="0" w:type="dxa"/>
        <w:tblLayout w:type="fixed"/>
        <w:tblCellMar>
          <w:top w:w="28" w:type="dxa"/>
          <w:left w:w="28" w:type="dxa"/>
          <w:bottom w:w="28" w:type="dxa"/>
          <w:right w:w="28" w:type="dxa"/>
        </w:tblCellMar>
      </w:tblPr>
      <w:tblGrid>
        <w:gridCol w:w="1256"/>
        <w:gridCol w:w="931"/>
        <w:gridCol w:w="1266"/>
        <w:gridCol w:w="109"/>
        <w:gridCol w:w="1376"/>
        <w:gridCol w:w="1136"/>
        <w:gridCol w:w="109"/>
        <w:gridCol w:w="1190"/>
        <w:gridCol w:w="109"/>
        <w:gridCol w:w="1190"/>
        <w:gridCol w:w="109"/>
        <w:gridCol w:w="1424"/>
      </w:tblGrid>
      <w:tr>
        <w:trPr/>
        <w:tc>
          <w:tcPr>
            <w:tcW w:w="12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1256" w:type="dxa"/>
            <w:vMerge w:val="restart"/>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GRANT DATE </w:t>
            </w:r>
          </w:p>
        </w:tc>
        <w:tc>
          <w:tcPr>
            <w:tcW w:w="931" w:type="dxa"/>
            <w:vMerge w:val="restart"/>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TYPE</w:t>
            </w:r>
          </w:p>
        </w:tc>
        <w:tc>
          <w:tcPr>
            <w:tcW w:w="1266" w:type="dxa"/>
            <w:vMerge w:val="restart"/>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NUMBER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OF AGAs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ISSUED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vMerge w:val="restart"/>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AGA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OUTSTANDING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JANUARY 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136"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ISSUED AGAs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LAPSED AGAs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VESTED AGAs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NUMBER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AGAs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OUTSTANDING </w:t>
            </w:r>
          </w:p>
        </w:tc>
      </w:tr>
      <w:tr>
        <w:trPr/>
        <w:tc>
          <w:tcPr>
            <w:tcW w:w="1256"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1"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66"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3734" w:type="dxa"/>
            <w:gridSpan w:val="5"/>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125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AGAs</w:t>
            </w:r>
          </w:p>
        </w:tc>
        <w:tc>
          <w:tcPr>
            <w:tcW w:w="1266"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11,063,460</w:t>
            </w:r>
          </w:p>
        </w:tc>
        <w:tc>
          <w:tcPr>
            <w:tcW w:w="109"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6"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8,395,678</w:t>
            </w:r>
          </w:p>
        </w:tc>
        <w:tc>
          <w:tcPr>
            <w:tcW w:w="1136"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502,562</w:t>
            </w:r>
          </w:p>
        </w:tc>
        <w:tc>
          <w:tcPr>
            <w:tcW w:w="109"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(233,738)</w:t>
            </w:r>
          </w:p>
        </w:tc>
        <w:tc>
          <w:tcPr>
            <w:tcW w:w="109"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(858,370)</w:t>
            </w:r>
          </w:p>
        </w:tc>
        <w:tc>
          <w:tcPr>
            <w:tcW w:w="109"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7,806,132</w:t>
            </w:r>
          </w:p>
        </w:tc>
      </w:tr>
    </w:tbl>
    <w:tbl>
      <w:tblPr>
        <w:tblW w:w="8231" w:type="dxa"/>
        <w:jc w:val="left"/>
        <w:tblInd w:w="0" w:type="dxa"/>
        <w:tblLayout w:type="fixed"/>
        <w:tblCellMar>
          <w:top w:w="28" w:type="dxa"/>
          <w:left w:w="28" w:type="dxa"/>
          <w:bottom w:w="28" w:type="dxa"/>
          <w:right w:w="28" w:type="dxa"/>
        </w:tblCellMar>
      </w:tblPr>
      <w:tblGrid>
        <w:gridCol w:w="1051"/>
        <w:gridCol w:w="109"/>
        <w:gridCol w:w="1456"/>
        <w:gridCol w:w="109"/>
        <w:gridCol w:w="1456"/>
        <w:gridCol w:w="109"/>
        <w:gridCol w:w="1006"/>
        <w:gridCol w:w="109"/>
        <w:gridCol w:w="1186"/>
        <w:gridCol w:w="109"/>
        <w:gridCol w:w="1531"/>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05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TYPE</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UNDERLYING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THE AGA</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MATURITY</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VOLATILITY </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RISK FREE RATE</w:t>
            </w:r>
          </w:p>
        </w:tc>
      </w:tr>
      <w:tr>
        <w:trPr/>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AGA-2026-1</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16"/>
                <w:u w:val="none"/>
                <w:effect w:val="none"/>
              </w:rPr>
              <w:t>95.50</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16"/>
                <w:u w:val="none"/>
                <w:effect w:val="none"/>
              </w:rPr>
              <w:t>95.50</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r>
      <w:tr>
        <w:trPr/>
        <w:tc>
          <w:tcPr>
            <w:tcW w:w="105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AGA-2026-2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16"/>
                <w:u w:val="none"/>
                <w:effect w:val="none"/>
              </w:rPr>
              <w:t>106.00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16"/>
                <w:u w:val="none"/>
                <w:effect w:val="none"/>
              </w:rPr>
              <w:t>106.00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r>
      <w:tr>
        <w:trPr/>
        <w:tc>
          <w:tcPr>
            <w:tcW w:w="105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AGA-2026-3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16"/>
                <w:u w:val="none"/>
                <w:effect w:val="none"/>
              </w:rPr>
              <w:t>106.00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16"/>
                <w:u w:val="none"/>
                <w:effect w:val="none"/>
              </w:rPr>
              <w:t>106.00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r>
      <w:tr>
        <w:trPr/>
        <w:tc>
          <w:tcPr>
            <w:tcW w:w="105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AGA-2026-4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16"/>
                <w:u w:val="none"/>
                <w:effect w:val="none"/>
              </w:rPr>
              <w:t>105.10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16"/>
                <w:u w:val="none"/>
                <w:effect w:val="none"/>
              </w:rPr>
              <w:t>105.10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AGAs granted in February, March and May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February, March and May 2026 certain of the Group's officers and employees were allocated 47,500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AGAs (AGA plan 2026-1),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294,476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AGAs (AGA plan 2026-2), 1,619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AGAs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(AGA plan 2026-3), 41,717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AGAs (AGA plan 2026-4), the vesting of which 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subject to the following service condition: 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AGAs vest at the end of a two-year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at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 of a three-year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 and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the end of a four-year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 from the allocation date.</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Accelerated vesting of AGA plans in March 2026</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light of Dr. Didier Scherrer's departure from his role as Chief Scientific Officer, the Group entered into a settlement agreement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t>
      </w:r>
      <w:r>
        <w:rPr>
          <w:rFonts w:ascii="Times New Roman;serif" w:hAnsi="Times New Roman;serif"/>
          <w:b w:val="false"/>
          <w:i/>
          <w:strike w:val="false"/>
          <w:dstrike w:val="false"/>
          <w:sz w:val="20"/>
          <w:u w:val="none"/>
          <w:effect w:val="none"/>
        </w:rPr>
        <w:t>protocole d’accord transactionnel</w:t>
      </w:r>
      <w:r>
        <w:rPr>
          <w:rFonts w:ascii="Times New Roman;serif" w:hAnsi="Times New Roman;serif"/>
          <w:b w:val="false"/>
          <w:i w:val="false"/>
          <w:caps w:val="false"/>
          <w:smallCaps w:val="false"/>
          <w:strike w:val="false"/>
          <w:dstrike w:val="false"/>
          <w:sz w:val="20"/>
          <w:u w:val="none"/>
          <w:effect w:val="none"/>
        </w:rPr>
        <w:t xml:space="preserve">") with Dr. Didier Scherrer in March 2026 under which (i) the Group waived the continued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employment condition attached to 77,050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free shares previously granted to Dr. Scherrer, (ii) the Group waived the continued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employment condition for a further 40,200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free shares, subject to specific performance conditions, and (iii) the remaining 217,750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free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shares previously granted to Dr. Scherrer are lapsed. As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 result of transactions (i) and (ii), the Group recognized an expense equal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fair value of these 117,250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AGAs (measured on March 5, 2026)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11,619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during the three-month period ended March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31, 2026 (the accelerated vesting following the settlement agreement was accounted for as a new grant under IFRS 2, and presented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within the "Number of issued AGAs" column in the above table, with the original grants being cancelled and the corresponding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expense reversed as of December 31, 2025).</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F-25</w:t>
      </w:r>
    </w:p>
    <w:p>
      <w:pPr>
        <w:pStyle w:val="TextBody"/>
        <w:bidi w:val="0"/>
        <w:spacing w:lineRule="atLeast" w:line="200" w:before="0" w:after="0"/>
        <w:jc w:val="both"/>
        <w:rPr>
          <w:sz w:val="24"/>
          <w:u w:val="single"/>
        </w:rPr>
      </w:pPr>
      <w:r>
        <w:rPr>
          <w:rFonts w:ascii="Times New Roman;serif" w:hAnsi="Times New Roman;serif"/>
          <w:b w:val="false"/>
          <w:i/>
          <w:strike w:val="false"/>
          <w:dstrike w:val="false"/>
          <w:color w:val="231F20"/>
          <w:sz w:val="20"/>
          <w:u w:val="none"/>
          <w:effect w:val="none"/>
        </w:rPr>
        <w:t>Breakdown of the compensation expenses accounted for the three- and six-month periods ended June 30, 2025 and</w:t>
      </w:r>
      <w:r>
        <w:rPr>
          <w:strike w:val="false"/>
          <w:dstrike w:val="false"/>
          <w:color w:val="231F20"/>
          <w:sz w:val="24"/>
          <w:u w:val="none"/>
          <w:effect w:val="none"/>
        </w:rPr>
        <w:t xml:space="preserve"> </w:t>
      </w:r>
    </w:p>
    <w:p>
      <w:pPr>
        <w:pStyle w:val="TextBody"/>
        <w:bidi w:val="0"/>
        <w:spacing w:lineRule="atLeast" w:line="200" w:before="0" w:after="0"/>
        <w:jc w:val="both"/>
        <w:rPr>
          <w:rFonts w:ascii="Times New Roman;serif" w:hAnsi="Times New Roman;serif"/>
          <w:b w:val="false"/>
          <w:i/>
          <w:strike w:val="false"/>
          <w:dstrike w:val="false"/>
          <w:color w:val="231F20"/>
          <w:sz w:val="20"/>
          <w:u w:val="none"/>
          <w:effect w:val="none"/>
        </w:rPr>
      </w:pPr>
      <w:r>
        <w:rPr>
          <w:rFonts w:ascii="Times New Roman;serif" w:hAnsi="Times New Roman;serif"/>
          <w:b w:val="false"/>
          <w:i/>
          <w:strike w:val="false"/>
          <w:dstrike w:val="false"/>
          <w:color w:val="231F20"/>
          <w:sz w:val="20"/>
          <w:u w:val="none"/>
          <w:effect w:val="none"/>
        </w:rPr>
        <w:t>2026:</w:t>
      </w:r>
    </w:p>
    <w:tbl>
      <w:tblPr>
        <w:tblW w:w="8601" w:type="dxa"/>
        <w:jc w:val="left"/>
        <w:tblInd w:w="0" w:type="dxa"/>
        <w:tblLayout w:type="fixed"/>
        <w:tblCellMar>
          <w:top w:w="28" w:type="dxa"/>
          <w:left w:w="28" w:type="dxa"/>
          <w:bottom w:w="28" w:type="dxa"/>
          <w:right w:w="28" w:type="dxa"/>
        </w:tblCellMar>
      </w:tblPr>
      <w:tblGrid>
        <w:gridCol w:w="2086"/>
        <w:gridCol w:w="109"/>
        <w:gridCol w:w="1516"/>
        <w:gridCol w:w="109"/>
        <w:gridCol w:w="1516"/>
        <w:gridCol w:w="109"/>
        <w:gridCol w:w="1501"/>
        <w:gridCol w:w="109"/>
        <w:gridCol w:w="154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TYPE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2086" w:type="dxa"/>
            <w:tcBorders/>
            <w:shd w:fill="CCEC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BCEs</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16" w:type="dxa"/>
            <w:tcBorders/>
            <w:shd w:fill="CCEC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16" w:type="dxa"/>
            <w:tcBorders/>
            <w:shd w:fill="CCEC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01" w:type="dxa"/>
            <w:tcBorders/>
            <w:shd w:fill="CCEC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46" w:type="dxa"/>
            <w:tcBorders/>
            <w:shd w:fill="CCEC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08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BSAs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(231)</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(380)</w:t>
            </w:r>
          </w:p>
        </w:tc>
      </w:tr>
      <w:tr>
        <w:trPr/>
        <w:tc>
          <w:tcPr>
            <w:tcW w:w="2086" w:type="dxa"/>
            <w:tcBorders/>
            <w:shd w:fill="CCEC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AGAs</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16" w:type="dxa"/>
            <w:tcBorders/>
            <w:shd w:fill="CCEC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(6,261)</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16" w:type="dxa"/>
            <w:tcBorders/>
            <w:shd w:fill="CCEC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(16,569)</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01" w:type="dxa"/>
            <w:tcBorders/>
            <w:shd w:fill="CCEC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(10,884)</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46" w:type="dxa"/>
            <w:tcBorders/>
            <w:shd w:fill="CCEC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(39,030)</w:t>
            </w:r>
          </w:p>
        </w:tc>
      </w:tr>
      <w:tr>
        <w:trPr/>
        <w:tc>
          <w:tcPr>
            <w:tcW w:w="208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Social taxes related to AGAs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(667)</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(15,789)</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(1,350)</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(14,580)</w:t>
            </w:r>
          </w:p>
        </w:tc>
      </w:tr>
      <w:tr>
        <w:trPr/>
        <w:tc>
          <w:tcPr>
            <w:tcW w:w="2086" w:type="dxa"/>
            <w:tcBorders/>
            <w:shd w:fill="CCEC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double" w:sz="8" w:space="0" w:color="000000"/>
            </w:tcBorders>
            <w:shd w:fill="CCEC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(6,998)</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double" w:sz="8" w:space="0" w:color="000000"/>
            </w:tcBorders>
            <w:shd w:fill="CCEC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(32,589)</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CCEC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(12,371)</w:t>
            </w:r>
          </w:p>
        </w:tc>
        <w:tc>
          <w:tcPr>
            <w:tcW w:w="109" w:type="dxa"/>
            <w:tcBorders/>
            <w:shd w:fill="CCEC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double" w:sz="8" w:space="0" w:color="000000"/>
            </w:tcBorders>
            <w:shd w:fill="CCEC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(53,990)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The increase in AGA expenses for the six months ended June 30, 2026 is attributable to the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11,619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expense recognized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relation to the accelerated vesting of certain of the Group's former Chief Scientific Officer's AGA plans (see above) as well as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impact of plans granted in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significant amount of social taxes related to AGAs (and related provisions) for the three- and six-month periods ended June 30,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2026 compared to the corresponding periods in 2025 is predominantly attributable to the increase in the price of the underlying shares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over the three and six-month periods ended June 30,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decrease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social taxes related to AGAs (and related provisions) between March 31, 2026 and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is attributable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unused reversals of provisions amounting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1,736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that occurred during the first quarter of 2026, due to (i) the decrease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price of the underlying shares over that period and, to a lesser extent, (ii) forfeitures following employee departures and changes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estimates regarding the achievement of performance conditions. The amount of unused reversals was partly offset by social charges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recognized in relation to the 77,050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AGAs granted to the Group's former Chief Scientific Officer, for which vesting was effective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March 5, 2026 and amounting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2,256 thousand.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Changes in provisions for social taxes related to AGAs are presented in Note 17.3.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15. Financial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Financial liabilities break down as follows:</w:t>
      </w:r>
    </w:p>
    <w:p>
      <w:pPr>
        <w:pStyle w:val="TextBody"/>
        <w:bidi w:val="0"/>
        <w:spacing w:lineRule="atLeast" w:line="220" w:before="0" w:after="0"/>
        <w:jc w:val="left"/>
        <w:rPr>
          <w:caps w:val="false"/>
          <w:smallCaps w:val="false"/>
          <w:strike w:val="false"/>
          <w:dstrike w:val="false"/>
          <w:u w:val="none"/>
          <w:effect w:val="none"/>
        </w:rPr>
      </w:pPr>
      <w:r>
        <w:rPr>
          <w:caps w:val="false"/>
          <w:smallCaps w:val="false"/>
          <w:strike w:val="false"/>
          <w:dstrike w:val="false"/>
          <w:u w:val="none"/>
          <w:effect w:val="none"/>
        </w:rPr>
        <w:t xml:space="preserve">  </w:t>
      </w:r>
    </w:p>
    <w:tbl>
      <w:tblPr>
        <w:tblW w:w="5981" w:type="dxa"/>
        <w:jc w:val="left"/>
        <w:tblInd w:w="0" w:type="dxa"/>
        <w:tblLayout w:type="fixed"/>
        <w:tblCellMar>
          <w:top w:w="28" w:type="dxa"/>
          <w:left w:w="28" w:type="dxa"/>
          <w:bottom w:w="28" w:type="dxa"/>
          <w:right w:w="28" w:type="dxa"/>
        </w:tblCellMar>
      </w:tblPr>
      <w:tblGrid>
        <w:gridCol w:w="2791"/>
        <w:gridCol w:w="109"/>
        <w:gridCol w:w="1711"/>
        <w:gridCol w:w="109"/>
        <w:gridCol w:w="1261"/>
      </w:tblGrid>
      <w:tr>
        <w:trPr/>
        <w:tc>
          <w:tcPr>
            <w:tcW w:w="2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FINANCIAL LIABILITIES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27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w:t>
            </w:r>
          </w:p>
        </w:tc>
      </w:tr>
      <w:tr>
        <w:trPr/>
        <w:tc>
          <w:tcPr>
            <w:tcW w:w="27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Borrowings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137</w:t>
            </w:r>
          </w:p>
        </w:tc>
      </w:tr>
      <w:tr>
        <w:trPr/>
        <w:tc>
          <w:tcPr>
            <w:tcW w:w="27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Royalty certificates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7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 financial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30,237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7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non-current financial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137</w:t>
            </w:r>
          </w:p>
        </w:tc>
      </w:tr>
      <w:tr>
        <w:trPr/>
        <w:tc>
          <w:tcPr>
            <w:tcW w:w="27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Lease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1,075</w:t>
            </w:r>
          </w:p>
        </w:tc>
      </w:tr>
      <w:tr>
        <w:trPr/>
        <w:tc>
          <w:tcPr>
            <w:tcW w:w="27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Borrowings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1,075</w:t>
            </w:r>
          </w:p>
        </w:tc>
      </w:tr>
      <w:tr>
        <w:trPr/>
        <w:tc>
          <w:tcPr>
            <w:tcW w:w="27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current financial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1,075</w:t>
            </w:r>
          </w:p>
        </w:tc>
      </w:tr>
      <w:tr>
        <w:trPr/>
        <w:tc>
          <w:tcPr>
            <w:tcW w:w="279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financial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32,093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1,212</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Note 15.1. Structured debt financing with Kreos &amp; Claret subscribed in August 2023 – “Kreos / Claret Financing”</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Kreos / Claret Financing consists of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tranches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25,000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each in aggregate principal amount (the convertible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OCABSA and the second and third tranches of non-convertible bonds, respectively the "tranches A, B and C") as well as a Minimal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Return Indemnification ("MRI") to the benefit of the bondholders.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addition to the Kreos / Claret OCABSA, the Group has issued share warrants (the “tranche A-B BSA” and “tranche C BSA”),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giving Kreos and Claret the right to subscribe to up to 214,198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405,832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ordinary shares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OCABSA are compound instruments, split between (i) a debt component (then measured at amortized cost) and (ii) an equity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component corresponding to the conversion option and the attached OCABSA warrants.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OCABSA warrants are considered as an embedded component of the bonds rather than a separate stand-alone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instrument.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Kreos / Claret second and third tranches are hybrid instruments, split between (i) debt host contracts accounted for at amortized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cost and (ii) bifurcated embedded derivatives accounted for at fair value through profit and loss, corresponding to the Minimal Return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Indemnifications and the prepayment options (the fair value of the prepayment options being deemed insignificant at issuance and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subsequent reporting dates).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the A-B and C warrants (the "Kreos / Claret BSA") are contractually transferable separately from the bonds and are redeemable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 variable number of ordinary shares of the Group, they are classified as standalone derivative financial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detailed terms and conditions and the accounting treatment of these instruments are presented in Note 15.1 to the annual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financial statements of the Group as of December 31, 2025 accompanying the Group’s Annual Report.</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Settlement of the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August 8, 2025, Kreos Capital VII (UK) Limited converted the Tranche A portion of the Kreos / Claret Financing (the Kreos /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Claret OCABSA), resulting in the issuance of 785,389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ordinary shares and an increase in equity by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16,058 thousand.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30, 2025, Kreos Capital VII Aggregator SCSp opted for the cashless exercise of its share warrants (the tranche A-B BSA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tranche C BSA), implemented through the repurchase by the Group of 94,117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tranche A-B and C BSA and the issuance of 319,251</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ordinary shares of the Group and an increase in equity by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19,570 thousand.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August 28, 2025, Claret European Growth Capital Fund III SCSp, exercised its share warrants (the tranche A-B BSA and tranche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 BSA) for 206,662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ordinary shares of the Group and an increase in equity by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14,198 thousand.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August 2025, as a result of (i) the repayments of principal and interests made until that date under the Kreos / Claret Financing, (ii)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exercise of the Tranche A-B and C BSA and (iii) the conversion of the Kreos OCABSA, the cash generated thereby met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Minimum Cash Return due to the Kreos / Claret bondholders. Consequently, as no further payment could be due by the Group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relation to the Kreos / Claret Minimal Return Indemnification, the MRI derivatives were derecognized, resulting in a financial income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3,620 thousand.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November 25, 2025, Claret European Growth Capital Fund III SCSp converted its portion of the Tranche A portion of the Kreos /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Claret Financing (the Claret OCABSA), resulting in the issuance of 392,695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ordinary shares of the Group and an increase in equity by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8,296 thousand.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November 28, 2025, the Group notified the bondholders of its intention to prepay in full the outstanding balances of Tranches B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C of the Kreos / Claret Financing. The transaction was completed on December 23, 2025. The total amount paid by the Group 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that date amounted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33,823 thousand, consisting of:</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F-27</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outstanding principal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29,903 thousand, from which the deposit amount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1,081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initially paid by the Group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Kreos and Claret was deducted,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future interests discounted at a discount rate of 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the terms of the prepayment option, amounting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2,001 thousand,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end-of-loan exit fees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3,000 thousand.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Following the aforementioned transactions, the Group no longer holds any debt related to the Kreos Claret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Note 15.2.  Heights convertible notes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Heights convertible notes consists of (i) a host debt instrument and (ii) conversion and settlement options representing embedded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derivatives. The whole instrument is measured at FVTPL at each reporting date.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At inception, the Heights convertible notes' fair value differed from the issuance proceeds by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2,359 thousand.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Since the fair value measurement of the instrument is evidenced by a valuation technique that does not only use data from observable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markets, the carrying amount was adjusted to defer the difference between the fair value measurement and the transaction price, and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day one gain is therefore recognized in financial income on a straight-line basis over the term of the instrument.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July 23 and July 30, 2025, the noteholders requested the conversion of respectively 150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convertible notes (corresponding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to the entirety of the outstanding principal amount of approximately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21.9 million) into 920,377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new ordinary shares of the Group at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conversion price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23.7674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ordinary share (see Note 3.1 "Conversion of the Heights convertible notes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July-August 2025").</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At these dates, the fair value of the converted notes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53,921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reclassified from financial liabilities to equity.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conversion dates, due to the put option being exercised by the holders, the fair values of the Heights notes were deemed equal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market prices of the issued shares.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a result of the derecognition of the Heights notes, the outstanding day-one gain was entirely amortized, resulting in a financial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income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1,262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recognized in July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15.3. State guaranteed loan – “PGE”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fourth quarter of 2025, the Group prepaid in full the outstanding principal amount of the state-guaranteed loan (Prêt garanti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par l'Etat, or "PGE"))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1,264 thousand.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15.4. Lease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The variations in lease liabilities are set forth below:</w:t>
      </w:r>
    </w:p>
    <w:tbl>
      <w:tblPr>
        <w:tblW w:w="3917" w:type="dxa"/>
        <w:jc w:val="left"/>
        <w:tblInd w:w="0" w:type="dxa"/>
        <w:tblLayout w:type="fixed"/>
        <w:tblCellMar>
          <w:top w:w="28" w:type="dxa"/>
          <w:left w:w="28" w:type="dxa"/>
          <w:bottom w:w="28" w:type="dxa"/>
          <w:right w:w="28" w:type="dxa"/>
        </w:tblCellMar>
      </w:tblPr>
      <w:tblGrid>
        <w:gridCol w:w="2356"/>
        <w:gridCol w:w="1561"/>
      </w:tblGrid>
      <w:tr>
        <w:trPr/>
        <w:tc>
          <w:tcPr>
            <w:tcW w:w="23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5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LEASE LIABILITY</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15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2,363</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 Increase </w:t>
            </w:r>
          </w:p>
        </w:tc>
        <w:tc>
          <w:tcPr>
            <w:tcW w:w="1561"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Decrease</w:t>
            </w:r>
          </w:p>
        </w:tc>
        <w:tc>
          <w:tcPr>
            <w:tcW w:w="15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(486)</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5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1,876</w:t>
            </w:r>
          </w:p>
        </w:tc>
      </w:tr>
      <w:tr>
        <w:trPr/>
        <w:tc>
          <w:tcPr>
            <w:tcW w:w="2356" w:type="dxa"/>
            <w:tcBorders/>
            <w:shd w:fill="CCEEFF" w:val="clear"/>
            <w:vAlign w:val="center"/>
          </w:tcPr>
          <w:p>
            <w:pPr>
              <w:pStyle w:val="TableContents"/>
              <w:bidi w:val="0"/>
              <w:spacing w:before="0" w:after="283"/>
              <w:jc w:val="left"/>
              <w:rPr>
                <w:sz w:val="4"/>
                <w:szCs w:val="4"/>
              </w:rPr>
            </w:pPr>
            <w:r>
              <w:rPr>
                <w:sz w:val="4"/>
                <w:szCs w:val="4"/>
              </w:rPr>
            </w:r>
          </w:p>
        </w:tc>
        <w:tc>
          <w:tcPr>
            <w:tcW w:w="1561" w:type="dxa"/>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5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1,856</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 Increase </w:t>
            </w:r>
          </w:p>
        </w:tc>
        <w:tc>
          <w:tcPr>
            <w:tcW w:w="1561"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Decrease</w:t>
            </w:r>
          </w:p>
        </w:tc>
        <w:tc>
          <w:tcPr>
            <w:tcW w:w="15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(644)</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5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1,212</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 liabilities mainly relate to the Group’s headquarters in Paris entered into in May 2024, the Boston office entered into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November 2023 and the Montpellier offices entered into in April 2024 (see Note 8).</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and June 30, 2026, the lease liabilities of the Paris headquarters and Boston offices represented 70%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70%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total lease liability,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Lease expenses related to contracts for which a lease liability and right of use asset is recognized under IFRS 16 were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428 thousand</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601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six-month periods ended June 30, 2025 and 2026, respectively. They were recognized for (i)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362 thousand</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559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Depreciation expenses and (ii)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36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24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Interest expenses, for the six-month periods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ended June 30, 2025 and 2026,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 expenses related to short-term lease contracts and low value assets that are not included in the valuation of the lease liability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amount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175 thousand, 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six-month periods ended June 30, 2025 and 2026,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Note 15.5. Royalty certificates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royalty certificates were measured at amortized cost using the EIR method.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Fair value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of the royalty certificates is based on the net present value of royalties, which depends on assumptions made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Group with regards to the probability of success of its studies (“POS”), the commercialization budget of obefazimod (“peak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penetration”) and the discount rate. As of December 31, 2025, the fair value amounts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102,001 thousand.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Management ensured that the discount rate of 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used is reasonable based on the specific risk profile of the royalties certificates.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using the same assumptions with an increase of +5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points of POS, +5%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peak penetration (best case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scenario) and +1%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WACC would result in a change in the royalty certificates fair value by respectively €+5810</w:t>
      </w:r>
      <w:r>
        <w:rPr>
          <w:caps w:val="false"/>
          <w:smallCaps w:val="false"/>
          <w:strike w:val="false"/>
          <w:dstrike w:val="false"/>
          <w:sz w:val="24"/>
          <w:u w:val="none"/>
          <w:effect w:val="none"/>
        </w:rPr>
        <w:t> </w:t>
      </w:r>
      <w:r>
        <w:rPr>
          <w:rFonts w:ascii="Times New Roman;serif" w:hAnsi="Times New Roman;serif"/>
          <w:b w:val="false"/>
          <w:i w:val="false"/>
          <w:caps w:val="false"/>
          <w:smallCaps w:val="false"/>
          <w:strike w:val="false"/>
          <w:dstrike w:val="false"/>
          <w:sz w:val="20"/>
          <w:u w:val="none"/>
          <w:effect w:val="none"/>
        </w:rPr>
        <w:t>thousand,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+2830</w:t>
      </w:r>
      <w:r>
        <w:rPr>
          <w:caps w:val="false"/>
          <w:smallCaps w:val="false"/>
          <w:strike w:val="false"/>
          <w:dstrike w:val="false"/>
          <w:sz w:val="24"/>
          <w:u w:val="none"/>
          <w:effect w:val="none"/>
        </w:rPr>
        <w:t> </w:t>
      </w:r>
      <w:r>
        <w:rPr>
          <w:rFonts w:ascii="Times New Roman;serif" w:hAnsi="Times New Roman;serif"/>
          <w:b w:val="false"/>
          <w:i w:val="false"/>
          <w:caps w:val="false"/>
          <w:smallCaps w:val="false"/>
          <w:strike w:val="false"/>
          <w:dstrike w:val="false"/>
          <w:sz w:val="20"/>
          <w:u w:val="none"/>
          <w:effect w:val="none"/>
        </w:rPr>
        <w:t xml:space="preserve">thousand 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(4,940) thousand. Using the same assumptions with a decrease of (5)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points of POS, (5)%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peak penetration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(worst case scenario) and (1)%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WACC would result in a change in the royalty certificates fair value by respectively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(5,810) thousand,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(5,590)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+5,251 thousand.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Repurchase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F-29</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The royalty certificates were repurchased by the Group on May 7, 2026 for an aggregate price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76,467 thousand, paid in cash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ADSs, and subsequently cancelled (see Note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3.3). The impact in profit or loss of the repurchase of the royalty certificates on May 7,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2026 resulted in an expense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43,205 thousand, which was recognized in the second quarter of 2026. The amount corresponds to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difference between the certificates' carrying amount on the repurchase date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33,483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the total consideration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transferred, comprising an equity consideration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38,455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a cash consideration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38,233 thousand, based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exchange rates prevailing at the capital increase date and the settlement date (including the €221 thousand effect of a net foreign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exchange loss on the cash settlement). Consequently, the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5,848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deferred tax liability recognized in the Group's statements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financial position as of December 31, 2025 was derecognized, and a corresponding tax income was recognized, for the six-month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period ended June 30, 2026 (see Note 22). Transaction costs amounting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1,002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were accounted for as a deduction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15.6. Change in financial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Changes in financial liabilities, excluding derivative instruments, are presented below as of June 30, 2025 and 2026:</w:t>
      </w:r>
    </w:p>
    <w:tbl>
      <w:tblPr>
        <w:tblW w:w="10205" w:type="dxa"/>
        <w:jc w:val="left"/>
        <w:tblInd w:w="0" w:type="dxa"/>
        <w:tblLayout w:type="fixed"/>
        <w:tblCellMar>
          <w:top w:w="28" w:type="dxa"/>
          <w:left w:w="28" w:type="dxa"/>
          <w:bottom w:w="28" w:type="dxa"/>
          <w:right w:w="28" w:type="dxa"/>
        </w:tblCellMar>
      </w:tblPr>
      <w:tblGrid>
        <w:gridCol w:w="4064"/>
        <w:gridCol w:w="109"/>
        <w:gridCol w:w="903"/>
        <w:gridCol w:w="109"/>
        <w:gridCol w:w="819"/>
        <w:gridCol w:w="109"/>
        <w:gridCol w:w="808"/>
        <w:gridCol w:w="109"/>
        <w:gridCol w:w="625"/>
        <w:gridCol w:w="109"/>
        <w:gridCol w:w="691"/>
        <w:gridCol w:w="109"/>
        <w:gridCol w:w="766"/>
        <w:gridCol w:w="109"/>
        <w:gridCol w:w="766"/>
      </w:tblGrid>
      <w:tr>
        <w:trPr/>
        <w:tc>
          <w:tcPr>
            <w:tcW w:w="4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064" w:type="dxa"/>
            <w:tcBorders/>
            <w:shd w:fill="FFFFFF" w:val="cle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 xml:space="preserve">(Amounts in thousands of euros)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r>
      <w:tr>
        <w:trPr/>
        <w:tc>
          <w:tcPr>
            <w:tcW w:w="4064"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FINANCIAL LIABILITIES (excluding derivatives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instruments)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Kreos/Claret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convertible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notes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(OCABSA)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Kreos &amp;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Claret bond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loans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Heights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convertible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notes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PGE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Lease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Royalty </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certificates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tc>
      </w:tr>
      <w:tr>
        <w:trPr/>
        <w:tc>
          <w:tcPr>
            <w:tcW w:w="4064"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23,370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46,401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21,574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2,488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2,363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109,218</w:t>
            </w:r>
          </w:p>
        </w:tc>
      </w:tr>
      <w:tr>
        <w:trPr/>
        <w:tc>
          <w:tcPr>
            <w:tcW w:w="406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Repayments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(9,140)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(13,032)</w:t>
            </w:r>
          </w:p>
        </w:tc>
      </w:tr>
      <w:tr>
        <w:trPr/>
        <w:tc>
          <w:tcPr>
            <w:tcW w:w="406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paid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(3,868)</w:t>
            </w:r>
          </w:p>
        </w:tc>
      </w:tr>
      <w:tr>
        <w:trPr/>
        <w:tc>
          <w:tcPr>
            <w:tcW w:w="406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Non-cash changes: (gain)/loss on recognition or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derecognition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(295)</w:t>
            </w:r>
          </w:p>
        </w:tc>
      </w:tr>
      <w:tr>
        <w:trPr/>
        <w:tc>
          <w:tcPr>
            <w:tcW w:w="406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Non-cash changes: interest expense and 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8,056</w:t>
            </w:r>
          </w:p>
        </w:tc>
      </w:tr>
      <w:tr>
        <w:trPr/>
        <w:tc>
          <w:tcPr>
            <w:tcW w:w="406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Non-cash changes: other fair value remeasurement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(1,339)</w:t>
            </w:r>
          </w:p>
        </w:tc>
      </w:tr>
      <w:tr>
        <w:trPr/>
        <w:tc>
          <w:tcPr>
            <w:tcW w:w="406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Non cash changes : Effect of the change in foreign currency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exchange rates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9"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5"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w:t>
            </w:r>
          </w:p>
        </w:tc>
        <w:tc>
          <w:tcPr>
            <w:tcW w:w="109"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(32)</w:t>
            </w:r>
          </w:p>
        </w:tc>
      </w:tr>
      <w:tr>
        <w:trPr/>
        <w:tc>
          <w:tcPr>
            <w:tcW w:w="4064"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24,293</w:t>
            </w:r>
          </w:p>
        </w:tc>
        <w:tc>
          <w:tcPr>
            <w:tcW w:w="109"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9"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39,423</w:t>
            </w:r>
          </w:p>
        </w:tc>
        <w:tc>
          <w:tcPr>
            <w:tcW w:w="109"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17,743</w:t>
            </w:r>
          </w:p>
        </w:tc>
        <w:tc>
          <w:tcPr>
            <w:tcW w:w="109"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1,238</w:t>
            </w:r>
          </w:p>
        </w:tc>
        <w:tc>
          <w:tcPr>
            <w:tcW w:w="109"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1,876</w:t>
            </w:r>
          </w:p>
        </w:tc>
        <w:tc>
          <w:tcPr>
            <w:tcW w:w="109"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14,135</w:t>
            </w:r>
          </w:p>
        </w:tc>
        <w:tc>
          <w:tcPr>
            <w:tcW w:w="109"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98,709</w:t>
            </w:r>
          </w:p>
        </w:tc>
      </w:tr>
      <w:tr>
        <w:trPr/>
        <w:tc>
          <w:tcPr>
            <w:tcW w:w="4064"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19"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1,856</w:t>
            </w:r>
          </w:p>
        </w:tc>
        <w:tc>
          <w:tcPr>
            <w:tcW w:w="109"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30,237</w:t>
            </w:r>
          </w:p>
        </w:tc>
        <w:tc>
          <w:tcPr>
            <w:tcW w:w="109"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32,093</w:t>
            </w:r>
          </w:p>
        </w:tc>
      </w:tr>
      <w:tr>
        <w:trPr/>
        <w:tc>
          <w:tcPr>
            <w:tcW w:w="406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Repayments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(648)</w:t>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(648)</w:t>
            </w:r>
          </w:p>
        </w:tc>
      </w:tr>
      <w:tr>
        <w:trPr/>
        <w:tc>
          <w:tcPr>
            <w:tcW w:w="406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paid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(24)</w:t>
            </w:r>
          </w:p>
        </w:tc>
      </w:tr>
      <w:tr>
        <w:trPr/>
        <w:tc>
          <w:tcPr>
            <w:tcW w:w="406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 settled in cash</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(38,233)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(38,233)</w:t>
            </w:r>
          </w:p>
        </w:tc>
      </w:tr>
      <w:tr>
        <w:trPr/>
        <w:tc>
          <w:tcPr>
            <w:tcW w:w="406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 cash changes: repurchase settled in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(38,455)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(38,455)</w:t>
            </w:r>
          </w:p>
        </w:tc>
      </w:tr>
      <w:tr>
        <w:trPr/>
        <w:tc>
          <w:tcPr>
            <w:tcW w:w="406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Non-cash changes: (gain)/loss on recognition or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derecognition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43,205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43,205</w:t>
            </w:r>
          </w:p>
        </w:tc>
      </w:tr>
      <w:tr>
        <w:trPr/>
        <w:tc>
          <w:tcPr>
            <w:tcW w:w="406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Non-cash changes: interest expense and 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3,270</w:t>
            </w:r>
          </w:p>
        </w:tc>
      </w:tr>
      <w:tr>
        <w:trPr/>
        <w:tc>
          <w:tcPr>
            <w:tcW w:w="406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Non cash changes : Effect of the change in foreign currency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exchange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doub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w:t>
            </w:r>
          </w:p>
        </w:tc>
      </w:tr>
      <w:tr>
        <w:trPr/>
        <w:tc>
          <w:tcPr>
            <w:tcW w:w="4064"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9"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1,212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15.7. Change in derivative instruments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Changes in derivative instruments are presented below: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F-30</w:t>
      </w:r>
    </w:p>
    <w:tbl>
      <w:tblPr>
        <w:tblW w:w="5986" w:type="dxa"/>
        <w:jc w:val="left"/>
        <w:tblInd w:w="0" w:type="dxa"/>
        <w:tblLayout w:type="fixed"/>
        <w:tblCellMar>
          <w:top w:w="28" w:type="dxa"/>
          <w:left w:w="28" w:type="dxa"/>
          <w:bottom w:w="28" w:type="dxa"/>
          <w:right w:w="28" w:type="dxa"/>
        </w:tblCellMar>
      </w:tblPr>
      <w:tblGrid>
        <w:gridCol w:w="2356"/>
        <w:gridCol w:w="109"/>
        <w:gridCol w:w="1411"/>
        <w:gridCol w:w="109"/>
        <w:gridCol w:w="1306"/>
        <w:gridCol w:w="109"/>
        <w:gridCol w:w="586"/>
      </w:tblGrid>
      <w:tr>
        <w:trPr/>
        <w:tc>
          <w:tcPr>
            <w:tcW w:w="2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vMerge w:val="restart"/>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Kreos/Claret BSA</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vMerge w:val="restart"/>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Kreos/Claret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Minimal Return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Indemnifications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restart"/>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tc>
      </w:tr>
      <w:tr>
        <w:trPr/>
        <w:tc>
          <w:tcPr>
            <w:tcW w:w="23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DERIVATIVE FINANCIAL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INSTRUMENTS</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vMerge w:val="continue"/>
            <w:tcBorders/>
            <w:vAlign w:val="center"/>
          </w:tcPr>
          <w:p>
            <w:pPr>
              <w:pStyle w:val="Normal"/>
              <w:bidi w:val="0"/>
              <w:jc w:val="left"/>
              <w:rPr/>
            </w:pPr>
            <w:r>
              <w:rPr/>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3,620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4,786</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Increase in 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482</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Decrease in fair value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(72)</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3,639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5,196</w:t>
            </w:r>
          </w:p>
        </w:tc>
      </w:tr>
      <w:tr>
        <w:trPr/>
        <w:tc>
          <w:tcPr>
            <w:tcW w:w="23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Details related to these instruments' accounting treatments and terms and conditions are set forth in Notes 15.1 and 15.2 of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statements, as well as in Notes 15.1 and 15.2 to the annual consolidated financial statements of the Group as of December 31,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2025 accompanying the Group’s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15.8. Breakdown of financial liabilities by maturity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are the remaining contractual maturities of financial liabilities as of December 31, 2025 and June 30, 2026.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amounts are gross and undiscounted, and include contractual interest payments. </w:t>
      </w:r>
    </w:p>
    <w:tbl>
      <w:tblPr>
        <w:tblW w:w="10107" w:type="dxa"/>
        <w:jc w:val="left"/>
        <w:tblInd w:w="0" w:type="dxa"/>
        <w:tblLayout w:type="fixed"/>
        <w:tblCellMar>
          <w:top w:w="28" w:type="dxa"/>
          <w:left w:w="28" w:type="dxa"/>
          <w:bottom w:w="28" w:type="dxa"/>
          <w:right w:w="28" w:type="dxa"/>
        </w:tblCellMar>
      </w:tblPr>
      <w:tblGrid>
        <w:gridCol w:w="2671"/>
        <w:gridCol w:w="901"/>
        <w:gridCol w:w="109"/>
        <w:gridCol w:w="1441"/>
        <w:gridCol w:w="109"/>
        <w:gridCol w:w="1201"/>
        <w:gridCol w:w="109"/>
        <w:gridCol w:w="1216"/>
        <w:gridCol w:w="109"/>
        <w:gridCol w:w="1216"/>
        <w:gridCol w:w="109"/>
        <w:gridCol w:w="916"/>
      </w:tblGrid>
      <w:tr>
        <w:trPr/>
        <w:tc>
          <w:tcPr>
            <w:tcW w:w="26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7436" w:type="dxa"/>
            <w:gridSpan w:val="11"/>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r>
      <w:tr>
        <w:trPr/>
        <w:tc>
          <w:tcPr>
            <w:tcW w:w="267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CURRENT AND NON-CURRENT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FINANCIAL LIABILITIES</w:t>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GROSS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AMOUNT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CONTRACTUAL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LESS THAN 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FROM 1 TO 2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FROM 2 TO 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LONGER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THAN 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YEARS </w:t>
            </w:r>
          </w:p>
        </w:tc>
      </w:tr>
      <w:tr>
        <w:trPr/>
        <w:tc>
          <w:tcPr>
            <w:tcW w:w="26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Royalty certificates (1)</w:t>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6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Lease liabilities</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67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financial liabilities </w:t>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32,093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1,906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1,340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tbl>
      <w:tblPr>
        <w:tblW w:w="10107" w:type="dxa"/>
        <w:jc w:val="left"/>
        <w:tblInd w:w="0" w:type="dxa"/>
        <w:tblLayout w:type="fixed"/>
        <w:tblCellMar>
          <w:top w:w="28" w:type="dxa"/>
          <w:left w:w="28" w:type="dxa"/>
          <w:bottom w:w="28" w:type="dxa"/>
          <w:right w:w="28" w:type="dxa"/>
        </w:tblCellMar>
      </w:tblPr>
      <w:tblGrid>
        <w:gridCol w:w="2671"/>
        <w:gridCol w:w="901"/>
        <w:gridCol w:w="109"/>
        <w:gridCol w:w="1441"/>
        <w:gridCol w:w="109"/>
        <w:gridCol w:w="1201"/>
        <w:gridCol w:w="109"/>
        <w:gridCol w:w="1216"/>
        <w:gridCol w:w="109"/>
        <w:gridCol w:w="1216"/>
        <w:gridCol w:w="109"/>
        <w:gridCol w:w="916"/>
      </w:tblGrid>
      <w:tr>
        <w:trPr/>
        <w:tc>
          <w:tcPr>
            <w:tcW w:w="26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7436" w:type="dxa"/>
            <w:gridSpan w:val="11"/>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267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CURRENT AND NON-CURRENT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FINANCIAL LIABILITIES</w:t>
            </w:r>
          </w:p>
        </w:tc>
        <w:tc>
          <w:tcPr>
            <w:tcW w:w="90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GROSS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AMOUNT </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CONTRACTUAL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LESS THAN 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FROM 1 TO 2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YEARS</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FROM 2 TO 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YEARS</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LONGER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THAN 5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YEARS </w:t>
            </w:r>
          </w:p>
        </w:tc>
      </w:tr>
      <w:tr>
        <w:trPr/>
        <w:tc>
          <w:tcPr>
            <w:tcW w:w="26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Lease liabilities</w:t>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67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financial liabilities </w:t>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 The contractual cash flows as of December 31, 2025 above did not include potential future royalty payments related to the royalty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certificates, amounting to 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future net sales of obefazimod (worldwide and for all indications). The amount of royalties that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may be paid under the royalty certificates were capped at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172.1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aggregate. The royalty certificates were repurchased by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Group on May 7, 2026 and subsequently cancelled (see Note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3.3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15.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16. Retirement benefit obligations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 xml:space="preserve">Retirement benefit obligations include the liability for the defined benefit plan, measured based on the provisions stipulated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 xml:space="preserve">under the applicable collective agreements, i.e. the French pharmaceutical industry’s collective agreement. This commitment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color w:val="231F20"/>
          <w:sz w:val="20"/>
          <w:u w:val="none"/>
          <w:effect w:val="none"/>
        </w:rPr>
        <w:t xml:space="preserve">only applies to employees subject to French law. </w:t>
      </w:r>
      <w:r>
        <w:rPr>
          <w:rFonts w:ascii="Times New Roman;serif" w:hAnsi="Times New Roman;serif"/>
          <w:b w:val="false"/>
          <w:i w:val="false"/>
          <w:caps w:val="false"/>
          <w:smallCaps w:val="false"/>
          <w:strike w:val="false"/>
          <w:dstrike w:val="false"/>
          <w:sz w:val="20"/>
          <w:u w:val="none"/>
          <w:effect w:val="none"/>
        </w:rPr>
        <w:t>Employees in the U.S. benefit from defined contribution plans (401(k)).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color w:val="231F20"/>
          <w:sz w:val="20"/>
          <w:u w:val="none"/>
          <w:effect w:val="none"/>
        </w:rPr>
      </w:pPr>
      <w:r>
        <w:rPr>
          <w:rFonts w:ascii="Times New Roman;serif" w:hAnsi="Times New Roman;serif"/>
          <w:b/>
          <w:i w:val="false"/>
          <w:caps w:val="false"/>
          <w:smallCaps w:val="false"/>
          <w:strike w:val="false"/>
          <w:dstrike w:val="false"/>
          <w:color w:val="231F20"/>
          <w:sz w:val="20"/>
          <w:u w:val="none"/>
          <w:effect w:val="none"/>
        </w:rPr>
        <w:t>Note 17. Payables, other current liabilities and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17.1. Trade payables and other current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Trade payables and other current liabilities break down as follows:</w:t>
      </w:r>
    </w:p>
    <w:tbl>
      <w:tblPr>
        <w:tblW w:w="7958" w:type="dxa"/>
        <w:jc w:val="left"/>
        <w:tblInd w:w="0" w:type="dxa"/>
        <w:tblLayout w:type="fixed"/>
        <w:tblCellMar>
          <w:top w:w="28" w:type="dxa"/>
          <w:left w:w="28" w:type="dxa"/>
          <w:bottom w:w="28" w:type="dxa"/>
          <w:right w:w="28" w:type="dxa"/>
        </w:tblCellMar>
      </w:tblPr>
      <w:tblGrid>
        <w:gridCol w:w="4531"/>
        <w:gridCol w:w="109"/>
        <w:gridCol w:w="1711"/>
        <w:gridCol w:w="346"/>
        <w:gridCol w:w="1261"/>
      </w:tblGrid>
      <w:tr>
        <w:trPr/>
        <w:tc>
          <w:tcPr>
            <w:tcW w:w="4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TRADE PAYABLES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45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Trade payables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23,388</w:t>
            </w:r>
          </w:p>
        </w:tc>
        <w:tc>
          <w:tcPr>
            <w:tcW w:w="34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18,263</w:t>
            </w:r>
          </w:p>
        </w:tc>
      </w:tr>
      <w:tr>
        <w:trPr/>
        <w:tc>
          <w:tcPr>
            <w:tcW w:w="45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Accrued invoices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14,159</w:t>
            </w:r>
          </w:p>
        </w:tc>
        <w:tc>
          <w:tcPr>
            <w:tcW w:w="34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20,747</w:t>
            </w:r>
          </w:p>
        </w:tc>
      </w:tr>
      <w:tr>
        <w:trPr/>
        <w:tc>
          <w:tcPr>
            <w:tcW w:w="45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w:t>
            </w:r>
          </w:p>
        </w:tc>
        <w:tc>
          <w:tcPr>
            <w:tcW w:w="34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53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Trade payables and other 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37,552</w:t>
            </w:r>
          </w:p>
        </w:tc>
        <w:tc>
          <w:tcPr>
            <w:tcW w:w="34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39,010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17.2. Tax and employee-related payables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Tax and employee-related payables are presented below:</w:t>
      </w:r>
    </w:p>
    <w:tbl>
      <w:tblPr>
        <w:tblW w:w="6682" w:type="dxa"/>
        <w:jc w:val="left"/>
        <w:tblInd w:w="0" w:type="dxa"/>
        <w:tblLayout w:type="fixed"/>
        <w:tblCellMar>
          <w:top w:w="28" w:type="dxa"/>
          <w:left w:w="28" w:type="dxa"/>
          <w:bottom w:w="28" w:type="dxa"/>
          <w:right w:w="28" w:type="dxa"/>
        </w:tblCellMar>
      </w:tblPr>
      <w:tblGrid>
        <w:gridCol w:w="3601"/>
        <w:gridCol w:w="1711"/>
        <w:gridCol w:w="109"/>
        <w:gridCol w:w="1261"/>
      </w:tblGrid>
      <w:tr>
        <w:trPr/>
        <w:tc>
          <w:tcPr>
            <w:tcW w:w="360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r>
      <w:tr>
        <w:trPr/>
        <w:tc>
          <w:tcPr>
            <w:tcW w:w="360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TAX AND EMPLOYEE-RELATED PAYABLES</w:t>
            </w:r>
          </w:p>
        </w:tc>
        <w:tc>
          <w:tcPr>
            <w:tcW w:w="171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36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Employee-related payables</w:t>
            </w:r>
          </w:p>
        </w:tc>
        <w:tc>
          <w:tcPr>
            <w:tcW w:w="17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2,838</w:t>
            </w:r>
          </w:p>
        </w:tc>
      </w:tr>
      <w:tr>
        <w:trPr/>
        <w:tc>
          <w:tcPr>
            <w:tcW w:w="36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Social security and other</w:t>
            </w:r>
          </w:p>
        </w:tc>
        <w:tc>
          <w:tcPr>
            <w:tcW w:w="17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4,674</w:t>
            </w:r>
          </w:p>
        </w:tc>
      </w:tr>
      <w:tr>
        <w:trPr/>
        <w:tc>
          <w:tcPr>
            <w:tcW w:w="36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tax and related payments</w:t>
            </w:r>
          </w:p>
        </w:tc>
        <w:tc>
          <w:tcPr>
            <w:tcW w:w="17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177</w:t>
            </w:r>
          </w:p>
        </w:tc>
      </w:tr>
      <w:tr>
        <w:trPr/>
        <w:tc>
          <w:tcPr>
            <w:tcW w:w="360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TAX AND EMPLOYEE-RELATED PAYABLES</w:t>
            </w:r>
          </w:p>
        </w:tc>
        <w:tc>
          <w:tcPr>
            <w:tcW w:w="17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7,137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7,689</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decrease in employee-related payables as of June 30, 2026 compared to December 31, 2025 is mainly related to year-end bonus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accruals.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increase in Social security and other payables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compared to December 31, 2025 is mainly related to social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contributions on vested AGAs that have become due, which are calculated using the vesting-date share price (see Note 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17.3 Provisions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Provisions are presented below:</w:t>
      </w:r>
    </w:p>
    <w:tbl>
      <w:tblPr>
        <w:tblW w:w="5809" w:type="dxa"/>
        <w:jc w:val="left"/>
        <w:tblInd w:w="0" w:type="dxa"/>
        <w:tblLayout w:type="fixed"/>
        <w:tblCellMar>
          <w:top w:w="28" w:type="dxa"/>
          <w:left w:w="28" w:type="dxa"/>
          <w:bottom w:w="28" w:type="dxa"/>
          <w:right w:w="28" w:type="dxa"/>
        </w:tblCellMar>
      </w:tblPr>
      <w:tblGrid>
        <w:gridCol w:w="2356"/>
        <w:gridCol w:w="1546"/>
        <w:gridCol w:w="1141"/>
        <w:gridCol w:w="766"/>
      </w:tblGrid>
      <w:tr>
        <w:trPr/>
        <w:tc>
          <w:tcPr>
            <w:tcW w:w="23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r>
      <w:tr>
        <w:trPr/>
        <w:tc>
          <w:tcPr>
            <w:tcW w:w="23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PROVISIONS</w:t>
            </w:r>
          </w:p>
        </w:tc>
        <w:tc>
          <w:tcPr>
            <w:tcW w:w="15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AGA EMPLOYER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CONTRIBUTIONS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AND TAXES</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PROVISIONS</w:t>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2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54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45,185</w:t>
            </w:r>
          </w:p>
        </w:tc>
        <w:tc>
          <w:tcPr>
            <w:tcW w:w="114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694</w:t>
            </w:r>
          </w:p>
        </w:tc>
        <w:tc>
          <w:tcPr>
            <w:tcW w:w="76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45,879</w:t>
            </w:r>
          </w:p>
        </w:tc>
      </w:tr>
      <w:tr>
        <w:trPr/>
        <w:tc>
          <w:tcPr>
            <w:tcW w:w="23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Increases</w:t>
            </w:r>
          </w:p>
        </w:tc>
        <w:tc>
          <w:tcPr>
            <w:tcW w:w="154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14,202</w:t>
            </w:r>
          </w:p>
        </w:tc>
        <w:tc>
          <w:tcPr>
            <w:tcW w:w="114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w:t>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14,237</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Provisions used</w:t>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(10,431)</w:t>
            </w:r>
          </w:p>
        </w:tc>
        <w:tc>
          <w:tcPr>
            <w:tcW w:w="11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(563)</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(10,994)</w:t>
            </w:r>
          </w:p>
        </w:tc>
      </w:tr>
      <w:tr>
        <w:trPr/>
        <w:tc>
          <w:tcPr>
            <w:tcW w:w="23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Unused reversals</w:t>
            </w:r>
          </w:p>
        </w:tc>
        <w:tc>
          <w:tcPr>
            <w:tcW w:w="15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(1,736)</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w:t>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(1,787)</w:t>
            </w:r>
          </w:p>
        </w:tc>
      </w:tr>
      <w:tr>
        <w:trPr/>
        <w:tc>
          <w:tcPr>
            <w:tcW w:w="2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54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47,220</w:t>
            </w:r>
          </w:p>
        </w:tc>
        <w:tc>
          <w:tcPr>
            <w:tcW w:w="114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115</w:t>
            </w:r>
          </w:p>
        </w:tc>
        <w:tc>
          <w:tcPr>
            <w:tcW w:w="76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47,336</w:t>
            </w:r>
          </w:p>
        </w:tc>
      </w:tr>
      <w:tr>
        <w:trPr/>
        <w:tc>
          <w:tcPr>
            <w:tcW w:w="23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Non-current</w:t>
            </w:r>
          </w:p>
        </w:tc>
        <w:tc>
          <w:tcPr>
            <w:tcW w:w="154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23,402</w:t>
            </w:r>
          </w:p>
        </w:tc>
        <w:tc>
          <w:tcPr>
            <w:tcW w:w="114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23,422</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Current</w:t>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23,819</w:t>
            </w:r>
          </w:p>
        </w:tc>
        <w:tc>
          <w:tcPr>
            <w:tcW w:w="11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96</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23,914</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F-32</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Group's provisions as of June 30, 2026 primarily consist of AGA employer contributions and taxes. Movements during the 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were as follows: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increase in provisions mainly results from the accrual of obligations arising from share-based compensation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arrangements;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The provisions used correspond to social contributions on vested AGAs that have become due;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The unused reversals are related 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forfeitures following employee departures and changes in estimates regarding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achievement of performance conditions. The amount is presented net of the accrual of obligations arising from services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rendered during the period under the relevant AGA plans. Other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provisions primarily relate to employment-related claims.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change in the current and non-current portions of the provisions for AGA employer contributions and taxes is explained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timing of the AGA grants and vesting dates, on which the taxes become due. The increase in the current portion of these provisions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June 30, 2026 compared to December 31, 2025 is primarily explained by the vesting of the first tranche of the AGA plan 2025-1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which 4,319,500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were granted in the aggregate) in the first quarter of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18. Operating income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Operating income is composed as below:</w:t>
      </w:r>
    </w:p>
    <w:tbl>
      <w:tblPr>
        <w:tblW w:w="8871" w:type="dxa"/>
        <w:jc w:val="left"/>
        <w:tblInd w:w="0" w:type="dxa"/>
        <w:tblLayout w:type="fixed"/>
        <w:tblCellMar>
          <w:top w:w="28" w:type="dxa"/>
          <w:left w:w="28" w:type="dxa"/>
          <w:bottom w:w="28" w:type="dxa"/>
          <w:right w:w="28" w:type="dxa"/>
        </w:tblCellMar>
      </w:tblPr>
      <w:tblGrid>
        <w:gridCol w:w="2356"/>
        <w:gridCol w:w="109"/>
        <w:gridCol w:w="1516"/>
        <w:gridCol w:w="109"/>
        <w:gridCol w:w="1516"/>
        <w:gridCol w:w="109"/>
        <w:gridCol w:w="1501"/>
        <w:gridCol w:w="109"/>
        <w:gridCol w:w="1546"/>
      </w:tblGrid>
      <w:tr>
        <w:trPr/>
        <w:tc>
          <w:tcPr>
            <w:tcW w:w="2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Research tax credit ("CIR")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2,115</w:t>
            </w:r>
          </w:p>
        </w:tc>
      </w:tr>
      <w:tr>
        <w:trPr/>
        <w:tc>
          <w:tcPr>
            <w:tcW w:w="23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Depositary service fees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430</w:t>
            </w:r>
          </w:p>
        </w:tc>
      </w:tr>
      <w:tr>
        <w:trPr/>
        <w:tc>
          <w:tcPr>
            <w:tcW w:w="23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operating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2,545</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Research tax credit (“CIR”)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carries out research and development projects. As such, it has benefited from a research tax credit for the six-month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periods ended June 30, 2025 and 2026 for an amount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2,017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2,115 thousand, respectively.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Depositary services fees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This line item includes issuance, cancellation and depositary service fees collected from ADS holders by Citibank, who is acting as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Group's exclusive depositary for its publicly listed ADSs. As part of the depositary agreement between Citibank and the Group,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latter is entitled to receive a portion of the aforementioned fees collected by Citibank.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19. Operating expenses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19.1. Sales and marketing</w:t>
      </w:r>
    </w:p>
    <w:tbl>
      <w:tblPr>
        <w:tblW w:w="9096" w:type="dxa"/>
        <w:jc w:val="left"/>
        <w:tblInd w:w="0" w:type="dxa"/>
        <w:tblLayout w:type="fixed"/>
        <w:tblCellMar>
          <w:top w:w="28" w:type="dxa"/>
          <w:left w:w="28" w:type="dxa"/>
          <w:bottom w:w="28" w:type="dxa"/>
          <w:right w:w="28" w:type="dxa"/>
        </w:tblCellMar>
      </w:tblPr>
      <w:tblGrid>
        <w:gridCol w:w="2581"/>
        <w:gridCol w:w="109"/>
        <w:gridCol w:w="1516"/>
        <w:gridCol w:w="109"/>
        <w:gridCol w:w="1516"/>
        <w:gridCol w:w="109"/>
        <w:gridCol w:w="1501"/>
        <w:gridCol w:w="109"/>
        <w:gridCol w:w="1546"/>
      </w:tblGrid>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SALES AND MARKETING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25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Personnel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2,975</w:t>
            </w:r>
          </w:p>
        </w:tc>
      </w:tr>
      <w:tr>
        <w:trPr/>
        <w:tc>
          <w:tcPr>
            <w:tcW w:w="25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Consulting and professional fees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1,480</w:t>
            </w:r>
          </w:p>
        </w:tc>
      </w:tr>
      <w:tr>
        <w:trPr/>
        <w:tc>
          <w:tcPr>
            <w:tcW w:w="25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sales and marketing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178</w:t>
            </w:r>
          </w:p>
        </w:tc>
      </w:tr>
      <w:tr>
        <w:trPr/>
        <w:tc>
          <w:tcPr>
            <w:tcW w:w="258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Sales &amp; Marketing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2,885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4,633</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increase in sales and marketing personnel costs for the six-month period ended June 30, 2026 compared to June 30, 2025 was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predominantly driven by the increase in the Group's costs (including personnel costs) related to the preparation for potential future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sales and commercialization efforts of obefazimod in the U.S.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Similar factors have driven the increases for the three-month period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ended June 30, 2026 compared to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19.2. Research and development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Research and development expenses break down as follows: </w:t>
      </w:r>
    </w:p>
    <w:tbl>
      <w:tblPr>
        <w:tblW w:w="9546" w:type="dxa"/>
        <w:jc w:val="left"/>
        <w:tblInd w:w="0" w:type="dxa"/>
        <w:tblLayout w:type="fixed"/>
        <w:tblCellMar>
          <w:top w:w="28" w:type="dxa"/>
          <w:left w:w="28" w:type="dxa"/>
          <w:bottom w:w="28" w:type="dxa"/>
          <w:right w:w="28" w:type="dxa"/>
        </w:tblCellMar>
      </w:tblPr>
      <w:tblGrid>
        <w:gridCol w:w="3031"/>
        <w:gridCol w:w="109"/>
        <w:gridCol w:w="1516"/>
        <w:gridCol w:w="109"/>
        <w:gridCol w:w="1516"/>
        <w:gridCol w:w="109"/>
        <w:gridCol w:w="1501"/>
        <w:gridCol w:w="109"/>
        <w:gridCol w:w="1546"/>
      </w:tblGrid>
      <w:tr>
        <w:trPr/>
        <w:tc>
          <w:tcPr>
            <w:tcW w:w="3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RESEARCH AND DEVELOPMENT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30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Sub-contracting, studies and research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30,139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31,481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59,292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51,276</w:t>
            </w:r>
          </w:p>
        </w:tc>
      </w:tr>
      <w:tr>
        <w:trPr/>
        <w:tc>
          <w:tcPr>
            <w:tcW w:w="30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Personnel costs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19,679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11,309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44,074</w:t>
            </w:r>
          </w:p>
        </w:tc>
      </w:tr>
      <w:tr>
        <w:trPr/>
        <w:tc>
          <w:tcPr>
            <w:tcW w:w="30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Consulting and professional fees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9,604</w:t>
            </w:r>
          </w:p>
        </w:tc>
      </w:tr>
      <w:tr>
        <w:trPr/>
        <w:tc>
          <w:tcPr>
            <w:tcW w:w="30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Intellectual property fees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874</w:t>
            </w:r>
          </w:p>
        </w:tc>
      </w:tr>
      <w:tr>
        <w:trPr/>
        <w:tc>
          <w:tcPr>
            <w:tcW w:w="30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research and development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2,049</w:t>
            </w:r>
          </w:p>
        </w:tc>
      </w:tr>
      <w:tr>
        <w:trPr/>
        <w:tc>
          <w:tcPr>
            <w:tcW w:w="303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Research and development expenses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38,645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58,335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77,946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107,878</w:t>
            </w:r>
          </w:p>
        </w:tc>
      </w:tr>
    </w:tbl>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increase in research and development expenses for the six-month period ended June 30, 2026 compared to June 30, 2025 was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primarily due to increasing personnel costs, mainly due to expense recognized in relation to the accelerated vesting of certain of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Group's former Chief Scientific Officer's AGAs in March 2026 (see Note 14) as well as the impact of share-based compensation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awards granted in 2025 and the related tax and social contributions. This increase was partly offset by a decrease in sub-contracting,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studies and research expenses related to the Group's UC program, attributable to decreased activity in the ABTECT clinical program</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a result of reaching major milestones in the Phase 3 clinical trials in 2025.</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 increase in research and development expenses for the three-month period ended June 30, 2026 compared to June 30, 2025 was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primarily due to increasing personnel costs, as a result of the same factors described above.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Times New Roman;serif" w:hAnsi="Times New Roman;serif"/>
          <w:b/>
          <w:i w:val="false"/>
          <w:caps w:val="false"/>
          <w:smallCaps w:val="false"/>
          <w:strike w:val="false"/>
          <w:dstrike w:val="false"/>
          <w:sz w:val="20"/>
          <w:u w:val="none"/>
          <w:effect w:val="none"/>
        </w:rPr>
        <w:t>Note 19.3. General and administrative</w:t>
      </w:r>
      <w:r>
        <w:rPr>
          <w:caps w:val="false"/>
          <w:smallCaps w:val="false"/>
          <w:strike w:val="false"/>
          <w:dstrike w:val="false"/>
          <w:sz w:val="24"/>
          <w:u w:val="none"/>
          <w:effect w:val="none"/>
        </w:rPr>
        <w:t xml:space="preserve">  </w:t>
      </w:r>
    </w:p>
    <w:tbl>
      <w:tblPr>
        <w:tblW w:w="9606" w:type="dxa"/>
        <w:jc w:val="left"/>
        <w:tblInd w:w="0" w:type="dxa"/>
        <w:tblLayout w:type="fixed"/>
        <w:tblCellMar>
          <w:top w:w="28" w:type="dxa"/>
          <w:left w:w="28" w:type="dxa"/>
          <w:bottom w:w="28" w:type="dxa"/>
          <w:right w:w="28" w:type="dxa"/>
        </w:tblCellMar>
      </w:tblPr>
      <w:tblGrid>
        <w:gridCol w:w="3091"/>
        <w:gridCol w:w="109"/>
        <w:gridCol w:w="1516"/>
        <w:gridCol w:w="109"/>
        <w:gridCol w:w="1516"/>
        <w:gridCol w:w="109"/>
        <w:gridCol w:w="1501"/>
        <w:gridCol w:w="109"/>
        <w:gridCol w:w="1546"/>
      </w:tblGrid>
      <w:tr>
        <w:trPr/>
        <w:tc>
          <w:tcPr>
            <w:tcW w:w="3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GENERAL AND ADMINISTRATIVE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30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Personnel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10,547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19,101</w:t>
            </w:r>
          </w:p>
        </w:tc>
      </w:tr>
      <w:tr>
        <w:trPr/>
        <w:tc>
          <w:tcPr>
            <w:tcW w:w="30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Consulting and professional fees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8,173</w:t>
            </w:r>
          </w:p>
        </w:tc>
      </w:tr>
      <w:tr>
        <w:trPr/>
        <w:tc>
          <w:tcPr>
            <w:tcW w:w="30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Other general and administrative expenses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3,101</w:t>
            </w:r>
          </w:p>
        </w:tc>
      </w:tr>
      <w:tr>
        <w:trPr/>
        <w:tc>
          <w:tcPr>
            <w:tcW w:w="30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General and administrative expenses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8,270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24,092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16,303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30,376</w:t>
            </w:r>
          </w:p>
        </w:tc>
      </w:tr>
    </w:tbl>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 increase in general and administrative expenses for the six-month period ended June 30, 2026 compared to June 30, 2025 was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primarily due to an increase in personnel costs, mainly explained by to the impact of share-based compensation plans granted in 2025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and the related tax and social contributions (see Note 14), as well as an increase in consulting and professional fees, driven by</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increased costs associated with building the Group's infrastructure to support future growth in its operations and other general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administrative expenses.</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Similar factors have driven the increase for the three-month periods ended June 30, 2026 compared to June 30, 2025.</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 lesser amount of personnel costs over the three-month period ended March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31, 2026 compared to the three-month period ended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primarily due to a decrease in AGAs employer tax and social contributions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(3,476) thousand, resulting</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primarily from (i) the decrease in the Group's share price during the first quarter of 2026 and, to a lesser extent, (ii) forfeitures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following employee departures and changes in estimates regarding the achievement of vesting conditions (see Notes 14 and 17.3).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20. Employees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The Group’s average workforce during the six-month periods ended June 30, 2025 and 2026 was as follows:</w:t>
      </w:r>
    </w:p>
    <w:tbl>
      <w:tblPr>
        <w:tblW w:w="4466" w:type="dxa"/>
        <w:jc w:val="left"/>
        <w:tblInd w:w="0" w:type="dxa"/>
        <w:tblLayout w:type="fixed"/>
        <w:tblCellMar>
          <w:top w:w="28" w:type="dxa"/>
          <w:left w:w="28" w:type="dxa"/>
          <w:bottom w:w="28" w:type="dxa"/>
          <w:right w:w="28" w:type="dxa"/>
        </w:tblCellMar>
      </w:tblPr>
      <w:tblGrid>
        <w:gridCol w:w="1201"/>
        <w:gridCol w:w="109"/>
        <w:gridCol w:w="1501"/>
        <w:gridCol w:w="109"/>
        <w:gridCol w:w="1546"/>
      </w:tblGrid>
      <w:tr>
        <w:trPr/>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HEADCOUNT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France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w:t>
            </w:r>
          </w:p>
        </w:tc>
      </w:tr>
      <w:tr>
        <w:trPr/>
        <w:tc>
          <w:tcPr>
            <w:tcW w:w="120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w:t>
            </w:r>
          </w:p>
        </w:tc>
      </w:tr>
      <w:tr>
        <w:trPr/>
        <w:tc>
          <w:tcPr>
            <w:tcW w:w="120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98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21. Financial gain (loss)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The financial loss breaks down as follows: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F-35</w:t>
      </w:r>
    </w:p>
    <w:tbl>
      <w:tblPr>
        <w:tblW w:w="10205" w:type="dxa"/>
        <w:jc w:val="left"/>
        <w:tblInd w:w="0" w:type="dxa"/>
        <w:tblLayout w:type="fixed"/>
        <w:tblCellMar>
          <w:top w:w="28" w:type="dxa"/>
          <w:left w:w="28" w:type="dxa"/>
          <w:bottom w:w="28" w:type="dxa"/>
          <w:right w:w="28" w:type="dxa"/>
        </w:tblCellMar>
      </w:tblPr>
      <w:tblGrid>
        <w:gridCol w:w="3792"/>
        <w:gridCol w:w="109"/>
        <w:gridCol w:w="1490"/>
        <w:gridCol w:w="109"/>
        <w:gridCol w:w="1490"/>
        <w:gridCol w:w="109"/>
        <w:gridCol w:w="1475"/>
        <w:gridCol w:w="109"/>
        <w:gridCol w:w="1522"/>
      </w:tblGrid>
      <w:tr>
        <w:trPr/>
        <w:tc>
          <w:tcPr>
            <w:tcW w:w="3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r>
      <w:tr>
        <w:trPr/>
        <w:tc>
          <w:tcPr>
            <w:tcW w:w="3792"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w:t>
            </w:r>
          </w:p>
        </w:tc>
        <w:tc>
          <w:tcPr>
            <w:tcW w:w="10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r>
      <w:tr>
        <w:trPr/>
        <w:tc>
          <w:tcPr>
            <w:tcW w:w="3792"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FINANCIAL GAIN (LOSS)</w:t>
            </w:r>
          </w:p>
        </w:tc>
        <w:tc>
          <w:tcPr>
            <w:tcW w:w="109" w:type="dxa"/>
            <w:tcBorders/>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475"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2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379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on bond loans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5"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2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79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on convertible loan notes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79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on PGE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2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79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on royalty certificates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(3,246)</w:t>
            </w:r>
          </w:p>
        </w:tc>
      </w:tr>
      <w:tr>
        <w:trPr/>
        <w:tc>
          <w:tcPr>
            <w:tcW w:w="379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on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w:t>
            </w:r>
          </w:p>
        </w:tc>
      </w:tr>
      <w:tr>
        <w:trPr/>
        <w:tc>
          <w:tcPr>
            <w:tcW w:w="379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(Increase) / decrease in derivatives 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79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on derecognition of financial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(43,205)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(43,205)</w:t>
            </w:r>
          </w:p>
        </w:tc>
      </w:tr>
      <w:tr>
        <w:trPr/>
        <w:tc>
          <w:tcPr>
            <w:tcW w:w="379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exchange losses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(2,411)</w:t>
            </w:r>
          </w:p>
        </w:tc>
      </w:tr>
      <w:tr>
        <w:trPr/>
        <w:tc>
          <w:tcPr>
            <w:tcW w:w="379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financial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5"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2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w:t>
            </w:r>
          </w:p>
        </w:tc>
      </w:tr>
      <w:tr>
        <w:trPr/>
        <w:tc>
          <w:tcPr>
            <w:tcW w:w="3792"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Financial 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(5,415)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(44,130)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(10,857)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(48,899)</w:t>
            </w:r>
          </w:p>
        </w:tc>
      </w:tr>
      <w:tr>
        <w:trPr/>
        <w:tc>
          <w:tcPr>
            <w:tcW w:w="379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5"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2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1,855</w:t>
            </w:r>
          </w:p>
        </w:tc>
      </w:tr>
      <w:tr>
        <w:trPr/>
        <w:tc>
          <w:tcPr>
            <w:tcW w:w="379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(Increase) / decrease in derivatives 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79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Increase / (decrease) in other assets / (liabilities) at fair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value through profit and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5,420</w:t>
            </w:r>
          </w:p>
        </w:tc>
      </w:tr>
      <w:tr>
        <w:trPr/>
        <w:tc>
          <w:tcPr>
            <w:tcW w:w="379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Effect of unwinding the discount related to advances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made to CROs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193</w:t>
            </w:r>
          </w:p>
        </w:tc>
      </w:tr>
      <w:tr>
        <w:trPr/>
        <w:tc>
          <w:tcPr>
            <w:tcW w:w="379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Day-one gain on recognition of financial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2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79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Foreign exchange gains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5"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10,024</w:t>
            </w:r>
          </w:p>
        </w:tc>
      </w:tr>
      <w:tr>
        <w:trPr/>
        <w:tc>
          <w:tcPr>
            <w:tcW w:w="3792"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Financial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4,733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3,769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2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17,491</w:t>
            </w:r>
          </w:p>
        </w:tc>
      </w:tr>
      <w:tr>
        <w:trPr/>
        <w:tc>
          <w:tcPr>
            <w:tcW w:w="3792"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Financial gain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(1,918)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(39,397)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(7,088)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(31,408)</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Financial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 on bond loans for the three- and six-month periods ended June 30, 2025 consists of interests from the Kreos / Claret B and 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tranches (non-convertible bonds), drawn down in March and June 2024, respectively, and redeemed in December 2025 (see Note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15.1).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 on convertible loan notes for the three- and six-month periods ended June 30, 2025 corresponds to interests from the Kreos /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Claret OCABSA (tranche A) and from the Heights notes, which were converted into ordinary shares of the Group during the second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half of 2025 (see Notes 15.1 and 15.2).</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 on royalty certificates reflects the non-cash effective interest expense arising from the measurement of the instruments 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amortized cost (see Note 15.5.). As of June 30, 2025, the Group </w:t>
      </w:r>
      <w:r>
        <w:rPr>
          <w:rFonts w:ascii="Times New Roman;serif" w:hAnsi="Times New Roman;serif"/>
          <w:b w:val="false"/>
          <w:i w:val="false"/>
          <w:caps w:val="false"/>
          <w:smallCaps w:val="false"/>
          <w:strike w:val="false"/>
          <w:dstrike w:val="false"/>
          <w:color w:val="231F20"/>
          <w:sz w:val="20"/>
          <w:u w:val="none"/>
          <w:effect w:val="none"/>
        </w:rPr>
        <w:t xml:space="preserve">revised </w:t>
      </w:r>
      <w:r>
        <w:rPr>
          <w:rFonts w:ascii="Times New Roman;serif" w:hAnsi="Times New Roman;serif"/>
          <w:b w:val="false"/>
          <w:i w:val="false"/>
          <w:caps w:val="false"/>
          <w:smallCaps w:val="false"/>
          <w:strike w:val="false"/>
          <w:dstrike w:val="false"/>
          <w:sz w:val="20"/>
          <w:u w:val="none"/>
          <w:effect w:val="none"/>
        </w:rPr>
        <w:t xml:space="preserve">the development and commercialization plans of obefazimod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reassessed its estimate of future royalty cash flows accordingly.</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This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change in estimate resulted in a remeasurement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certificates’ amortized cost, using the original EIR of 34%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calculated at the date of issuance, which led to a decrease by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940 thousand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royalty certificates liability. The resulting gain recorded in June 2025 explains the variance between the interest on royalty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certificates recorded for the three- and six-month periods ended June 30,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royalty certificates were repurchased by the Group on May 7, 2026, and subsequently cancelled. The loss resulting from their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derecognition is presented in the line item "Loss on derecognition of financial liabilities" (see Note 3.3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15.5).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 xml:space="preserve">Increases and decreases in the fair value of derivatives for the six-month period ended June 30, 2025 relate to the Kreos / Claret BSA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and MRI and are detailed in Notes 15.1, 15.2 and 15.7.</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increase in other assets at FVTPL for the three- and six- month period ended June 30, 2026 relate to revaluation of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equivalents that are measured at fair value through profit or loss (mutual funds and structured notes) (see Note 11).</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exchange losses for the three- and six-month period ended June 30, 2025 primarily relate to the translation of cash and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equivalents held in U.S. dollars into the Company's functional currency as of June 30, 2025, and to other realized and unrealized losses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foreign exchange transactions. Foreign exchange losses for the six-month period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 to an intercompany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payable with the Subsidiary denominated in U.S. dollars, which settlement during the first quarter of 2026 resulted in a net loss of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1,835 thousand, and to other realized and unrealized losses on foreign exchange transactions (see Note 11).</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Financial income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 income mainly relates to proceeds invested in cash equivalents and other investments measured at amortized cost, while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increases in assets measured at FVTPL mainly relate to proceeds invested in cash equivalents measured at FVTPL. These proceeds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originate from (i) the Group's initial public offering on the Nasdaq Global Market and the concurrent European Private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Placement from October 2023, (ii) the Kreos / Claret and Heights Financings and (iii) the Group's 2025 Offering (see Note 11).</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decrease in other liabilities at FVTPL mainly relate to the Heights Convertible Notes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three- and six-month periods ended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June 30, 2025 (see Note 15.2).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exchange gains for the three- and six-months period ended June 30, 2026 relate to (i) the revaluation of the intercompany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current account with the Subsidiary denominated in U.S. dollars, resulting in a net gain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6,733 thousand, (ii) the translation of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cash equivalents held in U.S. dollars into the Company's functional currency as of June 30, 2026, resulting in a net gain of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2,736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(see Note 11), and (iii) other realized and unrealized gains on foreign exchange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22. Income tax</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incurred tax losses in the current period and prior years. As the recoverability of these tax losses is not considered probable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subsequent periods due to the uncertainties inherent in the Group’s business, the Group has not recognized deferred tax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beyond deferred tax liabilities arising within the same taxable entity under the same taxable regime and with consistent timing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reversal, after considering, if applicable, limitations in the use of deductible tax losses carried forward from prior periods applicable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under tax laws in France and in the U.S.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following the repurchase of the royalty certificates on May 7, 2026, the Group reassessed the expected reversal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temporary taxable and deductible differences existing at the reporting date and concluded that the recognition of a deferred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liability in the Group's Statements of Financial Position was no longer required. Accordingly, the deferred tax liability of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5,848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recorded as of December 31, 2025 has been reversed, resulting in the recognition of a corresponding  tax income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six-month period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23. Loss per share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Basic loss per share is calculated by dividing income (loss) attributable to equity holders of the Company by the weighted-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average number of outstanding ordinary shares for the period.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 xml:space="preserve">Diluted loss per share is calculated by adjusting the weighted average number of ordinary shares outstanding to assume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conversion of all dilutive potential ordinary shares.</w:t>
      </w:r>
    </w:p>
    <w:tbl>
      <w:tblPr>
        <w:tblW w:w="9977" w:type="dxa"/>
        <w:jc w:val="left"/>
        <w:tblInd w:w="0" w:type="dxa"/>
        <w:tblLayout w:type="fixed"/>
        <w:tblCellMar>
          <w:top w:w="28" w:type="dxa"/>
          <w:left w:w="28" w:type="dxa"/>
          <w:bottom w:w="28" w:type="dxa"/>
          <w:right w:w="28" w:type="dxa"/>
        </w:tblCellMar>
      </w:tblPr>
      <w:tblGrid>
        <w:gridCol w:w="3661"/>
        <w:gridCol w:w="1471"/>
        <w:gridCol w:w="109"/>
        <w:gridCol w:w="1471"/>
        <w:gridCol w:w="109"/>
        <w:gridCol w:w="1501"/>
        <w:gridCol w:w="109"/>
        <w:gridCol w:w="1546"/>
      </w:tblGrid>
      <w:tr>
        <w:trPr/>
        <w:tc>
          <w:tcPr>
            <w:tcW w:w="366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66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(amounts in thousands of euros, except share data)</w:t>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66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BASIC AND DILUTED LOSS PER SHARE</w:t>
            </w:r>
          </w:p>
        </w:tc>
        <w:tc>
          <w:tcPr>
            <w:tcW w:w="14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FOR THE THREE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Weighted average number of outstanding shares</w:t>
            </w:r>
          </w:p>
        </w:tc>
        <w:tc>
          <w:tcPr>
            <w:tcW w:w="14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63,440,023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79,647,974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63,409,688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79,274,779</w:t>
            </w:r>
          </w:p>
        </w:tc>
      </w:tr>
      <w:tr>
        <w:trPr/>
        <w:tc>
          <w:tcPr>
            <w:tcW w:w="36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loss for the period</w:t>
            </w:r>
          </w:p>
        </w:tc>
        <w:tc>
          <w:tcPr>
            <w:tcW w:w="14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(48,414)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(117,433)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(100,784)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(165,900)</w:t>
            </w:r>
          </w:p>
        </w:tc>
      </w:tr>
      <w:tr>
        <w:trPr/>
        <w:tc>
          <w:tcPr>
            <w:tcW w:w="366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Basic and diluted loss per share (€/share) </w:t>
            </w:r>
          </w:p>
        </w:tc>
        <w:tc>
          <w:tcPr>
            <w:tcW w:w="14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(0.76)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(2.09)</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F-37</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Since net results for the three- and six-month periods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are losses, potentially dilutive instruments (BCEs,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BSAs, AGAs, the OCABSA, the Kreos / Claret BSAs and the Heights notes) have been excluded from the computation of diluted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weighted-average shares outstanding because such instruments had an antidilutive impact. Consequently, diluted loss per share is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same as the basic loss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24. Related parties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Except for share-based compensation plans (see Note 14), the Group has not engaged in any new transaction with its related parties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over the six-month period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 25. Off-balance sheet commitments given and contingent liabilities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Over the six-month period ended June 30, 2026, the Group has not entered into any significant additional off-balance sheet</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commitment or amended already existing commitments. The off-balance sheet commitments given by the Group as of June 30, 2026</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are identical to December 31, 2025, with the exception of the following changes in the commitments related to CRO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In the ordinary course of business, the Group regularly uses the services of subcontractors and enters into research and partnership</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arrangements with various CROs, and with public- sector partners or subcontractors, who conduct clinical trials and studies in relation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to the drug candidates. As of December 31, 2025 and June 30, 2026, the Group’s commitments amounted to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205,131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186,350 thousand, respectively.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cost of services performed by CROs is recognized as an operating expense as incurred.</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Note 26. Off-balance sheet commitments received and contingent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 the six-month period ended June 30, 2026, the Group has not received any significant additional commitment and has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identified any contingent assets susceptible to being recognized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Note 27. Management and assessment of financial risks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is exposed to interest rate risk, credit risk, foreign currency risk and liquidity risk. The Group has not identified 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significant changes in the identified credit and interest rate risks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compared to December 31, 2025.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Liquidity risk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remaining contractual maturities of financial liabilities as of December 31, 2025 and June 30, 2026 are presented in Note 15.8.</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Group's estimate of its cash runway as of the date of approval of these financial statements is set forth in Note 2</w:t>
      </w:r>
      <w:r>
        <w:rPr>
          <w:strike w:val="false"/>
          <w:dstrike w:val="false"/>
          <w:sz w:val="24"/>
          <w:u w:val="none"/>
          <w:effect w:val="none"/>
        </w:rPr>
        <w:t xml:space="preserve"> </w:t>
      </w:r>
      <w:r>
        <w:rPr>
          <w:rFonts w:ascii="Times New Roman;serif" w:hAnsi="Times New Roman;serif"/>
          <w:b w:val="false"/>
          <w:i/>
          <w:strike w:val="false"/>
          <w:dstrike w:val="false"/>
          <w:sz w:val="20"/>
          <w:u w:val="none"/>
          <w:effect w:val="none"/>
        </w:rPr>
        <w:t>- Going concern.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Foreign currency risk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Group is exposed to a risk of exchange rates fluctuations on commercial transactions performed in currencies different from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functional currency of the Group entity recording the transactions.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the monetary (i) assets and (ii) liabilities denominated in U.S. dollars held by the Company amounted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respectively (i) $277,156 thousand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(primarily composed of cash and cash equivalents of $133,965 thousand, intercompany receivables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$126,795 thousand) and (ii) $2,018 thousand.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F-38</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a result, a 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adverse change in the euro closing exchange rate against the U.S. dollar would have resulted in a foreign exchange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loss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21,952 thousand, while a 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favorable change would have resulted in a foreign exchange gain of </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26,831 thousand.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Subsidiary does not hold any monetary asset or liability denominated in currencies different from its functioning currency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U.S. dollar).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this stage, the Group has not adopted any recurring mechanism of hedging to protect its activity against currency fluctuations.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time to time, the Group may nevertheless subscribe currency term accounts in order to cover a commitment in currency as described </w:t>
      </w:r>
    </w:p>
    <w:p>
      <w:pPr>
        <w:pStyle w:val="TextBody"/>
        <w:bidi w:val="0"/>
        <w:spacing w:lineRule="atLeast" w:line="20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above. The Group may consider in the future using a suitable policy to hedge exchange risks in a more significant manner if needed.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76" w:before="0" w:after="0"/>
        <w:jc w:val="center"/>
        <w:rPr>
          <w:rFonts w:ascii="Verdana;sans-serif" w:hAnsi="Verdana;sans-serif"/>
          <w:b/>
          <w:color w:val="614DD1"/>
          <w:sz w:val="34"/>
        </w:rPr>
      </w:pPr>
      <w:r>
        <w:rPr>
          <w:rFonts w:ascii="Verdana;sans-serif" w:hAnsi="Verdana;sans-serif"/>
          <w:b/>
          <w:color w:val="614DD1"/>
          <w:sz w:val="34"/>
        </w:rPr>
        <w:t xml:space="preserve">Abivax Presents Business Updates and </w:t>
      </w:r>
    </w:p>
    <w:p>
      <w:pPr>
        <w:pStyle w:val="TextBody"/>
        <w:bidi w:val="0"/>
        <w:spacing w:lineRule="auto" w:line="276" w:before="0" w:after="0"/>
        <w:jc w:val="center"/>
        <w:rPr>
          <w:rFonts w:ascii="Verdana;sans-serif" w:hAnsi="Verdana;sans-serif"/>
          <w:b/>
          <w:color w:val="614DD1"/>
          <w:sz w:val="34"/>
        </w:rPr>
      </w:pPr>
      <w:r>
        <w:rPr>
          <w:rFonts w:ascii="Verdana;sans-serif" w:hAnsi="Verdana;sans-serif"/>
          <w:b/>
          <w:color w:val="614DD1"/>
          <w:sz w:val="34"/>
        </w:rPr>
        <w:t>First Half 2026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hanging="360"/>
        <w:jc w:val="left"/>
        <w:rPr/>
      </w:pPr>
      <w:r>
        <w:rPr>
          <w:color w:val="13284B"/>
        </w:rPr>
        <w:t>•</w:t>
      </w:r>
      <w:r>
        <w:rPr>
          <w:rFonts w:ascii="Verdana;sans-serif" w:hAnsi="Verdana;sans-serif"/>
          <w:b w:val="false"/>
          <w:i/>
          <w:color w:val="13284B"/>
          <w:sz w:val="20"/>
        </w:rPr>
        <w:t>Chris Rabbat to succeed Fabio Cataldi as Chief Medical Officer; Tim Kelly appointed Chief Technical Officer to advance commercial supply readiness and lead Abivax’s Chemistry, Manufacturing and Controls (“CMC”), Quality and Information Technology (“IT”) functions</w:t>
      </w:r>
    </w:p>
    <w:p>
      <w:pPr>
        <w:pStyle w:val="TextBody"/>
        <w:bidi w:val="0"/>
        <w:spacing w:before="0" w:after="0"/>
        <w:jc w:val="left"/>
        <w:rPr/>
      </w:pPr>
      <w:r>
        <w:rPr/>
      </w:r>
    </w:p>
    <w:p>
      <w:pPr>
        <w:pStyle w:val="TextBody"/>
        <w:bidi w:val="0"/>
        <w:spacing w:lineRule="auto" w:line="276" w:before="0" w:after="0"/>
        <w:ind w:left="0" w:right="0" w:hanging="360"/>
        <w:jc w:val="left"/>
        <w:rPr/>
      </w:pPr>
      <w:r>
        <w:rPr>
          <w:color w:val="13284B"/>
        </w:rPr>
        <w:t>•</w:t>
      </w:r>
      <w:r>
        <w:rPr>
          <w:rFonts w:ascii="Verdana;sans-serif" w:hAnsi="Verdana;sans-serif"/>
          <w:b w:val="false"/>
          <w:i/>
          <w:color w:val="13284B"/>
          <w:sz w:val="20"/>
        </w:rPr>
        <w:t>Cash, cash equivalents and short-term investments of €402.4 million as of June 30, 2026, combined with €767.1 million in net proceeds from the early July underwritten public offering, provides cash runway into Q4 2029</w:t>
      </w:r>
    </w:p>
    <w:p>
      <w:pPr>
        <w:pStyle w:val="TextBody"/>
        <w:bidi w:val="0"/>
        <w:spacing w:before="0" w:after="0"/>
        <w:jc w:val="left"/>
        <w:rPr/>
      </w:pPr>
      <w:r>
        <w:rPr/>
      </w:r>
    </w:p>
    <w:p>
      <w:pPr>
        <w:pStyle w:val="TextBody"/>
        <w:bidi w:val="0"/>
        <w:spacing w:lineRule="auto" w:line="276" w:before="0" w:after="0"/>
        <w:ind w:left="0" w:right="0" w:hanging="360"/>
        <w:jc w:val="left"/>
        <w:rPr/>
      </w:pPr>
      <w:r>
        <w:rPr>
          <w:color w:val="13284B"/>
        </w:rPr>
        <w:t>•</w:t>
      </w:r>
      <w:r>
        <w:rPr>
          <w:rFonts w:ascii="Verdana;sans-serif" w:hAnsi="Verdana;sans-serif"/>
          <w:b w:val="false"/>
          <w:i/>
          <w:color w:val="13284B"/>
          <w:sz w:val="20"/>
        </w:rPr>
        <w:t>Royalty certificates buy-back completed in Q2 2026 materially reduces royalty overhang, further strengthening Abivax’s debt-free financial position and flexibility to support future commercialization efforts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left"/>
        <w:rPr/>
      </w:pPr>
      <w:r>
        <w:rPr>
          <w:rFonts w:ascii="Verdana;sans-serif" w:hAnsi="Verdana;sans-serif"/>
          <w:b/>
          <w:color w:val="13284B"/>
          <w:sz w:val="20"/>
        </w:rPr>
        <w:t xml:space="preserve">PARIS, France – September 21, 2026 – 10:05 PM CEST </w:t>
      </w:r>
      <w:r>
        <w:rPr>
          <w:color w:val="13284B"/>
        </w:rPr>
        <w:t xml:space="preserve">– </w:t>
      </w:r>
      <w:r>
        <w:rPr>
          <w:rFonts w:ascii="Verdana;sans-serif" w:hAnsi="Verdana;sans-serif"/>
          <w:b w:val="false"/>
          <w:color w:val="13284B"/>
          <w:sz w:val="20"/>
          <w:u w:val="single"/>
        </w:rPr>
        <w:t>Abivax SA</w:t>
      </w:r>
      <w:r>
        <w:rPr>
          <w:color w:val="13284B"/>
        </w:rPr>
        <w:t xml:space="preserve"> </w:t>
      </w:r>
      <w:r>
        <w:rPr>
          <w:rFonts w:ascii="Verdana;sans-serif" w:hAnsi="Verdana;sans-serif"/>
          <w:b w:val="false"/>
          <w:color w:val="13284B"/>
          <w:sz w:val="20"/>
        </w:rPr>
        <w:t>(Euronext Paris: FR0012333284 – ABVX / Nasdaq – ABVX)</w:t>
      </w:r>
      <w:r>
        <w:rPr>
          <w:color w:val="13284B"/>
        </w:rPr>
        <w:t xml:space="preserve"> </w:t>
      </w:r>
      <w:r>
        <w:rPr>
          <w:rFonts w:ascii="Verdana;sans-serif" w:hAnsi="Verdana;sans-serif"/>
          <w:b w:val="false"/>
          <w:color w:val="13284B"/>
          <w:sz w:val="20"/>
        </w:rPr>
        <w:t>(“Abivax” or the “Company”), a clinical-stage biotechnology company focused on developing therapeutics that harness the body’s natural regulatory mechanisms to stabilize the immune response in patients with chronic inflammatory diseases, reported today business updates and financial results for the six months ended June 30, 2026. The half-year financial statements, approved by the Company’s Board of Directors on September 18, 2026, have been reviewed by the Company’s statutory auditors, and the financial reports will be filed with the French and U.S. securities regulatory authorities on September 21, 2026. A brief presentation summarizing these business and financial updates is available on the Investor Relations section of Abivax’s website.</w:t>
      </w:r>
    </w:p>
    <w:p>
      <w:pPr>
        <w:pStyle w:val="TextBody"/>
        <w:bidi w:val="0"/>
        <w:spacing w:before="0" w:after="0"/>
        <w:jc w:val="both"/>
        <w:rPr/>
      </w:pPr>
      <w:r>
        <w:rPr/>
      </w:r>
    </w:p>
    <w:p>
      <w:pPr>
        <w:pStyle w:val="TextBody"/>
        <w:bidi w:val="0"/>
        <w:spacing w:lineRule="auto" w:line="268" w:before="0" w:after="0"/>
        <w:jc w:val="both"/>
        <w:rPr>
          <w:rFonts w:ascii="Verdana;sans-serif" w:hAnsi="Verdana;sans-serif"/>
          <w:b/>
          <w:color w:val="13284B"/>
          <w:sz w:val="20"/>
        </w:rPr>
      </w:pPr>
      <w:r>
        <w:rPr>
          <w:rFonts w:ascii="Verdana;sans-serif" w:hAnsi="Verdana;sans-serif"/>
          <w:b/>
          <w:color w:val="13284B"/>
          <w:sz w:val="20"/>
        </w:rPr>
        <w:t xml:space="preserve">Strengthening Leadership Team Ahead of Potential Commercialization </w:t>
      </w:r>
    </w:p>
    <w:p>
      <w:pPr>
        <w:pStyle w:val="TextBody"/>
        <w:bidi w:val="0"/>
        <w:spacing w:before="0" w:after="0"/>
        <w:jc w:val="left"/>
        <w:rPr/>
      </w:pPr>
      <w:r>
        <w:rPr/>
      </w:r>
    </w:p>
    <w:p>
      <w:pPr>
        <w:pStyle w:val="TextBody"/>
        <w:bidi w:val="0"/>
        <w:spacing w:lineRule="auto" w:line="268" w:before="0" w:after="0"/>
        <w:jc w:val="both"/>
        <w:rPr>
          <w:rFonts w:ascii="Verdana;sans-serif" w:hAnsi="Verdana;sans-serif"/>
          <w:b w:val="false"/>
          <w:color w:val="13284B"/>
          <w:sz w:val="20"/>
        </w:rPr>
      </w:pPr>
      <w:r>
        <w:rPr>
          <w:rFonts w:ascii="Verdana;sans-serif" w:hAnsi="Verdana;sans-serif"/>
          <w:b w:val="false"/>
          <w:color w:val="13284B"/>
          <w:sz w:val="20"/>
        </w:rPr>
        <w:t>Fabio Cataldi, M.D., Chief Medical Officer, will be leaving Abivax in the fourth quarter of 2026. Chris Rabbat, Ph.D., who has led Global Medical Affairs since 2023, will succeed Dr. Cataldi as Chief Medical Officer, leading the medical organization as Abivax advances toward potential commercialization. Dr. Rabbat brings extensive biopharmaceutical industry experience, including deep expertise in Inflammatory Bowel Disease (“IBD”) and experience supporting therapies through commercialization and launch. His combination of industry experience, therapeutic area expertise and commercial-stage medical leadership will be particularly valuable as Abivax prepares for the potential commercialization of obefazimod. Abivax thanks Dr. Cataldi for his important contributions to the Company, including his leadership through the late-stage development of obefazimod and advancement of the program toward its planned NDA submission.</w:t>
      </w:r>
    </w:p>
    <w:p>
      <w:pPr>
        <w:pStyle w:val="TextBody"/>
        <w:bidi w:val="0"/>
        <w:spacing w:before="0" w:after="0"/>
        <w:jc w:val="left"/>
        <w:rPr/>
      </w:pPr>
      <w:r>
        <w:rPr/>
      </w:r>
    </w:p>
    <w:p>
      <w:pPr>
        <w:pStyle w:val="TextBody"/>
        <w:bidi w:val="0"/>
        <w:spacing w:lineRule="auto" w:line="268" w:before="0" w:after="0"/>
        <w:jc w:val="both"/>
        <w:rPr>
          <w:rFonts w:ascii="Verdana;sans-serif" w:hAnsi="Verdana;sans-serif"/>
          <w:b w:val="false"/>
          <w:color w:val="13284B"/>
          <w:sz w:val="20"/>
        </w:rPr>
      </w:pPr>
      <w:r>
        <w:rPr>
          <w:rFonts w:ascii="Verdana;sans-serif" w:hAnsi="Verdana;sans-serif"/>
          <w:b w:val="false"/>
          <w:color w:val="13284B"/>
          <w:sz w:val="20"/>
        </w:rPr>
        <w:t>Abivax has also appointed Tim Kelly as Chief Technical Officer. Mr. Kelly will lead the Company’s commercial CMC, Quality and Information Technology functions, further strengthening the infrastructure supporting Abivax’s continued growth and potential transition to a commercial-stage organization. Most recently, he served as Chief Technology Officer of Caribou Biosciences and previously was the CEO of Oxford Biomedica Solutions. He also held senior leadership roles at Homology Medicines, Shire, UCB Pharma and Biogen.</w:t>
      </w:r>
    </w:p>
    <w:p>
      <w:pPr>
        <w:pStyle w:val="TextBody"/>
        <w:bidi w:val="0"/>
        <w:spacing w:before="0" w:after="0"/>
        <w:jc w:val="left"/>
        <w:rPr/>
      </w:pPr>
      <w:r>
        <w:rPr/>
      </w:r>
    </w:p>
    <w:p>
      <w:pPr>
        <w:pStyle w:val="TextBody"/>
        <w:bidi w:val="0"/>
        <w:spacing w:lineRule="auto" w:line="268" w:before="0" w:after="0"/>
        <w:jc w:val="both"/>
        <w:rPr>
          <w:rFonts w:ascii="Verdana;sans-serif" w:hAnsi="Verdana;sans-serif"/>
          <w:b w:val="false"/>
          <w:color w:val="13284B"/>
          <w:sz w:val="20"/>
        </w:rPr>
      </w:pPr>
      <w:r>
        <w:rPr>
          <w:rFonts w:ascii="Verdana;sans-serif" w:hAnsi="Verdana;sans-serif"/>
          <w:b w:val="false"/>
          <w:color w:val="13284B"/>
          <w:sz w:val="20"/>
        </w:rPr>
        <w:t>Both executive appointments are effective immediately.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68" w:before="0" w:after="0"/>
        <w:jc w:val="both"/>
        <w:rPr/>
      </w:pPr>
      <w:r>
        <w:rPr>
          <w:color w:val="13284B"/>
        </w:rPr>
        <w:t>“</w:t>
      </w:r>
      <w:r>
        <w:rPr>
          <w:rFonts w:ascii="Verdana;sans-serif" w:hAnsi="Verdana;sans-serif"/>
          <w:b w:val="false"/>
          <w:i/>
          <w:color w:val="13284B"/>
          <w:sz w:val="20"/>
        </w:rPr>
        <w:t>As we prepare Abivax for its next phase of growth and the potential commercialization of obefazimod, we are continuing to strengthen the leadership and capabilities needed to support that evolution,”</w:t>
      </w:r>
      <w:r>
        <w:rPr>
          <w:color w:val="13284B"/>
        </w:rPr>
        <w:t xml:space="preserve"> </w:t>
      </w:r>
      <w:r>
        <w:rPr>
          <w:rFonts w:ascii="Verdana;sans-serif" w:hAnsi="Verdana;sans-serif"/>
          <w:b w:val="false"/>
          <w:color w:val="13284B"/>
          <w:sz w:val="20"/>
        </w:rPr>
        <w:t xml:space="preserve">said Marc de Garidel, Chief Executive Officer of Abivax. </w:t>
      </w:r>
      <w:r>
        <w:rPr>
          <w:color w:val="13284B"/>
        </w:rPr>
        <w:t>“</w:t>
      </w:r>
      <w:r>
        <w:rPr>
          <w:rFonts w:ascii="Verdana;sans-serif" w:hAnsi="Verdana;sans-serif"/>
          <w:b w:val="false"/>
          <w:i/>
          <w:color w:val="13284B"/>
          <w:sz w:val="20"/>
        </w:rPr>
        <w:t>We are deeply grateful to Fabio for his important contributions to Abivax and his leadership as we advanced obefazimod through late-stage development toward regulatory filing. Chris brings extensive experience in IBD and deep relationships with key opinion leaders, which will be critical as he leads our medical organization through the pre-commercial phase and toward potential commercialization. Tim brings extensive commercial supply technical and operational experience that will further strengthen our CMC, Quality and IT capabilities as we prepare for potential commercialization.”</w:t>
      </w:r>
    </w:p>
    <w:p>
      <w:pPr>
        <w:pStyle w:val="TextBody"/>
        <w:bidi w:val="0"/>
        <w:spacing w:before="0" w:after="0"/>
        <w:jc w:val="both"/>
        <w:rPr/>
      </w:pPr>
      <w:r>
        <w:rPr/>
      </w:r>
    </w:p>
    <w:p>
      <w:pPr>
        <w:pStyle w:val="TextBody"/>
        <w:bidi w:val="0"/>
        <w:spacing w:lineRule="auto" w:line="268" w:before="0" w:after="0"/>
        <w:jc w:val="both"/>
        <w:rPr>
          <w:rFonts w:ascii="Verdana;sans-serif" w:hAnsi="Verdana;sans-serif"/>
          <w:b w:val="false"/>
          <w:color w:val="13284B"/>
          <w:sz w:val="20"/>
        </w:rPr>
      </w:pPr>
      <w:r>
        <w:rPr>
          <w:rFonts w:ascii="Verdana;sans-serif" w:hAnsi="Verdana;sans-serif"/>
          <w:b w:val="false"/>
          <w:color w:val="13284B"/>
          <w:sz w:val="20"/>
        </w:rPr>
        <w:t>Abivax provided the following key updates on its business and operational goals in press releases published: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On May 22, 2026, a press release titled “Abivax Presents First Quarter 2026 Financial Results and Reports Three-Year Interim Data from Study 108, a Phase 2a/2b Open-Label Extension Trial of Obefazimod Following Dose De-Escalation in Patients with Ulcerative Colitis”</w:t>
      </w:r>
    </w:p>
    <w:p>
      <w:pPr>
        <w:pStyle w:val="TextBody"/>
        <w:bidi w:val="0"/>
        <w:spacing w:before="0" w:after="0"/>
        <w:jc w:val="both"/>
        <w:rPr/>
      </w:pPr>
      <w:r>
        <w:rPr/>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On June 1, 2026, a press release titled “Abivax Announces Landmark Phase 3 ABTECT Maintenance Trial Results Evaluating Obefazimod in Moderately to Severely Active Ulcerative Colitis”</w:t>
      </w:r>
    </w:p>
    <w:p>
      <w:pPr>
        <w:pStyle w:val="TextBody"/>
        <w:bidi w:val="0"/>
        <w:spacing w:before="0" w:after="0"/>
        <w:jc w:val="both"/>
        <w:rPr/>
      </w:pPr>
      <w:r>
        <w:rPr/>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On June 29, 2026, a press release titled “Abivax Reports Positive ABTECT Maintenance Part 2 Results for Obefazimod, Demonstrating Meaningful Clinical Benefit in Refractory Ulcerative Colitis Patients and Strengthening the Phase 3 Maintenance Safety Database”</w:t>
      </w:r>
    </w:p>
    <w:p>
      <w:pPr>
        <w:pStyle w:val="TextBody"/>
        <w:bidi w:val="0"/>
        <w:spacing w:before="0" w:after="0"/>
        <w:jc w:val="both"/>
        <w:rPr/>
      </w:pPr>
      <w:r>
        <w:rPr/>
      </w:r>
    </w:p>
    <w:p>
      <w:pPr>
        <w:pStyle w:val="TextBody"/>
        <w:bidi w:val="0"/>
        <w:spacing w:lineRule="auto" w:line="268" w:before="0" w:after="0"/>
        <w:ind w:left="0" w:right="0" w:hanging="360"/>
        <w:jc w:val="left"/>
        <w:rPr/>
      </w:pPr>
      <w:r>
        <w:rPr>
          <w:color w:val="13284B"/>
        </w:rPr>
        <w:t>•</w:t>
      </w:r>
      <w:r>
        <w:rPr>
          <w:rFonts w:ascii="Verdana;sans-serif" w:hAnsi="Verdana;sans-serif"/>
          <w:b w:val="false"/>
          <w:color w:val="13284B"/>
          <w:sz w:val="20"/>
        </w:rPr>
        <w:t>On July 6, 2026, Abivax completed its underwritten public offering of 7,360,000 American Depositary Shares, each representing one ordinary share, EUR 0.01 nominal value per share, of the Company, in the United States. The aggregate gross proceeds amounted to approximately $920 million, equivalent to approximately €807.4 million, before deduction of underwriting commissions and offering expenses, and the net proceeds, after deducting underwriting commissions and offering expenses, were approximately $874.1 million, equivalent to approximately €767.1 million.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On July 23, 2026, a press release titled “Abivax Strengthens Commercial Capabilities With Strategic Leadership Appointments”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On July 30, 2026, a press release titled “Abivax Announces Positive Pre-NDA Interaction with the FDA for Obefazimod”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Verdana;sans-serif" w:hAnsi="Verdana;sans-serif"/>
          <w:b/>
          <w:color w:val="13284B"/>
          <w:sz w:val="20"/>
        </w:rPr>
      </w:pPr>
      <w:r>
        <w:rPr>
          <w:rFonts w:ascii="Verdana;sans-serif" w:hAnsi="Verdana;sans-serif"/>
          <w:b/>
          <w:color w:val="13284B"/>
          <w:sz w:val="20"/>
        </w:rPr>
        <w:t>First Half 2026 Financial 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13284B"/>
        </w:rPr>
        <w:t>•</w:t>
      </w:r>
      <w:r>
        <w:rPr>
          <w:rFonts w:ascii="Verdana;sans-serif" w:hAnsi="Verdana;sans-serif"/>
          <w:b/>
          <w:color w:val="13284B"/>
          <w:sz w:val="20"/>
        </w:rPr>
        <w:t xml:space="preserve">Royalty Certificate Repurchase: </w:t>
      </w:r>
      <w:r>
        <w:rPr>
          <w:rFonts w:ascii="Verdana;sans-serif" w:hAnsi="Verdana;sans-serif"/>
          <w:b w:val="false"/>
          <w:color w:val="13284B"/>
          <w:sz w:val="20"/>
        </w:rPr>
        <w:t>On May 7, 2026, the Company completed the repurchase and cancellation of all outstanding royalty certificates for total consideration of $90 million (approximately €76.5 million), comprising $45 million in cash and $45 million in equity through the issuance of 403,347 ordinary shares represented by ADSs. The transaction resulted in an expense of approximately €43.2 million in the second quarter of 2026 and the derecognition of a €5.8 million deferred tax liability, with a corresponding tax benefit recognized for the six months ended June 30, 2026.</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68" w:before="0" w:after="0"/>
        <w:ind w:left="0" w:right="0" w:hanging="360"/>
        <w:jc w:val="both"/>
        <w:rPr/>
      </w:pPr>
      <w:r>
        <w:rPr>
          <w:color w:val="13284B"/>
        </w:rPr>
        <w:t>•</w:t>
      </w:r>
      <w:r>
        <w:rPr>
          <w:rFonts w:ascii="Verdana;sans-serif" w:hAnsi="Verdana;sans-serif"/>
          <w:b/>
          <w:color w:val="13284B"/>
          <w:sz w:val="20"/>
        </w:rPr>
        <w:t>Cash Position and Runway:</w:t>
      </w:r>
      <w:r>
        <w:rPr>
          <w:color w:val="13284B"/>
        </w:rPr>
        <w:t xml:space="preserve"> </w:t>
      </w:r>
      <w:r>
        <w:rPr>
          <w:rFonts w:ascii="Verdana;sans-serif" w:hAnsi="Verdana;sans-serif"/>
          <w:b w:val="false"/>
          <w:color w:val="13284B"/>
          <w:sz w:val="20"/>
        </w:rPr>
        <w:t>The Company had cash, cash equivalents and short-term investments of €402.4 million as of June 30, 2026, which, together with €767.1 million in net proceeds from the early July 2026 public offering, provides a projected cash runway into Q4 2029 based on current operating assumptions.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13284B"/>
        </w:rPr>
        <w:t>•</w:t>
      </w:r>
      <w:r>
        <w:rPr>
          <w:rFonts w:ascii="Verdana;sans-serif" w:hAnsi="Verdana;sans-serif"/>
          <w:b/>
          <w:color w:val="13284B"/>
          <w:sz w:val="20"/>
        </w:rPr>
        <w:t>R&amp;D Expenses:</w:t>
      </w:r>
      <w:r>
        <w:rPr>
          <w:color w:val="13284B"/>
        </w:rPr>
        <w:t xml:space="preserve"> </w:t>
      </w:r>
      <w:r>
        <w:rPr>
          <w:rFonts w:ascii="Verdana;sans-serif" w:hAnsi="Verdana;sans-serif"/>
          <w:b w:val="false"/>
          <w:color w:val="13284B"/>
          <w:sz w:val="20"/>
        </w:rPr>
        <w:t>Research and development (“R&amp;D”) expenses increased by €29.9 million to €107.9 million (75.5% of operating expenses) in the first half of 2026 compared to €77.9 million (81.3% of operating expenses) in the first half of 2025. This increase was predominantly driven by:</w:t>
      </w:r>
    </w:p>
    <w:p>
      <w:pPr>
        <w:pStyle w:val="TextBody"/>
        <w:bidi w:val="0"/>
        <w:spacing w:lineRule="auto" w:line="288" w:before="0" w:after="0"/>
        <w:ind w:left="0" w:right="0" w:hanging="360"/>
        <w:jc w:val="left"/>
        <w:rPr/>
      </w:pPr>
      <w:r>
        <w:rPr>
          <w:color w:val="000000"/>
        </w:rPr>
        <w:t>◦</w:t>
      </w:r>
      <w:r>
        <w:rPr>
          <w:rFonts w:ascii="Verdana;sans-serif" w:hAnsi="Verdana;sans-serif"/>
          <w:b w:val="false"/>
          <w:color w:val="13284B"/>
          <w:sz w:val="20"/>
        </w:rPr>
        <w:t xml:space="preserve">A </w:t>
      </w:r>
      <w:r>
        <w:rPr>
          <w:color w:val="000000"/>
        </w:rPr>
        <w:t>€</w:t>
      </w:r>
      <w:r>
        <w:rPr>
          <w:rFonts w:ascii="Verdana;sans-serif" w:hAnsi="Verdana;sans-serif"/>
          <w:b w:val="false"/>
          <w:color w:val="000000"/>
          <w:sz w:val="20"/>
        </w:rPr>
        <w:t>6.8 million</w:t>
      </w:r>
      <w:r>
        <w:rPr>
          <w:color w:val="13284B"/>
        </w:rPr>
        <w:t xml:space="preserve"> </w:t>
      </w:r>
      <w:r>
        <w:rPr>
          <w:rFonts w:ascii="Verdana;sans-serif" w:hAnsi="Verdana;sans-serif"/>
          <w:b w:val="false"/>
          <w:color w:val="13284B"/>
          <w:sz w:val="20"/>
        </w:rPr>
        <w:t>increase related to new indications (including combination therapy) for obefazimod;</w:t>
      </w:r>
    </w:p>
    <w:p>
      <w:pPr>
        <w:pStyle w:val="TextBody"/>
        <w:bidi w:val="0"/>
        <w:spacing w:lineRule="auto" w:line="288" w:before="0" w:after="0"/>
        <w:ind w:left="0" w:right="0" w:hanging="360"/>
        <w:jc w:val="left"/>
        <w:rPr/>
      </w:pPr>
      <w:r>
        <w:rPr>
          <w:color w:val="13284B"/>
        </w:rPr>
        <w:t>◦</w:t>
      </w:r>
      <w:r>
        <w:rPr>
          <w:rFonts w:ascii="Verdana;sans-serif" w:hAnsi="Verdana;sans-serif"/>
          <w:b w:val="false"/>
          <w:color w:val="13284B"/>
          <w:sz w:val="20"/>
        </w:rPr>
        <w:t xml:space="preserve">A </w:t>
      </w:r>
      <w:r>
        <w:rPr>
          <w:color w:val="000000"/>
        </w:rPr>
        <w:t>€</w:t>
      </w:r>
      <w:r>
        <w:rPr>
          <w:rFonts w:ascii="Verdana;sans-serif" w:hAnsi="Verdana;sans-serif"/>
          <w:b w:val="false"/>
          <w:color w:val="000000"/>
          <w:sz w:val="20"/>
        </w:rPr>
        <w:t>4.6 million</w:t>
      </w:r>
      <w:r>
        <w:rPr>
          <w:color w:val="13284B"/>
        </w:rPr>
        <w:t xml:space="preserve"> </w:t>
      </w:r>
      <w:r>
        <w:rPr>
          <w:rFonts w:ascii="Verdana;sans-serif" w:hAnsi="Verdana;sans-serif"/>
          <w:b w:val="false"/>
          <w:color w:val="13284B"/>
          <w:sz w:val="20"/>
        </w:rPr>
        <w:t>increase in transversal activities related to increased chemistry, manufacturing and controls and supply chain costs related to the progression of clinical trials and anticipation of potential future commercial launch;</w:t>
      </w:r>
    </w:p>
    <w:p>
      <w:pPr>
        <w:pStyle w:val="TextBody"/>
        <w:bidi w:val="0"/>
        <w:spacing w:lineRule="auto" w:line="288" w:before="0" w:after="0"/>
        <w:ind w:left="0" w:right="0" w:hanging="360"/>
        <w:jc w:val="left"/>
        <w:rPr/>
      </w:pPr>
      <w:r>
        <w:rPr>
          <w:color w:val="000000"/>
        </w:rPr>
        <w:t>◦</w:t>
      </w:r>
      <w:r>
        <w:rPr>
          <w:rFonts w:ascii="Verdana;sans-serif" w:hAnsi="Verdana;sans-serif"/>
          <w:b w:val="false"/>
          <w:color w:val="13284B"/>
          <w:sz w:val="20"/>
        </w:rPr>
        <w:t xml:space="preserve">A </w:t>
      </w:r>
      <w:r>
        <w:rPr>
          <w:color w:val="000000"/>
        </w:rPr>
        <w:t>€</w:t>
      </w:r>
      <w:r>
        <w:rPr>
          <w:rFonts w:ascii="Verdana;sans-serif" w:hAnsi="Verdana;sans-serif"/>
          <w:b w:val="false"/>
          <w:color w:val="000000"/>
          <w:sz w:val="20"/>
        </w:rPr>
        <w:t>6.3 million</w:t>
      </w:r>
      <w:r>
        <w:rPr>
          <w:color w:val="13284B"/>
        </w:rPr>
        <w:t xml:space="preserve"> </w:t>
      </w:r>
      <w:r>
        <w:rPr>
          <w:rFonts w:ascii="Verdana;sans-serif" w:hAnsi="Verdana;sans-serif"/>
          <w:b w:val="false"/>
          <w:color w:val="13284B"/>
          <w:sz w:val="20"/>
        </w:rPr>
        <w:t>increase related to the Company’s Crohn’s disease (“CD”) clinical program, driven by the progression of Phase 2b clinical trials for obefazimod in CD; and</w:t>
      </w:r>
    </w:p>
    <w:p>
      <w:pPr>
        <w:pStyle w:val="TextBody"/>
        <w:bidi w:val="0"/>
        <w:spacing w:lineRule="auto" w:line="288" w:before="0" w:after="0"/>
        <w:ind w:left="0" w:right="0" w:hanging="360"/>
        <w:jc w:val="left"/>
        <w:rPr/>
      </w:pPr>
      <w:r>
        <w:rPr>
          <w:color w:val="000000"/>
        </w:rPr>
        <w:t>◦</w:t>
      </w:r>
      <w:r>
        <w:rPr>
          <w:rFonts w:ascii="Verdana;sans-serif" w:hAnsi="Verdana;sans-serif"/>
          <w:b w:val="false"/>
          <w:color w:val="13284B"/>
          <w:sz w:val="20"/>
        </w:rPr>
        <w:t xml:space="preserve">A </w:t>
      </w:r>
      <w:r>
        <w:rPr>
          <w:color w:val="000000"/>
        </w:rPr>
        <w:t>€</w:t>
      </w:r>
      <w:r>
        <w:rPr>
          <w:rFonts w:ascii="Verdana;sans-serif" w:hAnsi="Verdana;sans-serif"/>
          <w:b w:val="false"/>
          <w:color w:val="000000"/>
          <w:sz w:val="20"/>
        </w:rPr>
        <w:t>8.5 million</w:t>
      </w:r>
      <w:r>
        <w:rPr>
          <w:color w:val="13284B"/>
        </w:rPr>
        <w:t xml:space="preserve"> </w:t>
      </w:r>
      <w:r>
        <w:rPr>
          <w:rFonts w:ascii="Verdana;sans-serif" w:hAnsi="Verdana;sans-serif"/>
          <w:b w:val="false"/>
          <w:color w:val="13284B"/>
          <w:sz w:val="20"/>
        </w:rPr>
        <w:t>increase related to the Company’s ulcerative colitis (“UC”) clinical program, driven by allocation of share-based compensation for grants awarded in 2025, partially offset by a decline in ABTECT clinical program costs as a result of 2025 milestone payments that did not occur in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Verdana;sans-serif" w:hAnsi="Verdana;sans-serif"/>
          <w:b/>
          <w:color w:val="13284B"/>
          <w:sz w:val="20"/>
        </w:rPr>
        <w:t xml:space="preserve">G&amp;A Expenses: </w:t>
      </w:r>
      <w:r>
        <w:rPr>
          <w:rFonts w:ascii="Verdana;sans-serif" w:hAnsi="Verdana;sans-serif"/>
          <w:b w:val="false"/>
          <w:color w:val="13284B"/>
          <w:sz w:val="20"/>
        </w:rPr>
        <w:t xml:space="preserve">General and administrative expenses increased by </w:t>
      </w:r>
      <w:r>
        <w:rPr>
          <w:color w:val="000000"/>
        </w:rPr>
        <w:t>€</w:t>
      </w:r>
      <w:r>
        <w:rPr>
          <w:rFonts w:ascii="Verdana;sans-serif" w:hAnsi="Verdana;sans-serif"/>
          <w:b w:val="false"/>
          <w:color w:val="000000"/>
          <w:sz w:val="20"/>
        </w:rPr>
        <w:t>14.1 million</w:t>
      </w:r>
      <w:r>
        <w:rPr>
          <w:color w:val="13284B"/>
        </w:rPr>
        <w:t xml:space="preserve"> </w:t>
      </w:r>
      <w:r>
        <w:rPr>
          <w:rFonts w:ascii="Verdana;sans-serif" w:hAnsi="Verdana;sans-serif"/>
          <w:b w:val="false"/>
          <w:color w:val="13284B"/>
          <w:sz w:val="20"/>
        </w:rPr>
        <w:t xml:space="preserve">to </w:t>
      </w:r>
      <w:r>
        <w:rPr>
          <w:color w:val="000000"/>
        </w:rPr>
        <w:t>€</w:t>
      </w:r>
      <w:r>
        <w:rPr>
          <w:rFonts w:ascii="Verdana;sans-serif" w:hAnsi="Verdana;sans-serif"/>
          <w:b w:val="false"/>
          <w:color w:val="000000"/>
          <w:sz w:val="20"/>
        </w:rPr>
        <w:t>30.4 million</w:t>
      </w:r>
      <w:r>
        <w:rPr>
          <w:color w:val="13284B"/>
        </w:rPr>
        <w:t xml:space="preserve"> </w:t>
      </w:r>
      <w:r>
        <w:rPr>
          <w:rFonts w:ascii="Verdana;sans-serif" w:hAnsi="Verdana;sans-serif"/>
          <w:b w:val="false"/>
          <w:color w:val="13284B"/>
          <w:sz w:val="20"/>
        </w:rPr>
        <w:t xml:space="preserve">(21.3% of operating expenses) in the first half of 2026 compared to </w:t>
      </w:r>
      <w:r>
        <w:rPr>
          <w:color w:val="000000"/>
        </w:rPr>
        <w:t>€</w:t>
      </w:r>
      <w:r>
        <w:rPr>
          <w:rFonts w:ascii="Verdana;sans-serif" w:hAnsi="Verdana;sans-serif"/>
          <w:b w:val="false"/>
          <w:color w:val="000000"/>
          <w:sz w:val="20"/>
        </w:rPr>
        <w:t>16.3 million</w:t>
      </w:r>
      <w:r>
        <w:rPr>
          <w:color w:val="13284B"/>
        </w:rPr>
        <w:t xml:space="preserve"> </w:t>
      </w:r>
      <w:r>
        <w:rPr>
          <w:rFonts w:ascii="Verdana;sans-serif" w:hAnsi="Verdana;sans-serif"/>
          <w:b w:val="false"/>
          <w:color w:val="13284B"/>
          <w:sz w:val="20"/>
        </w:rPr>
        <w:t xml:space="preserve">(17.0% of operating expenses) in the first half of 2025. This increase is primarily due to an increase of €8.6 million in personnel costs, primarily attributable to an increase in share-based compensation expense related to the impact of share-based awards granted in 2025 and their associated tax and social contributions of </w:t>
      </w:r>
      <w:r>
        <w:rPr>
          <w:color w:val="000000"/>
        </w:rPr>
        <w:t>€</w:t>
      </w:r>
      <w:r>
        <w:rPr>
          <w:rFonts w:ascii="Verdana;sans-serif" w:hAnsi="Verdana;sans-serif"/>
          <w:b w:val="false"/>
          <w:color w:val="000000"/>
          <w:sz w:val="20"/>
        </w:rPr>
        <w:t>6.1 million</w:t>
      </w:r>
      <w:r>
        <w:rPr>
          <w:rFonts w:ascii="Verdana;sans-serif" w:hAnsi="Verdana;sans-serif"/>
          <w:b w:val="false"/>
          <w:color w:val="13284B"/>
          <w:sz w:val="20"/>
        </w:rPr>
        <w:t xml:space="preserve">. The increase was also due to a €4.5 million increase in consulting and professional fees, driven by costs associated with building the Company’s infrastructure to support future growth in its operations. </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Verdana;sans-serif" w:hAnsi="Verdana;sans-serif"/>
          <w:b/>
          <w:color w:val="13284B"/>
          <w:sz w:val="20"/>
        </w:rPr>
        <w:t xml:space="preserve">Sales and Marketing Expenses: </w:t>
      </w:r>
      <w:r>
        <w:rPr>
          <w:rFonts w:ascii="Verdana;sans-serif" w:hAnsi="Verdana;sans-serif"/>
          <w:b w:val="false"/>
          <w:color w:val="13284B"/>
          <w:sz w:val="20"/>
        </w:rPr>
        <w:t xml:space="preserve">Sales and marketing expenses increased by </w:t>
      </w:r>
      <w:r>
        <w:rPr>
          <w:color w:val="000000"/>
        </w:rPr>
        <w:t>€</w:t>
      </w:r>
      <w:r>
        <w:rPr>
          <w:rFonts w:ascii="Verdana;sans-serif" w:hAnsi="Verdana;sans-serif"/>
          <w:b w:val="false"/>
          <w:color w:val="000000"/>
          <w:sz w:val="20"/>
        </w:rPr>
        <w:t>3.1 million</w:t>
      </w:r>
      <w:r>
        <w:rPr>
          <w:color w:val="13284B"/>
        </w:rPr>
        <w:t xml:space="preserve"> </w:t>
      </w:r>
      <w:r>
        <w:rPr>
          <w:rFonts w:ascii="Verdana;sans-serif" w:hAnsi="Verdana;sans-serif"/>
          <w:b w:val="false"/>
          <w:color w:val="13284B"/>
          <w:sz w:val="20"/>
        </w:rPr>
        <w:t xml:space="preserve">to </w:t>
      </w:r>
      <w:r>
        <w:rPr>
          <w:color w:val="000000"/>
        </w:rPr>
        <w:t>€</w:t>
      </w:r>
      <w:r>
        <w:rPr>
          <w:rFonts w:ascii="Verdana;sans-serif" w:hAnsi="Verdana;sans-serif"/>
          <w:b w:val="false"/>
          <w:color w:val="000000"/>
          <w:sz w:val="20"/>
        </w:rPr>
        <w:t>4.6 million</w:t>
      </w:r>
      <w:r>
        <w:rPr>
          <w:color w:val="13284B"/>
        </w:rPr>
        <w:t xml:space="preserve"> </w:t>
      </w:r>
      <w:r>
        <w:rPr>
          <w:rFonts w:ascii="Verdana;sans-serif" w:hAnsi="Verdana;sans-serif"/>
          <w:b w:val="false"/>
          <w:color w:val="13284B"/>
          <w:sz w:val="20"/>
        </w:rPr>
        <w:t xml:space="preserve">(3.2% of operating expenses) in the first half of 2026 compared to </w:t>
      </w:r>
      <w:r>
        <w:rPr>
          <w:color w:val="000000"/>
        </w:rPr>
        <w:t>€</w:t>
      </w:r>
      <w:r>
        <w:rPr>
          <w:rFonts w:ascii="Verdana;sans-serif" w:hAnsi="Verdana;sans-serif"/>
          <w:b w:val="false"/>
          <w:color w:val="000000"/>
          <w:sz w:val="20"/>
        </w:rPr>
        <w:t>1.5 million</w:t>
      </w:r>
      <w:r>
        <w:rPr>
          <w:color w:val="13284B"/>
        </w:rPr>
        <w:t xml:space="preserve"> </w:t>
      </w:r>
      <w:r>
        <w:rPr>
          <w:rFonts w:ascii="Verdana;sans-serif" w:hAnsi="Verdana;sans-serif"/>
          <w:b w:val="false"/>
          <w:color w:val="13284B"/>
          <w:sz w:val="20"/>
        </w:rPr>
        <w:t>(1.6% of operating expenses) in the first half of 2025. The increase was driven by costs related to the Company’s continued preparation for potential future sales and commercialization efforts for obefazimod in the U.S. which are expected to continue to accelerate in preparation for commercial launch.</w:t>
      </w:r>
    </w:p>
    <w:p>
      <w:pPr>
        <w:pStyle w:val="TextBody"/>
        <w:bidi w:val="0"/>
        <w:spacing w:before="0" w:after="0"/>
        <w:jc w:val="both"/>
        <w:rPr/>
      </w:pPr>
      <w:r>
        <w:rPr/>
      </w:r>
    </w:p>
    <w:p>
      <w:pPr>
        <w:pStyle w:val="TextBody"/>
        <w:bidi w:val="0"/>
        <w:spacing w:lineRule="auto" w:line="268" w:before="0" w:after="0"/>
        <w:jc w:val="both"/>
        <w:rPr>
          <w:rFonts w:ascii="Verdana;sans-serif" w:hAnsi="Verdana;sans-serif"/>
          <w:b/>
          <w:color w:val="13284B"/>
          <w:sz w:val="20"/>
        </w:rPr>
      </w:pPr>
      <w:r>
        <w:rPr>
          <w:rFonts w:ascii="Verdana;sans-serif" w:hAnsi="Verdana;sans-serif"/>
          <w:b/>
          <w:color w:val="13284B"/>
          <w:sz w:val="20"/>
        </w:rPr>
        <w:t>Anticipated Upcoming Key Dates</w:t>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October 2026 – Participation at United European Gastroenterology Week (UEGW)</w:t>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End of 2026 – Planned NDA submission for obefazimod in UC</w:t>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Mid-2027 – Topline results from the Phase 2b ENHANCE-CD induction trial evaluating obefazimod in CD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68" w:before="0" w:after="0"/>
        <w:jc w:val="left"/>
        <w:rPr>
          <w:rFonts w:ascii="Verdana;sans-serif" w:hAnsi="Verdana;sans-serif"/>
          <w:b/>
          <w:color w:val="614DD1"/>
          <w:sz w:val="20"/>
        </w:rPr>
      </w:pPr>
      <w:r>
        <w:rPr>
          <w:rFonts w:ascii="Verdana;sans-serif" w:hAnsi="Verdana;sans-serif"/>
          <w:b/>
          <w:color w:val="614DD1"/>
          <w:sz w:val="20"/>
        </w:rPr>
        <w:t>First Half 2026 Financial Results (IFRS figures)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34"/>
        <w:gridCol w:w="1785"/>
        <w:gridCol w:w="1796"/>
        <w:gridCol w:w="109"/>
        <w:gridCol w:w="109"/>
        <w:gridCol w:w="109"/>
        <w:gridCol w:w="426"/>
        <w:gridCol w:w="424"/>
        <w:gridCol w:w="422"/>
        <w:gridCol w:w="422"/>
        <w:gridCol w:w="422"/>
        <w:gridCol w:w="422"/>
        <w:gridCol w:w="464"/>
        <w:gridCol w:w="464"/>
        <w:gridCol w:w="422"/>
        <w:gridCol w:w="109"/>
        <w:gridCol w:w="109"/>
        <w:gridCol w:w="157"/>
      </w:tblGrid>
      <w:tr>
        <w:trPr/>
        <w:tc>
          <w:tcPr>
            <w:tcW w:w="2034"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15" w:type="dxa"/>
            <w:gridSpan w:val="3"/>
            <w:tcBorders>
              <w:top w:val="single" w:sz="8" w:space="0" w:color="000000"/>
              <w:left w:val="single" w:sz="8" w:space="0" w:color="000000"/>
            </w:tcBorders>
            <w:shd w:fill="D2D0EE" w:val="clear"/>
            <w:tcMar>
              <w:top w:w="3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Statement of Cash Flows</w:t>
            </w:r>
          </w:p>
        </w:tc>
        <w:tc>
          <w:tcPr>
            <w:tcW w:w="327"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9"/>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For the six months ended June 30,</w:t>
            </w:r>
          </w:p>
        </w:tc>
        <w:tc>
          <w:tcPr>
            <w:tcW w:w="375" w:type="dxa"/>
            <w:gridSpan w:val="3"/>
            <w:tcBorders>
              <w:top w:val="single" w:sz="8" w:space="0" w:color="000000"/>
              <w:right w:val="single" w:sz="8" w:space="0" w:color="000000"/>
            </w:tcBorders>
            <w:shd w:fill="D2D0EE"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in millions of euros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2025</w:t>
            </w:r>
          </w:p>
        </w:tc>
        <w:tc>
          <w:tcPr>
            <w:tcW w:w="1266"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2026</w:t>
            </w:r>
          </w:p>
        </w:tc>
        <w:tc>
          <w:tcPr>
            <w:tcW w:w="375"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Cash flows provided by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(66.6)</w:t>
            </w:r>
          </w:p>
        </w:tc>
        <w:tc>
          <w:tcPr>
            <w:tcW w:w="4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(102.5)</w:t>
            </w:r>
          </w:p>
        </w:tc>
        <w:tc>
          <w:tcPr>
            <w:tcW w:w="4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Cash flows provided by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1.3 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1.5 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Cash flows provided by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(16.6)</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(39.3)</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Effect of movements in exchange rates on cash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(1.8)</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6.2 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Revaluation of cash equivalents measured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0.5 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5.4 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left w:val="single" w:sz="8" w:space="0" w:color="000000"/>
              <w:bottom w:val="single" w:sz="8" w:space="0" w:color="000000"/>
            </w:tcBorders>
            <w:shd w:fill="D2D0EE" w:val="clear"/>
            <w:tcMar>
              <w:top w:w="0" w:type="dxa"/>
              <w:bottom w:w="30" w:type="dxa"/>
              <w:right w:w="0" w:type="dxa"/>
            </w:tcMar>
            <w:vAlign w:val="center"/>
          </w:tcPr>
          <w:p>
            <w:pPr>
              <w:pStyle w:val="TableContents"/>
              <w:bidi w:val="0"/>
              <w:spacing w:lineRule="auto" w:line="240" w:before="0" w:after="283"/>
              <w:jc w:val="left"/>
              <w:rPr>
                <w:rFonts w:ascii="Verdana;sans-serif" w:hAnsi="Verdana;sans-serif"/>
                <w:b/>
                <w:color w:val="000000"/>
                <w:sz w:val="20"/>
              </w:rPr>
            </w:pPr>
            <w:r>
              <w:rPr>
                <w:rFonts w:ascii="Verdana;sans-serif" w:hAnsi="Verdana;sans-serif"/>
                <w:b/>
                <w:color w:val="000000"/>
                <w:sz w:val="20"/>
              </w:rPr>
              <w:t>Increase (decrease) in cash and cash equivalents</w:t>
            </w:r>
          </w:p>
        </w:tc>
        <w:tc>
          <w:tcPr>
            <w:tcW w:w="327"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40" w:before="0" w:after="283"/>
              <w:jc w:val="right"/>
              <w:rPr>
                <w:rFonts w:ascii="Verdana;sans-serif" w:hAnsi="Verdana;sans-serif"/>
                <w:b/>
                <w:color w:val="000000"/>
                <w:sz w:val="20"/>
              </w:rPr>
            </w:pPr>
            <w:r>
              <w:rPr>
                <w:rFonts w:ascii="Verdana;sans-serif" w:hAnsi="Verdana;sans-serif"/>
                <w:b/>
                <w:color w:val="000000"/>
                <w:sz w:val="20"/>
              </w:rPr>
              <w:t>(83.3)</w:t>
            </w:r>
          </w:p>
        </w:tc>
        <w:tc>
          <w:tcPr>
            <w:tcW w:w="422" w:type="dxa"/>
            <w:tcBorders>
              <w:bottom w:val="single" w:sz="8" w:space="0" w:color="000000"/>
            </w:tcBorders>
            <w:shd w:fill="D2D0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40" w:before="0" w:after="283"/>
              <w:jc w:val="right"/>
              <w:rPr>
                <w:rFonts w:ascii="Verdana;sans-serif" w:hAnsi="Verdana;sans-serif"/>
                <w:b/>
                <w:color w:val="000000"/>
                <w:sz w:val="20"/>
              </w:rPr>
            </w:pPr>
            <w:r>
              <w:rPr>
                <w:rFonts w:ascii="Verdana;sans-serif" w:hAnsi="Verdana;sans-serif"/>
                <w:b/>
                <w:color w:val="000000"/>
                <w:sz w:val="20"/>
              </w:rPr>
              <w:t>(128.7)</w:t>
            </w:r>
          </w:p>
        </w:tc>
        <w:tc>
          <w:tcPr>
            <w:tcW w:w="422" w:type="dxa"/>
            <w:tcBorders>
              <w:bottom w:val="single" w:sz="8" w:space="0" w:color="000000"/>
            </w:tcBorders>
            <w:shd w:fill="D2D0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right w:val="single" w:sz="8" w:space="0" w:color="000000"/>
            </w:tcBorders>
            <w:shd w:fill="D2D0EE"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69" w:type="dxa"/>
        <w:jc w:val="left"/>
        <w:tblInd w:w="0" w:type="dxa"/>
        <w:tblLayout w:type="fixed"/>
        <w:tblCellMar>
          <w:top w:w="28" w:type="dxa"/>
          <w:left w:w="28" w:type="dxa"/>
          <w:bottom w:w="28" w:type="dxa"/>
          <w:right w:w="28" w:type="dxa"/>
        </w:tblCellMar>
      </w:tblPr>
      <w:tblGrid>
        <w:gridCol w:w="1580"/>
        <w:gridCol w:w="1389"/>
        <w:gridCol w:w="1395"/>
        <w:gridCol w:w="109"/>
        <w:gridCol w:w="109"/>
        <w:gridCol w:w="109"/>
        <w:gridCol w:w="458"/>
        <w:gridCol w:w="458"/>
        <w:gridCol w:w="433"/>
        <w:gridCol w:w="433"/>
        <w:gridCol w:w="433"/>
        <w:gridCol w:w="433"/>
        <w:gridCol w:w="458"/>
        <w:gridCol w:w="458"/>
        <w:gridCol w:w="433"/>
        <w:gridCol w:w="109"/>
        <w:gridCol w:w="109"/>
        <w:gridCol w:w="109"/>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left w:val="single" w:sz="8" w:space="0" w:color="000000"/>
            </w:tcBorders>
            <w:shd w:fill="D2D0EE" w:val="clear"/>
            <w:tcMar>
              <w:top w:w="3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Statement of Income (Loss)</w:t>
            </w:r>
          </w:p>
        </w:tc>
        <w:tc>
          <w:tcPr>
            <w:tcW w:w="327"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9"/>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 xml:space="preserve">For the six months ended June 30, </w:t>
            </w:r>
          </w:p>
        </w:tc>
        <w:tc>
          <w:tcPr>
            <w:tcW w:w="327" w:type="dxa"/>
            <w:gridSpan w:val="3"/>
            <w:tcBorders>
              <w:top w:val="single" w:sz="8" w:space="0" w:color="000000"/>
              <w:right w:val="single" w:sz="8" w:space="0" w:color="000000"/>
            </w:tcBorders>
            <w:shd w:fill="D2D0EE" w:val="clear"/>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in millions of euros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2025</w:t>
            </w:r>
          </w:p>
        </w:tc>
        <w:tc>
          <w:tcPr>
            <w:tcW w:w="1299"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2026</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Total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2.1 </w:t>
            </w:r>
          </w:p>
        </w:tc>
        <w:tc>
          <w:tcPr>
            <w:tcW w:w="4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2.5 </w:t>
            </w:r>
          </w:p>
        </w:tc>
        <w:tc>
          <w:tcPr>
            <w:tcW w:w="4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of which Research and Development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(77.9)</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(107.9)</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of which Sales and Marketing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(1.5)</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(4.6)</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of which General and Administrative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(16.3)</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(30.4)</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Operating loss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2D0EE" w:val="clear"/>
            <w:tcMar>
              <w:top w:w="0" w:type="dxa"/>
              <w:left w:w="0" w:type="dxa"/>
              <w:bottom w:w="0" w:type="dxa"/>
              <w:right w:w="0" w:type="dxa"/>
            </w:tcMar>
            <w:vAlign w:val="center"/>
          </w:tcPr>
          <w:p>
            <w:pPr>
              <w:pStyle w:val="TableContents"/>
              <w:bidi w:val="0"/>
              <w:spacing w:lineRule="auto" w:line="268" w:before="0" w:after="283"/>
              <w:jc w:val="right"/>
              <w:rPr>
                <w:rFonts w:ascii="Verdana;sans-serif" w:hAnsi="Verdana;sans-serif"/>
                <w:b/>
                <w:color w:val="000000"/>
                <w:sz w:val="16"/>
              </w:rPr>
            </w:pPr>
            <w:r>
              <w:rPr>
                <w:rFonts w:ascii="Verdana;sans-serif" w:hAnsi="Verdana;sans-serif"/>
                <w:b/>
                <w:color w:val="000000"/>
                <w:sz w:val="16"/>
              </w:rPr>
              <w:t>(93.7)</w:t>
            </w:r>
          </w:p>
        </w:tc>
        <w:tc>
          <w:tcPr>
            <w:tcW w:w="433" w:type="dxa"/>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2D0EE" w:val="clear"/>
            <w:tcMar>
              <w:top w:w="0" w:type="dxa"/>
              <w:left w:w="0" w:type="dxa"/>
              <w:bottom w:w="0" w:type="dxa"/>
              <w:right w:w="0" w:type="dxa"/>
            </w:tcMar>
            <w:vAlign w:val="center"/>
          </w:tcPr>
          <w:p>
            <w:pPr>
              <w:pStyle w:val="TableContents"/>
              <w:bidi w:val="0"/>
              <w:spacing w:lineRule="auto" w:line="268" w:before="0" w:after="283"/>
              <w:jc w:val="right"/>
              <w:rPr>
                <w:rFonts w:ascii="Verdana;sans-serif" w:hAnsi="Verdana;sans-serif"/>
                <w:b/>
                <w:color w:val="000000"/>
                <w:sz w:val="16"/>
              </w:rPr>
            </w:pPr>
            <w:r>
              <w:rPr>
                <w:rFonts w:ascii="Verdana;sans-serif" w:hAnsi="Verdana;sans-serif"/>
                <w:b/>
                <w:color w:val="000000"/>
                <w:sz w:val="16"/>
              </w:rPr>
              <w:t>(140.3)</w:t>
            </w:r>
          </w:p>
        </w:tc>
        <w:tc>
          <w:tcPr>
            <w:tcW w:w="433" w:type="dxa"/>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Financial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(7.1)</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(31.4)</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Net loss before tax</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2D0EE" w:val="clear"/>
            <w:tcMar>
              <w:top w:w="0" w:type="dxa"/>
              <w:left w:w="0" w:type="dxa"/>
              <w:bottom w:w="0" w:type="dxa"/>
              <w:right w:w="0" w:type="dxa"/>
            </w:tcMar>
            <w:vAlign w:val="center"/>
          </w:tcPr>
          <w:p>
            <w:pPr>
              <w:pStyle w:val="TableContents"/>
              <w:bidi w:val="0"/>
              <w:spacing w:lineRule="auto" w:line="268" w:before="0" w:after="283"/>
              <w:jc w:val="right"/>
              <w:rPr>
                <w:rFonts w:ascii="Verdana;sans-serif" w:hAnsi="Verdana;sans-serif"/>
                <w:b/>
                <w:color w:val="000000"/>
                <w:sz w:val="18"/>
              </w:rPr>
            </w:pPr>
            <w:r>
              <w:rPr>
                <w:rFonts w:ascii="Verdana;sans-serif" w:hAnsi="Verdana;sans-serif"/>
                <w:b/>
                <w:color w:val="000000"/>
                <w:sz w:val="18"/>
              </w:rPr>
              <w:t>(100.8)</w:t>
            </w:r>
          </w:p>
        </w:tc>
        <w:tc>
          <w:tcPr>
            <w:tcW w:w="433" w:type="dxa"/>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2D0EE" w:val="clear"/>
            <w:tcMar>
              <w:top w:w="0" w:type="dxa"/>
              <w:left w:w="0" w:type="dxa"/>
              <w:bottom w:w="0" w:type="dxa"/>
              <w:right w:w="0" w:type="dxa"/>
            </w:tcMar>
            <w:vAlign w:val="center"/>
          </w:tcPr>
          <w:p>
            <w:pPr>
              <w:pStyle w:val="TableContents"/>
              <w:bidi w:val="0"/>
              <w:spacing w:lineRule="auto" w:line="268" w:before="0" w:after="283"/>
              <w:jc w:val="right"/>
              <w:rPr>
                <w:rFonts w:ascii="Verdana;sans-serif" w:hAnsi="Verdana;sans-serif"/>
                <w:b/>
                <w:color w:val="000000"/>
                <w:sz w:val="18"/>
              </w:rPr>
            </w:pPr>
            <w:r>
              <w:rPr>
                <w:rFonts w:ascii="Verdana;sans-serif" w:hAnsi="Verdana;sans-serif"/>
                <w:b/>
                <w:color w:val="000000"/>
                <w:sz w:val="18"/>
              </w:rPr>
              <w:t>(171.7)</w:t>
            </w:r>
          </w:p>
        </w:tc>
        <w:tc>
          <w:tcPr>
            <w:tcW w:w="433" w:type="dxa"/>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5.8 </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bottom w:val="single" w:sz="8" w:space="0" w:color="000000"/>
            </w:tcBorders>
            <w:shd w:fill="D2D0EE" w:val="clear"/>
            <w:tcMar>
              <w:top w:w="0" w:type="dxa"/>
              <w:bottom w:w="30" w:type="dxa"/>
              <w:right w:w="0" w:type="dxa"/>
            </w:tcMar>
            <w:vAlign w:val="center"/>
          </w:tcPr>
          <w:p>
            <w:pPr>
              <w:pStyle w:val="TableContents"/>
              <w:bidi w:val="0"/>
              <w:spacing w:lineRule="auto" w:line="268" w:before="0" w:after="283"/>
              <w:jc w:val="left"/>
              <w:rPr>
                <w:rFonts w:ascii="Verdana;sans-serif" w:hAnsi="Verdana;sans-serif"/>
                <w:b/>
                <w:color w:val="000000"/>
                <w:sz w:val="20"/>
              </w:rPr>
            </w:pPr>
            <w:r>
              <w:rPr>
                <w:rFonts w:ascii="Verdana;sans-serif" w:hAnsi="Verdana;sans-serif"/>
                <w:b/>
                <w:color w:val="000000"/>
                <w:sz w:val="20"/>
              </w:rPr>
              <w:t>Net loss for the period</w:t>
            </w:r>
          </w:p>
        </w:tc>
        <w:tc>
          <w:tcPr>
            <w:tcW w:w="327"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68" w:before="0" w:after="283"/>
              <w:jc w:val="right"/>
              <w:rPr>
                <w:rFonts w:ascii="Verdana;sans-serif" w:hAnsi="Verdana;sans-serif"/>
                <w:b/>
                <w:color w:val="000000"/>
                <w:sz w:val="18"/>
              </w:rPr>
            </w:pPr>
            <w:r>
              <w:rPr>
                <w:rFonts w:ascii="Verdana;sans-serif" w:hAnsi="Verdana;sans-serif"/>
                <w:b/>
                <w:color w:val="000000"/>
                <w:sz w:val="18"/>
              </w:rPr>
              <w:t>(100.8)</w:t>
            </w:r>
          </w:p>
        </w:tc>
        <w:tc>
          <w:tcPr>
            <w:tcW w:w="433" w:type="dxa"/>
            <w:tcBorders>
              <w:bottom w:val="single" w:sz="8" w:space="0" w:color="000000"/>
            </w:tcBorders>
            <w:shd w:fill="D2D0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68" w:before="0" w:after="283"/>
              <w:jc w:val="right"/>
              <w:rPr>
                <w:rFonts w:ascii="Verdana;sans-serif" w:hAnsi="Verdana;sans-serif"/>
                <w:b/>
                <w:color w:val="000000"/>
                <w:sz w:val="18"/>
              </w:rPr>
            </w:pPr>
            <w:r>
              <w:rPr>
                <w:rFonts w:ascii="Verdana;sans-serif" w:hAnsi="Verdana;sans-serif"/>
                <w:b/>
                <w:color w:val="000000"/>
                <w:sz w:val="18"/>
              </w:rPr>
              <w:t>(165.9)</w:t>
            </w:r>
          </w:p>
        </w:tc>
        <w:tc>
          <w:tcPr>
            <w:tcW w:w="433" w:type="dxa"/>
            <w:tcBorders>
              <w:bottom w:val="single" w:sz="8" w:space="0" w:color="000000"/>
            </w:tcBorders>
            <w:shd w:fill="D2D0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right w:val="single" w:sz="8" w:space="0" w:color="000000"/>
            </w:tcBorders>
            <w:shd w:fill="D2D0EE" w:val="clear"/>
            <w:tcMar>
              <w:top w:w="0" w:type="dxa"/>
              <w:lef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tbl>
      <w:tblPr>
        <w:tblW w:w="9788" w:type="dxa"/>
        <w:jc w:val="left"/>
        <w:tblInd w:w="0" w:type="dxa"/>
        <w:tblLayout w:type="fixed"/>
        <w:tblCellMar>
          <w:top w:w="28" w:type="dxa"/>
          <w:left w:w="28" w:type="dxa"/>
          <w:bottom w:w="28" w:type="dxa"/>
          <w:right w:w="28" w:type="dxa"/>
        </w:tblCellMar>
      </w:tblPr>
      <w:tblGrid>
        <w:gridCol w:w="1738"/>
        <w:gridCol w:w="1527"/>
        <w:gridCol w:w="1534"/>
        <w:gridCol w:w="109"/>
        <w:gridCol w:w="109"/>
        <w:gridCol w:w="109"/>
        <w:gridCol w:w="744"/>
        <w:gridCol w:w="744"/>
        <w:gridCol w:w="746"/>
        <w:gridCol w:w="109"/>
        <w:gridCol w:w="109"/>
        <w:gridCol w:w="109"/>
        <w:gridCol w:w="539"/>
        <w:gridCol w:w="539"/>
        <w:gridCol w:w="542"/>
        <w:gridCol w:w="109"/>
        <w:gridCol w:w="109"/>
        <w:gridCol w:w="109"/>
        <w:gridCol w:w="154"/>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left w:val="single" w:sz="8" w:space="0" w:color="000000"/>
            </w:tcBorders>
            <w:shd w:fill="D2D0EE" w:val="clear"/>
            <w:tcMar>
              <w:top w:w="3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Statement of Financial Position</w:t>
            </w:r>
          </w:p>
        </w:tc>
        <w:tc>
          <w:tcPr>
            <w:tcW w:w="327"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9"/>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As of</w:t>
            </w:r>
          </w:p>
        </w:tc>
        <w:tc>
          <w:tcPr>
            <w:tcW w:w="327" w:type="dxa"/>
            <w:gridSpan w:val="3"/>
            <w:tcBorders>
              <w:top w:val="single" w:sz="8" w:space="0" w:color="000000"/>
              <w:right w:val="single" w:sz="8" w:space="0" w:color="000000"/>
            </w:tcBorders>
            <w:shd w:fill="D2D0EE" w:val="clear"/>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in millions of euros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December 31, 2025</w:t>
            </w:r>
          </w:p>
        </w:tc>
        <w:tc>
          <w:tcPr>
            <w:tcW w:w="327"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June 30, 2026</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34.6</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516.7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388.0</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pPr>
            <w:r>
              <w:rPr>
                <w:rFonts w:ascii="Verdana;sans-serif" w:hAnsi="Verdana;sans-serif"/>
                <w:b w:val="false"/>
                <w:color w:val="000000"/>
                <w:sz w:val="20"/>
              </w:rPr>
              <w:t>Other current assets</w:t>
            </w:r>
            <w:r>
              <w:rPr>
                <w:rFonts w:ascii="Verdana;sans-serif" w:hAnsi="Verdana;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39.6</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Total Assets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584.3</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462.2</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pPr>
            <w:r>
              <w:rPr>
                <w:rFonts w:ascii="Verdana;sans-serif" w:hAnsi="Verdana;sans-serif"/>
                <w:b w:val="false"/>
                <w:color w:val="000000"/>
                <w:sz w:val="20"/>
              </w:rPr>
              <w:t>Borrowings, notes and derivative instruments</w:t>
            </w:r>
            <w:r>
              <w:rPr>
                <w:rFonts w:ascii="Verdana;sans-serif" w:hAnsi="Verdana;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1.2</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Royalty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24.1</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70.6</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Total Liabilities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129.1</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95.9</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Total Shareholders’ Equity</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455.2</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366.3</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bottom w:val="single" w:sz="8" w:space="0" w:color="000000"/>
            </w:tcBorders>
            <w:shd w:fill="D2D0EE" w:val="clear"/>
            <w:tcMar>
              <w:top w:w="0" w:type="dxa"/>
              <w:bottom w:w="30" w:type="dxa"/>
              <w:right w:w="0" w:type="dxa"/>
            </w:tcMar>
            <w:vAlign w:val="center"/>
          </w:tcPr>
          <w:p>
            <w:pPr>
              <w:pStyle w:val="TableContents"/>
              <w:bidi w:val="0"/>
              <w:spacing w:lineRule="auto" w:line="268" w:before="0" w:after="283"/>
              <w:jc w:val="left"/>
              <w:rPr>
                <w:rFonts w:ascii="Verdana;sans-serif" w:hAnsi="Verdana;sans-serif"/>
                <w:b/>
                <w:color w:val="000000"/>
                <w:sz w:val="20"/>
              </w:rPr>
            </w:pPr>
            <w:r>
              <w:rPr>
                <w:rFonts w:ascii="Verdana;sans-serif" w:hAnsi="Verdana;sans-serif"/>
                <w:b/>
                <w:color w:val="000000"/>
                <w:sz w:val="20"/>
              </w:rPr>
              <w:t>Total Liabilities and Shareholders’ Equity</w:t>
            </w:r>
          </w:p>
        </w:tc>
        <w:tc>
          <w:tcPr>
            <w:tcW w:w="327"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584.3</w:t>
            </w:r>
          </w:p>
        </w:tc>
        <w:tc>
          <w:tcPr>
            <w:tcW w:w="327"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462.2</w:t>
            </w:r>
          </w:p>
        </w:tc>
        <w:tc>
          <w:tcPr>
            <w:tcW w:w="327" w:type="dxa"/>
            <w:gridSpan w:val="3"/>
            <w:tcBorders>
              <w:bottom w:val="single" w:sz="8" w:space="0" w:color="000000"/>
              <w:right w:val="single" w:sz="8" w:space="0" w:color="000000"/>
            </w:tcBorders>
            <w:shd w:fill="D2D0EE" w:val="clear"/>
            <w:tcMar>
              <w:top w:w="0" w:type="dxa"/>
              <w:lef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Verdana;sans-serif" w:hAnsi="Verdana;sans-serif"/>
          <w:b w:val="false"/>
          <w:color w:val="000000"/>
          <w:sz w:val="13"/>
        </w:rPr>
        <w:t>1</w:t>
      </w:r>
      <w:r>
        <w:rPr>
          <w:color w:val="000000"/>
        </w:rPr>
        <w:t xml:space="preserve"> </w:t>
      </w:r>
      <w:r>
        <w:rPr>
          <w:rFonts w:ascii="Verdana;sans-serif" w:hAnsi="Verdana;sans-serif"/>
          <w:b w:val="false"/>
          <w:i/>
          <w:color w:val="000000"/>
          <w:sz w:val="20"/>
        </w:rPr>
        <w:t>Includes certain short-term investments (terms of less than 12 months) of €14.4M, making total cash, cash equivalents and short-term investments of €402.4 million</w:t>
      </w:r>
    </w:p>
    <w:p>
      <w:pPr>
        <w:pStyle w:val="TextBody"/>
        <w:bidi w:val="0"/>
        <w:spacing w:lineRule="auto" w:line="268" w:before="0" w:after="0"/>
        <w:ind w:left="0" w:right="0" w:hanging="360"/>
        <w:jc w:val="both"/>
        <w:rPr/>
      </w:pPr>
      <w:r>
        <w:rPr>
          <w:rFonts w:ascii="Verdana;sans-serif" w:hAnsi="Verdana;sans-serif"/>
          <w:b w:val="false"/>
          <w:color w:val="000000"/>
          <w:sz w:val="13"/>
        </w:rPr>
        <w:t xml:space="preserve">2 </w:t>
      </w:r>
      <w:r>
        <w:rPr>
          <w:rFonts w:ascii="Verdana;sans-serif" w:hAnsi="Verdana;sans-serif"/>
          <w:b w:val="false"/>
          <w:i/>
          <w:color w:val="000000"/>
          <w:sz w:val="20"/>
        </w:rPr>
        <w:t>Includes both current and non-current portions of borrowings, convertible loan notes, derivative instruments, and lease liabilities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Verdana;sans-serif" w:hAnsi="Verdana;sans-serif"/>
          <w:b/>
          <w:color w:val="000000"/>
          <w:sz w:val="20"/>
        </w:rPr>
      </w:pPr>
      <w:r>
        <w:rPr>
          <w:rFonts w:ascii="Verdana;sans-serif" w:hAnsi="Verdana;sans-serif"/>
          <w:b/>
          <w:color w:val="000000"/>
          <w:sz w:val="20"/>
        </w:rPr>
        <w:t>*****</w:t>
      </w:r>
    </w:p>
    <w:p>
      <w:pPr>
        <w:pStyle w:val="TextBody"/>
        <w:bidi w:val="0"/>
        <w:spacing w:lineRule="auto" w:line="268" w:before="0" w:after="0"/>
        <w:jc w:val="both"/>
        <w:rPr>
          <w:rFonts w:ascii="Verdana;sans-serif" w:hAnsi="Verdana;sans-serif"/>
          <w:b/>
          <w:color w:val="000000"/>
          <w:sz w:val="20"/>
        </w:rPr>
      </w:pPr>
      <w:r>
        <w:rPr>
          <w:rFonts w:ascii="Verdana;sans-serif" w:hAnsi="Verdana;sans-serif"/>
          <w:b/>
          <w:color w:val="000000"/>
          <w:sz w:val="20"/>
        </w:rPr>
        <w:t xml:space="preserve">About Abivax </w:t>
      </w:r>
    </w:p>
    <w:p>
      <w:pPr>
        <w:pStyle w:val="TextBody"/>
        <w:bidi w:val="0"/>
        <w:spacing w:lineRule="auto" w:line="268" w:before="0" w:after="0"/>
        <w:jc w:val="both"/>
        <w:rPr>
          <w:rFonts w:ascii="Verdana;sans-serif" w:hAnsi="Verdana;sans-serif"/>
          <w:b w:val="false"/>
          <w:color w:val="000000"/>
          <w:sz w:val="20"/>
        </w:rPr>
      </w:pPr>
      <w:r>
        <w:rPr>
          <w:rFonts w:ascii="Verdana;sans-serif" w:hAnsi="Verdana;sans-serif"/>
          <w:b w:val="false"/>
          <w:color w:val="000000"/>
          <w:sz w:val="20"/>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w:t>
      </w:r>
    </w:p>
    <w:p>
      <w:pPr>
        <w:pStyle w:val="TextBody"/>
        <w:bidi w:val="0"/>
        <w:spacing w:before="0" w:after="0"/>
        <w:jc w:val="both"/>
        <w:rPr/>
      </w:pPr>
      <w:r>
        <w:rPr/>
      </w:r>
    </w:p>
    <w:p>
      <w:pPr>
        <w:pStyle w:val="TextBody"/>
        <w:bidi w:val="0"/>
        <w:spacing w:lineRule="auto" w:line="268" w:before="0" w:after="0"/>
        <w:jc w:val="left"/>
        <w:rPr>
          <w:rFonts w:ascii="Verdana;sans-serif" w:hAnsi="Verdana;sans-serif"/>
          <w:b/>
          <w:color w:val="000000"/>
          <w:sz w:val="20"/>
        </w:rPr>
      </w:pPr>
      <w:r>
        <w:rPr>
          <w:rFonts w:ascii="Verdana;sans-serif" w:hAnsi="Verdana;sans-serif"/>
          <w:b/>
          <w:color w:val="000000"/>
          <w:sz w:val="20"/>
        </w:rPr>
        <w:t>Contacts:</w:t>
      </w:r>
    </w:p>
    <w:p>
      <w:pPr>
        <w:pStyle w:val="TextBody"/>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Patrick Malloy</w:t>
      </w:r>
    </w:p>
    <w:p>
      <w:pPr>
        <w:pStyle w:val="TextBody"/>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SVP, Investor Relations</w:t>
      </w:r>
    </w:p>
    <w:p>
      <w:pPr>
        <w:pStyle w:val="TextBody"/>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Abivax SA</w:t>
      </w:r>
    </w:p>
    <w:p>
      <w:pPr>
        <w:pStyle w:val="TextBody"/>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 xml:space="preserve">patrick.malloy@abivax.com </w:t>
      </w:r>
    </w:p>
    <w:p>
      <w:pPr>
        <w:pStyle w:val="TextBody"/>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+1 847 987 4878</w:t>
      </w:r>
    </w:p>
    <w:p>
      <w:pPr>
        <w:pStyle w:val="TextBody"/>
        <w:bidi w:val="0"/>
        <w:spacing w:before="0" w:after="0"/>
        <w:jc w:val="left"/>
        <w:rPr/>
      </w:pPr>
      <w:r>
        <w:rPr/>
      </w:r>
    </w:p>
    <w:p>
      <w:pPr>
        <w:pStyle w:val="TextBody"/>
        <w:bidi w:val="0"/>
        <w:spacing w:lineRule="auto" w:line="256" w:before="0" w:after="0"/>
        <w:jc w:val="both"/>
        <w:rPr>
          <w:rFonts w:ascii="Verdana;sans-serif" w:hAnsi="Verdana;sans-serif"/>
          <w:b/>
          <w:color w:val="000000"/>
          <w:sz w:val="20"/>
        </w:rPr>
      </w:pPr>
      <w:r>
        <w:rPr>
          <w:rFonts w:ascii="Verdana;sans-serif" w:hAnsi="Verdana;sans-serif"/>
          <w:b/>
          <w:color w:val="000000"/>
          <w:sz w:val="20"/>
        </w:rPr>
        <w:t>Media Contacts:</w:t>
      </w:r>
    </w:p>
    <w:p>
      <w:pPr>
        <w:pStyle w:val="TextBody"/>
        <w:bidi w:val="0"/>
        <w:spacing w:lineRule="auto" w:line="256" w:before="0" w:after="0"/>
        <w:jc w:val="both"/>
        <w:rPr>
          <w:rFonts w:ascii="Verdana;sans-serif" w:hAnsi="Verdana;sans-serif"/>
          <w:b/>
          <w:color w:val="000000"/>
          <w:sz w:val="20"/>
        </w:rPr>
      </w:pPr>
      <w:r>
        <w:rPr>
          <w:rFonts w:ascii="Verdana;sans-serif" w:hAnsi="Verdana;sans-serif"/>
          <w:b/>
          <w:color w:val="000000"/>
          <w:sz w:val="20"/>
        </w:rPr>
        <w:t>LifeSci Communications</w:t>
      </w:r>
    </w:p>
    <w:p>
      <w:pPr>
        <w:pStyle w:val="TextBody"/>
        <w:bidi w:val="0"/>
        <w:spacing w:lineRule="auto" w:line="256" w:before="0" w:after="0"/>
        <w:jc w:val="both"/>
        <w:rPr>
          <w:rFonts w:ascii="Verdana;sans-serif" w:hAnsi="Verdana;sans-serif"/>
          <w:b w:val="false"/>
          <w:color w:val="000000"/>
          <w:sz w:val="20"/>
        </w:rPr>
      </w:pPr>
      <w:r>
        <w:rPr>
          <w:rFonts w:ascii="Verdana;sans-serif" w:hAnsi="Verdana;sans-serif"/>
          <w:b w:val="false"/>
          <w:color w:val="000000"/>
          <w:sz w:val="20"/>
        </w:rPr>
        <w:t>Karissa Cross, PhD</w:t>
      </w:r>
    </w:p>
    <w:p>
      <w:pPr>
        <w:pStyle w:val="TextBody"/>
        <w:bidi w:val="0"/>
        <w:spacing w:lineRule="auto" w:line="256" w:before="0" w:after="0"/>
        <w:jc w:val="both"/>
        <w:rPr>
          <w:rFonts w:ascii="Verdana;sans-serif" w:hAnsi="Verdana;sans-serif"/>
          <w:b w:val="false"/>
          <w:color w:val="000000"/>
          <w:sz w:val="20"/>
        </w:rPr>
      </w:pPr>
      <w:r>
        <w:rPr>
          <w:rFonts w:ascii="Verdana;sans-serif" w:hAnsi="Verdana;sans-serif"/>
          <w:b w:val="false"/>
          <w:color w:val="000000"/>
          <w:sz w:val="20"/>
        </w:rPr>
        <w:t>Associate Director</w:t>
      </w:r>
    </w:p>
    <w:p>
      <w:pPr>
        <w:pStyle w:val="TextBody"/>
        <w:bidi w:val="0"/>
        <w:spacing w:lineRule="auto" w:line="256" w:before="0" w:after="0"/>
        <w:jc w:val="both"/>
        <w:rPr/>
      </w:pPr>
      <w:r>
        <w:rPr>
          <w:rFonts w:ascii="Verdana;sans-serif" w:hAnsi="Verdana;sans-serif"/>
          <w:b w:val="false"/>
          <w:color w:val="0000FF"/>
          <w:sz w:val="20"/>
        </w:rPr>
        <w:t>LSC_ABIVAX@lifescicomms.com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Verdana;sans-serif" w:hAnsi="Verdana;sans-serif"/>
          <w:b/>
          <w:color w:val="000000"/>
          <w:sz w:val="22"/>
        </w:rPr>
      </w:pPr>
      <w:r>
        <w:rPr>
          <w:rFonts w:ascii="Verdana;sans-serif" w:hAnsi="Verdana;sans-serif"/>
          <w:b/>
          <w:color w:val="000000"/>
          <w:sz w:val="22"/>
        </w:rPr>
        <w:t>FORWARD-LOOKING STATEMENTS</w:t>
      </w:r>
    </w:p>
    <w:p>
      <w:pPr>
        <w:pStyle w:val="TextBody"/>
        <w:bidi w:val="0"/>
        <w:spacing w:before="0" w:after="0"/>
        <w:jc w:val="left"/>
        <w:rPr/>
      </w:pPr>
      <w:r>
        <w:rPr/>
      </w:r>
    </w:p>
    <w:p>
      <w:pPr>
        <w:pStyle w:val="TextBody"/>
        <w:bidi w:val="0"/>
        <w:spacing w:lineRule="auto" w:line="256"/>
        <w:jc w:val="left"/>
        <w:rPr>
          <w:rFonts w:ascii="Verdana;sans-serif" w:hAnsi="Verdana;sans-serif"/>
          <w:b w:val="false"/>
          <w:i/>
          <w:color w:val="000000"/>
          <w:sz w:val="18"/>
        </w:rPr>
      </w:pPr>
      <w:r>
        <w:rPr>
          <w:rFonts w:ascii="Verdana;sans-serif" w:hAnsi="Verdana;sans-serif"/>
          <w:b w:val="false"/>
          <w:i/>
          <w:color w:val="000000"/>
          <w:sz w:val="18"/>
        </w:rPr>
        <w:t xml:space="preserve">This press release contains forward-looking statements, forecasts and estimates, including those relating to the Company’s business. Words such as “anticipate,” “expect,” “future,” “potential,” “will” and variations of such words and similar expressions are intended to identify forward-looking statements. These forward-looking statements include statements concerning the potential therapeutic benefit of obefazimod, the expected timing for completion of the Phase 2b ENHANCE-CD induction trial of obefazimod and the availability and timing of results therefrom, the timing of regulatory filings including an NDA submission for obefazimod in UC, Abivax’s expectations for regulatory approval and commercialization of obefazimod for UC, Abivax’s cash runway, and other statements that are not historical fact. Although Abivax’s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Abivax,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French Autorité des Marchés Financiers pursuant to its legal obligations including its universal registration document (Document d’Enregistrement Universel) and in its Annual Report on Form 20-F for the fiscal year ended December 31, 2025 filed with the U.S. Securities and Exchange Commission on March 23, 2026, under the caption “Risk Factors.” These risks, contingencies and uncertainties include, among other things, the uncertainties inherent in research and development, future clinical data and analysis, decisions by regulatory authorities, such as the FDA or the EMA, regarding whether and when to approve any drug candidate, as well as their decisions regarding labelling and other matters that could affect the availability or commercial potential of such product candidates, and the availability of funding sufficient for the Company’s foreseeable and unforeseeable operating expenses and capital expenditure requirements. Special consideration should be given to the potential hurdles of clinical and pharmaceutical development, including further assessment by the Company and regulatory agencies and IRBs/ethics committees following the assessment of preclinical, pharmacokinetic, carcinogenicity, toxicity, CMC and clinical data. Furthermore, these forward-looking statements, forecasts and estimates are made only as of the date of this press release. Readers are cautioned not to place undue reliance on these forward-looking statements. Abivax disclaims any obligation to update these forward-looking statements, forecasts or estimates to reflect any subsequent changes that the Company becomes aware of, except as required by law. Information about pharmaceutical products (including products currently in development) that is included in this press release is not intended to constitute an advertisement. This press release is for information purposes only, and the information contained herein does not constitute either an offer to sell or the solicitation of an offer to purchase or subscribe for securities of the Company in any jurisdiction. Similarly, it does not give and should not be treated as giving investment advice. It has no connection with the investment objectives, financial situation or specific needs of any recipient. It should not be regarded by recipients as a substitute for exercise of their own judgment. All opinions expressed herein are subject to change without notice. The distribution of this document may be restricted by law in certain jurisdictions. Persons into whose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jc w:val="left"/>
        <w:rPr>
          <w:rFonts w:ascii="Verdana;sans-serif" w:hAnsi="Verdana;sans-serif"/>
          <w:b w:val="false"/>
          <w:i/>
          <w:color w:val="000000"/>
          <w:sz w:val="18"/>
        </w:rPr>
      </w:pPr>
      <w:r>
        <w:rPr>
          <w:rFonts w:ascii="Verdana;sans-serif" w:hAnsi="Verdana;sans-serif"/>
          <w:b w:val="false"/>
          <w:i/>
          <w:color w:val="000000"/>
          <w:sz w:val="18"/>
        </w:rPr>
        <w:t>possession this document comes are required to inform themselves about and to observe any such restrictions.</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25344</Words>
  <Characters>140555</Characters>
  <CharactersWithSpaces>163675</CharactersWithSpaces>
  <Paragraphs>3939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