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40" w:right="8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001-41842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Abivax SA</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+33 (0) 1 53 83 08 41</w:t>
      </w:r>
    </w:p>
    <w:p>
      <w:pPr>
        <w:spacing w:after="0" w:line="2" w:lineRule="exact"/>
        <w:rPr>
          <w:sz w:val="24"/>
          <w:szCs w:val="24"/>
          <w:color w:val="auto"/>
        </w:rPr>
      </w:pPr>
    </w:p>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Positive Topline Results from Part 2 of Phase 3 ABTECT 44-Week Maintenance Trial</w:t>
      </w:r>
    </w:p>
    <w:p>
      <w:pPr>
        <w:spacing w:after="0" w:line="121"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On June 29, 2026, Abivax SA (the “Registrant” or the “Company”) announced positive topline results from Part 2 of its Phase 3 ABTECT 44-week maintenance trial evaluating obefazimod, the Company’s potential first-in-class oral miR-124 enhancer, in moderate to severely active ulcerative colitis (“UC”). Part 2 of the Phase 3 maintenance trial enrolled patients who either did not achieve clinical response following induction treatment or who experienced disease relapse during the re-randomized maintenance trial (Part 1), expanding both the efficacy and safety results in a more refractory patient population than the registrational maintenance cohort. The additional safety results generated through Part 2 expand the Phase 3 maintenance database and provide important context for interpreting the safety findings reported following the Maintenance Part 1 readout.</w:t>
      </w:r>
    </w:p>
    <w:p>
      <w:pPr>
        <w:spacing w:after="0" w:line="187" w:lineRule="exact"/>
        <w:rPr>
          <w:sz w:val="20"/>
          <w:szCs w:val="20"/>
          <w:color w:val="auto"/>
        </w:rPr>
      </w:pPr>
    </w:p>
    <w:p>
      <w:pPr>
        <w:ind w:left="4" w:right="260"/>
        <w:spacing w:after="0" w:line="277" w:lineRule="auto"/>
        <w:rPr>
          <w:sz w:val="20"/>
          <w:szCs w:val="20"/>
          <w:color w:val="auto"/>
        </w:rPr>
      </w:pPr>
      <w:r>
        <w:rPr>
          <w:rFonts w:ascii="Times New Roman" w:cs="Times New Roman" w:eastAsia="Times New Roman" w:hAnsi="Times New Roman"/>
          <w:sz w:val="17"/>
          <w:szCs w:val="17"/>
          <w:color w:val="auto"/>
        </w:rPr>
        <w:t>Among patients who failed to achieve clinical response after 8 weeks of induction, continued treatment with obefazimod resulted in clinically meaningful rates of clinical, endoscopic, and combined histologic-endoscopic endpoints at Week 44. Patients treated continuously with 50 mg obefazimod demonstrated the strongest outcomes across all endpoints, including clinical remission (37.2%), clinical response (61.5%), endoscopic improvement (48.0%), Histologic-Endoscopic Mucosal Improvement (“HEMI”) (44.6%), and endoscopic remission (34.5%). These findings suggest that a clinically meaningful proportion of patients who do not initially respond may still derive substantial benefit from longer treatment exposure.</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90"/>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2 Induction Non-Responders – Exploratory Endpoints</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25 mg</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 mg</w:t>
            </w:r>
          </w:p>
        </w:tc>
        <w:tc>
          <w:tcPr>
            <w:tcW w:w="0" w:type="dxa"/>
            <w:vAlign w:val="bottom"/>
          </w:tcPr>
          <w:p>
            <w:pPr>
              <w:spacing w:after="0"/>
              <w:rPr>
                <w:sz w:val="1"/>
                <w:szCs w:val="1"/>
                <w:color w:val="auto"/>
              </w:rPr>
            </w:pPr>
          </w:p>
        </w:tc>
      </w:tr>
      <w:tr>
        <w:trPr>
          <w:trHeight w:val="109"/>
        </w:trPr>
        <w:tc>
          <w:tcPr>
            <w:tcW w:w="70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(N=81)</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(N=148)</w:t>
            </w: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Clinical Remission</w:t>
            </w: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Clinical Response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50.6%</w:t>
            </w:r>
          </w:p>
        </w:tc>
        <w:tc>
          <w:tcPr>
            <w:tcW w:w="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Improvement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HEMI</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4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Remission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Among patients who relapsed during Part 1 of the maintenance trial, re-treatment with 50 mg obefazimod resulted in meaningful rates of clinical remission, clinical response, endoscopic improvement, HEMI and endoscopic remission by Week 44. Patients who achieved clinical response with obefazimod during induction and relapsed after being re-randomized to placebo in Part 1 of the maintenance trial were treated with open-label 50 mg obefazimod and achieved clinical response and remission rates of 69.7% and 45.0%, respectively, while patients who relapsed on 25 mg and escalated to 50 mg achieved clinical response and clinical remission rates of 66.7% and 45.5%, respectively. These findings demonstrate the potential for obefazimod to re-establish disease control following relapse and support a flexible maintenance treatment strategy.</w:t>
      </w:r>
    </w:p>
    <w:p>
      <w:pPr>
        <w:spacing w:after="0" w:line="208" w:lineRule="exact"/>
        <w:rPr>
          <w:sz w:val="20"/>
          <w:szCs w:val="20"/>
          <w:color w:val="auto"/>
        </w:rPr>
      </w:pPr>
    </w:p>
    <w:tbl>
      <w:tblPr>
        <w:tblLayout w:type="fixed"/>
        <w:tblInd w:w="1324"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1 Relapsers – Exploratory Endpoints</w:t>
            </w:r>
          </w:p>
        </w:tc>
        <w:tc>
          <w:tcPr>
            <w:tcW w:w="182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 xml:space="preserve">Placebo </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b w:val="1"/>
                <w:bCs w:val="1"/>
                <w:color w:val="auto"/>
              </w:rPr>
              <w:t xml:space="preserve"> 50 mg</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25 mg </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b w:val="1"/>
                <w:bCs w:val="1"/>
                <w:color w:val="auto"/>
              </w:rPr>
              <w:t xml:space="preserve"> 50 mg</w:t>
            </w:r>
          </w:p>
        </w:tc>
        <w:tc>
          <w:tcPr>
            <w:tcW w:w="0" w:type="dxa"/>
            <w:vAlign w:val="bottom"/>
          </w:tcPr>
          <w:p>
            <w:pPr>
              <w:spacing w:after="0"/>
              <w:rPr>
                <w:sz w:val="1"/>
                <w:szCs w:val="1"/>
                <w:color w:val="auto"/>
              </w:rPr>
            </w:pPr>
          </w:p>
        </w:tc>
      </w:tr>
      <w:tr>
        <w:trPr>
          <w:trHeight w:val="109"/>
        </w:trPr>
        <w:tc>
          <w:tcPr>
            <w:tcW w:w="566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(N=109)</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(N=33)</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50 mg</w:t>
            </w:r>
          </w:p>
        </w:tc>
        <w:tc>
          <w:tcPr>
            <w:tcW w:w="8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50 mg</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Clinical Remission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Clinical Response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69.7%</w:t>
            </w:r>
          </w:p>
        </w:tc>
        <w:tc>
          <w:tcPr>
            <w:tcW w:w="8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Improvement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HEMI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47.7%</w:t>
            </w:r>
          </w:p>
        </w:tc>
        <w:tc>
          <w:tcPr>
            <w:tcW w:w="8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Endoscopic Remission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In Part 2, four total non-melanoma skin cancers (“NMSC”) events were reported, two in the 25 mg arm and two in the 50 mg arm which all occurred in patients with established NMSC risk factors including advanced age, thiopurine use, prior skin cancer history and failure of multiple prior advanced therapies. There were also two non-NMSC malignancies reported in the 50 mg arm, both deemed unrelated to obefazimod by the study investigators. The results are summarized below.</w:t>
      </w:r>
    </w:p>
    <w:p>
      <w:pPr>
        <w:spacing w:after="0" w:line="18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Summary Safety Events, n (%)</w:t>
            </w:r>
          </w:p>
        </w:tc>
        <w:tc>
          <w:tcPr>
            <w:tcW w:w="3660" w:type="dxa"/>
            <w:vAlign w:val="bottom"/>
            <w:vMerge w:val="restart"/>
          </w:tcPr>
          <w:p>
            <w:pPr>
              <w:spacing w:after="0"/>
              <w:rPr>
                <w:sz w:val="13"/>
                <w:szCs w:val="1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Obefazimod 25 mg</w:t>
            </w: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Obefazimod 50 mg</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N=186</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N=447*</w:t>
            </w: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Any treatment-emergent adverse event (“TEAE”)</w:t>
            </w:r>
          </w:p>
        </w:tc>
        <w:tc>
          <w:tcPr>
            <w:tcW w:w="116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132 (71.0%)</w:t>
            </w:r>
          </w:p>
        </w:tc>
        <w:tc>
          <w:tcPr>
            <w:tcW w:w="4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307 (68.7%)</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TEAE leading to study drug discontinuation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 (6.0%)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Serious TEAE</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 (8.6%)</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 (5.1%)</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Death (Non-Treatment Related)</w:t>
            </w:r>
            <w:r>
              <w:rPr>
                <w:rFonts w:ascii="Times New Roman" w:cs="Times New Roman" w:eastAsia="Times New Roman" w:hAnsi="Times New Roman"/>
                <w:sz w:val="25"/>
                <w:szCs w:val="25"/>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(0.5%)</w:t>
            </w: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Pregnancy</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(0.5%)</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(0.2%)</w:t>
            </w:r>
          </w:p>
        </w:tc>
        <w:tc>
          <w:tcPr>
            <w:tcW w:w="0" w:type="dxa"/>
            <w:vAlign w:val="bottom"/>
          </w:tcPr>
          <w:p>
            <w:pPr>
              <w:spacing w:after="0"/>
              <w:rPr>
                <w:sz w:val="1"/>
                <w:szCs w:val="1"/>
                <w:color w:val="auto"/>
              </w:rPr>
            </w:pPr>
          </w:p>
        </w:tc>
      </w:tr>
      <w:tr>
        <w:trPr>
          <w:trHeight w:val="198"/>
        </w:trPr>
        <w:tc>
          <w:tcPr>
            <w:tcW w:w="55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Serious/severe (Grade ≥3) infections and opportunistic</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infections</w:t>
            </w:r>
            <w:r>
              <w:rPr>
                <w:rFonts w:ascii="Times New Roman" w:cs="Times New Roman" w:eastAsia="Times New Roman" w:hAnsi="Times New Roman"/>
                <w:sz w:val="26"/>
                <w:szCs w:val="26"/>
                <w:color w:val="auto"/>
                <w:vertAlign w:val="superscript"/>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(1.1%)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Malignancies (excluding NMSC)</w:t>
            </w:r>
            <w:r>
              <w:rPr>
                <w:rFonts w:ascii="Times New Roman" w:cs="Times New Roman" w:eastAsia="Times New Roman" w:hAnsi="Times New Roman"/>
                <w:sz w:val="25"/>
                <w:szCs w:val="25"/>
                <w:color w:val="auto"/>
                <w:vertAlign w:val="superscript"/>
              </w:rPr>
              <w:t>(4)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 (0.4%)</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NMSC</w:t>
            </w:r>
            <w:r>
              <w:rPr>
                <w:rFonts w:ascii="Times New Roman" w:cs="Times New Roman" w:eastAsia="Times New Roman" w:hAnsi="Times New Roman"/>
                <w:sz w:val="25"/>
                <w:szCs w:val="25"/>
                <w:color w:val="auto"/>
                <w:vertAlign w:val="superscript"/>
              </w:rPr>
              <w:t>(5)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(0.4%)</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Acute pancreatitis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(0.5%)</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(0.2%)</w:t>
            </w:r>
          </w:p>
        </w:tc>
        <w:tc>
          <w:tcPr>
            <w:tcW w:w="0" w:type="dxa"/>
            <w:vAlign w:val="bottom"/>
          </w:tcPr>
          <w:p>
            <w:pPr>
              <w:spacing w:after="0"/>
              <w:rPr>
                <w:sz w:val="1"/>
                <w:szCs w:val="1"/>
                <w:color w:val="auto"/>
              </w:rPr>
            </w:pPr>
          </w:p>
        </w:tc>
      </w:tr>
      <w:tr>
        <w:trPr>
          <w:trHeight w:val="234"/>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Cardiac abnormalities suggestive of cardiac fibrosis</w:t>
            </w:r>
          </w:p>
        </w:tc>
        <w:tc>
          <w:tcPr>
            <w:tcW w:w="360" w:type="dxa"/>
            <w:vAlign w:val="bottom"/>
          </w:tcPr>
          <w:p>
            <w:pPr>
              <w:spacing w:after="0"/>
              <w:rPr>
                <w:sz w:val="20"/>
                <w:szCs w:val="20"/>
                <w:color w:val="auto"/>
              </w:rPr>
            </w:pPr>
          </w:p>
        </w:tc>
        <w:tc>
          <w:tcPr>
            <w:tcW w:w="800" w:type="dxa"/>
            <w:vAlign w:val="bottom"/>
          </w:tcPr>
          <w:p>
            <w:pPr>
              <w:jc w:val="center"/>
              <w:ind w:right="272"/>
              <w:spacing w:after="0"/>
              <w:rPr>
                <w:sz w:val="20"/>
                <w:szCs w:val="20"/>
                <w:color w:val="auto"/>
              </w:rPr>
            </w:pPr>
            <w:r>
              <w:rPr>
                <w:rFonts w:ascii="Times New Roman" w:cs="Times New Roman" w:eastAsia="Times New Roman" w:hAnsi="Times New Roman"/>
                <w:sz w:val="18"/>
                <w:szCs w:val="18"/>
                <w:color w:val="auto"/>
                <w:w w:val="88"/>
              </w:rPr>
              <w:t>0</w:t>
            </w:r>
          </w:p>
        </w:tc>
        <w:tc>
          <w:tcPr>
            <w:tcW w:w="4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4" w:right="200" w:hanging="424"/>
        <w:spacing w:after="0" w:line="233" w:lineRule="auto"/>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death occurred in the 25 mg arm and was assessed by the investigator as unrelated to obefazimod. The suspected cause was pulmonary embolism in a 65+ patient with multiple pre-existing thromboembolic risk factors, including prior pulmonary embolism, and recent prolonged immobility.</w:t>
      </w:r>
    </w:p>
    <w:p>
      <w:pPr>
        <w:ind w:left="424" w:hanging="424"/>
        <w:spacing w:after="0" w:line="221" w:lineRule="auto"/>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Both pregnancies are currently ongoing.</w:t>
      </w:r>
    </w:p>
    <w:p>
      <w:pPr>
        <w:jc w:val="both"/>
        <w:ind w:left="424" w:right="40" w:hanging="424"/>
        <w:spacing w:after="0" w:line="221" w:lineRule="auto"/>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Serious/severe (grade ≥3) infections and opportunistic infections: 25 mg = Appendicitis, Bartonellosis, Cytomegalovirus gastrointestinal infection, Peritonsillar abscess, Sepsis; 50 mg (induction non-responder) = Clostridium difficile infection, pilonidal disease, Urethritis gonococcal; 50 mg Open Label (Part 1 relapsers = Appendicitis (Part 1 50 mg), Septic arthritis staphylococcal (Part 1 placebo).</w:t>
      </w:r>
    </w:p>
    <w:p>
      <w:pPr>
        <w:ind w:left="424" w:hanging="424"/>
        <w:spacing w:after="0" w:line="221" w:lineRule="auto"/>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 1 relapsers previous on placebo: One case of Myoproliferative Neoplasm and one Prostate Cancer.</w:t>
      </w:r>
    </w:p>
    <w:p>
      <w:pPr>
        <w:ind w:left="424" w:hanging="424"/>
        <w:spacing w:after="0" w:line="221" w:lineRule="auto"/>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cases of Basal Cell Carcinoma (25 mg | 50 mg) and two cases of Squamous Cell Carcinoma (25 mg | 50 mg).</w:t>
      </w:r>
    </w:p>
    <w:p>
      <w:pPr>
        <w:ind w:left="424" w:hanging="424"/>
        <w:spacing w:after="0"/>
        <w:tabs>
          <w:tab w:leader="none" w:pos="42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combined induction non-responders on 50 mg in Part 2 (N=251) and Part 1 relapsers (N=196) who entered Part 2.</w:t>
      </w:r>
    </w:p>
    <w:p>
      <w:pPr>
        <w:sectPr>
          <w:pgSz w:w="11900" w:h="16838" w:orient="portrait"/>
          <w:cols w:equalWidth="0" w:num="1">
            <w:col w:w="11004"/>
          </w:cols>
          <w:pgMar w:left="436" w:top="266" w:right="4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91"/>
        </w:trPr>
        <w:tc>
          <w:tcPr>
            <w:tcW w:w="660" w:type="dxa"/>
            <w:vAlign w:val="bottom"/>
            <w:tcBorders>
              <w:top w:val="single" w:sz="8" w:color="auto"/>
              <w:left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Malignancy</w:t>
            </w:r>
          </w:p>
        </w:tc>
        <w:tc>
          <w:tcPr>
            <w:tcW w:w="10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 to</w:t>
            </w:r>
          </w:p>
        </w:tc>
        <w:tc>
          <w:tcPr>
            <w:tcW w:w="54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Thiopurine</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Prior Advanced</w:t>
            </w:r>
          </w:p>
        </w:tc>
        <w:tc>
          <w:tcPr>
            <w:tcW w:w="1480" w:type="dxa"/>
            <w:vAlign w:val="bottom"/>
            <w:tcBorders>
              <w:top w:val="single" w:sz="8" w:color="auto"/>
              <w:right w:val="single" w:sz="8" w:color="auto"/>
            </w:tcBorders>
            <w:vMerge w:val="restart"/>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Other Prior UC</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Medical History</w:t>
            </w:r>
          </w:p>
        </w:tc>
        <w:tc>
          <w:tcPr>
            <w:tcW w:w="19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08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  Age</w:t>
            </w:r>
          </w:p>
        </w:tc>
        <w:tc>
          <w:tcPr>
            <w:tcW w:w="124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0" w:type="dxa"/>
            <w:vAlign w:val="bottom"/>
          </w:tcPr>
          <w:p>
            <w:pPr>
              <w:spacing w:after="0"/>
              <w:rPr>
                <w:sz w:val="1"/>
                <w:szCs w:val="1"/>
                <w:color w:val="auto"/>
              </w:rPr>
            </w:pPr>
          </w:p>
        </w:tc>
      </w:tr>
      <w:tr>
        <w:trPr>
          <w:trHeight w:val="68"/>
        </w:trPr>
        <w:tc>
          <w:tcPr>
            <w:tcW w:w="660" w:type="dxa"/>
            <w:vAlign w:val="bottom"/>
            <w:tcBorders>
              <w:left w:val="single" w:sz="8" w:color="auto"/>
              <w:right w:val="single" w:sz="8" w:color="auto"/>
            </w:tcBorders>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Obefazimod</w:t>
            </w:r>
          </w:p>
        </w:tc>
        <w:tc>
          <w:tcPr>
            <w:tcW w:w="54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History</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Therapies</w:t>
            </w:r>
          </w:p>
        </w:tc>
        <w:tc>
          <w:tcPr>
            <w:tcW w:w="1480" w:type="dxa"/>
            <w:vAlign w:val="bottom"/>
            <w:tcBorders>
              <w:right w:val="single" w:sz="8" w:color="auto"/>
            </w:tcBorders>
            <w:vMerge w:val="restart"/>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Cancer</w:t>
            </w:r>
          </w:p>
        </w:tc>
        <w:tc>
          <w:tcPr>
            <w:tcW w:w="1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NMSC)</w:t>
            </w:r>
          </w:p>
        </w:tc>
        <w:tc>
          <w:tcPr>
            <w:tcW w:w="108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60" w:type="dxa"/>
            <w:vAlign w:val="bottom"/>
            <w:tcBorders>
              <w:left w:val="single" w:sz="8" w:color="auto"/>
              <w:right w:val="single" w:sz="8" w:color="auto"/>
            </w:tcBorders>
            <w:vMerge w:val="continue"/>
          </w:tcPr>
          <w:p>
            <w:pPr>
              <w:spacing w:after="0"/>
              <w:rPr>
                <w:sz w:val="5"/>
                <w:szCs w:val="5"/>
                <w:color w:val="auto"/>
              </w:rPr>
            </w:pPr>
          </w:p>
        </w:tc>
        <w:tc>
          <w:tcPr>
            <w:tcW w:w="166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66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66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Thrombocythemia since</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2023. Had elevated</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Myeloproliferative</w:t>
            </w: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platelets at baseline</w:t>
            </w:r>
          </w:p>
        </w:tc>
        <w:tc>
          <w:tcPr>
            <w:tcW w:w="0" w:type="dxa"/>
            <w:vAlign w:val="bottom"/>
          </w:tcPr>
          <w:p>
            <w:pPr>
              <w:spacing w:after="0"/>
              <w:rPr>
                <w:sz w:val="1"/>
                <w:szCs w:val="1"/>
                <w:color w:val="auto"/>
              </w:rPr>
            </w:pPr>
          </w:p>
        </w:tc>
      </w:tr>
      <w:tr>
        <w:trPr>
          <w:trHeight w:val="248"/>
        </w:trPr>
        <w:tc>
          <w:tcPr>
            <w:tcW w:w="66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vMerge w:val="continue"/>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 months</w:t>
            </w: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tcBorders>
              <w:right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No</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(adalimumab,</w:t>
            </w:r>
          </w:p>
        </w:tc>
        <w:tc>
          <w:tcPr>
            <w:tcW w:w="1480" w:type="dxa"/>
            <w:vAlign w:val="bottom"/>
            <w:tcBorders>
              <w:right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mesalazine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(909,000 per microliter)</w:t>
            </w:r>
          </w:p>
        </w:tc>
        <w:tc>
          <w:tcPr>
            <w:tcW w:w="0" w:type="dxa"/>
            <w:vAlign w:val="bottom"/>
          </w:tcPr>
          <w:p>
            <w:pPr>
              <w:spacing w:after="0"/>
              <w:rPr>
                <w:sz w:val="1"/>
                <w:szCs w:val="1"/>
                <w:color w:val="auto"/>
              </w:rPr>
            </w:pPr>
          </w:p>
        </w:tc>
      </w:tr>
      <w:tr>
        <w:trPr>
          <w:trHeight w:val="203"/>
        </w:trPr>
        <w:tc>
          <w:tcPr>
            <w:tcW w:w="66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Neoplasm (MPN)</w:t>
            </w:r>
          </w:p>
        </w:tc>
        <w:tc>
          <w:tcPr>
            <w:tcW w:w="10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infliximab)</w:t>
            </w:r>
          </w:p>
        </w:tc>
        <w:tc>
          <w:tcPr>
            <w:tcW w:w="14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Determined not related</w:t>
            </w:r>
          </w:p>
        </w:tc>
        <w:tc>
          <w:tcPr>
            <w:tcW w:w="0" w:type="dxa"/>
            <w:vAlign w:val="bottom"/>
          </w:tcPr>
          <w:p>
            <w:pPr>
              <w:spacing w:after="0"/>
              <w:rPr>
                <w:sz w:val="1"/>
                <w:szCs w:val="1"/>
                <w:color w:val="auto"/>
              </w:rPr>
            </w:pPr>
          </w:p>
        </w:tc>
      </w:tr>
      <w:tr>
        <w:trPr>
          <w:trHeight w:val="54"/>
        </w:trPr>
        <w:tc>
          <w:tcPr>
            <w:tcW w:w="6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study drug by</w:t>
            </w:r>
          </w:p>
        </w:tc>
        <w:tc>
          <w:tcPr>
            <w:tcW w:w="0" w:type="dxa"/>
            <w:vAlign w:val="bottom"/>
          </w:tcPr>
          <w:p>
            <w:pPr>
              <w:spacing w:after="0"/>
              <w:rPr>
                <w:sz w:val="1"/>
                <w:szCs w:val="1"/>
                <w:color w:val="auto"/>
              </w:rPr>
            </w:pPr>
          </w:p>
        </w:tc>
      </w:tr>
      <w:tr>
        <w:trPr>
          <w:trHeight w:val="180"/>
        </w:trPr>
        <w:tc>
          <w:tcPr>
            <w:tcW w:w="660" w:type="dxa"/>
            <w:vAlign w:val="bottom"/>
            <w:tcBorders>
              <w:left w:val="single" w:sz="8" w:color="auto"/>
              <w:right w:val="single" w:sz="8" w:color="auto"/>
            </w:tcBorders>
            <w:vMerge w:val="continue"/>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investigator</w:t>
            </w:r>
          </w:p>
        </w:tc>
        <w:tc>
          <w:tcPr>
            <w:tcW w:w="0" w:type="dxa"/>
            <w:vAlign w:val="bottom"/>
          </w:tcPr>
          <w:p>
            <w:pPr>
              <w:spacing w:after="0"/>
              <w:rPr>
                <w:sz w:val="1"/>
                <w:szCs w:val="1"/>
                <w:color w:val="auto"/>
              </w:rPr>
            </w:pPr>
          </w:p>
        </w:tc>
      </w:tr>
      <w:tr>
        <w:trPr>
          <w:trHeight w:val="68"/>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mg</w:t>
            </w:r>
          </w:p>
        </w:tc>
        <w:tc>
          <w:tcPr>
            <w:tcW w:w="16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60" w:type="dxa"/>
            <w:vAlign w:val="bottom"/>
            <w:tcBorders>
              <w:left w:val="single" w:sz="8" w:color="auto"/>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Limited adenocarcinoma</w:t>
            </w:r>
          </w:p>
        </w:tc>
        <w:tc>
          <w:tcPr>
            <w:tcW w:w="0" w:type="dxa"/>
            <w:vAlign w:val="bottom"/>
          </w:tcPr>
          <w:p>
            <w:pPr>
              <w:spacing w:after="0"/>
              <w:rPr>
                <w:sz w:val="1"/>
                <w:szCs w:val="1"/>
                <w:color w:val="auto"/>
              </w:rPr>
            </w:pPr>
          </w:p>
        </w:tc>
      </w:tr>
      <w:tr>
        <w:trPr>
          <w:trHeight w:val="166"/>
        </w:trPr>
        <w:tc>
          <w:tcPr>
            <w:tcW w:w="66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80" w:type="dxa"/>
            <w:vAlign w:val="bottom"/>
            <w:tcBorders>
              <w:right w:val="single" w:sz="8" w:color="auto"/>
            </w:tcBorders>
            <w:vMerge w:val="restart"/>
          </w:tcPr>
          <w:p>
            <w:pPr>
              <w:jc w:val="center"/>
              <w:ind w:left="54"/>
              <w:spacing w:after="0"/>
              <w:rPr>
                <w:sz w:val="20"/>
                <w:szCs w:val="20"/>
                <w:color w:val="auto"/>
              </w:rPr>
            </w:pPr>
            <w:r>
              <w:rPr>
                <w:rFonts w:ascii="Times New Roman" w:cs="Times New Roman" w:eastAsia="Times New Roman" w:hAnsi="Times New Roman"/>
                <w:sz w:val="18"/>
                <w:szCs w:val="18"/>
                <w:color w:val="auto"/>
              </w:rPr>
              <w:t>prednisolone,</w:t>
            </w: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the prostate CT2 CN0</w:t>
            </w:r>
          </w:p>
        </w:tc>
        <w:tc>
          <w:tcPr>
            <w:tcW w:w="0" w:type="dxa"/>
            <w:vAlign w:val="bottom"/>
          </w:tcPr>
          <w:p>
            <w:pPr>
              <w:spacing w:after="0"/>
              <w:rPr>
                <w:sz w:val="1"/>
                <w:szCs w:val="1"/>
                <w:color w:val="auto"/>
              </w:rPr>
            </w:pPr>
          </w:p>
        </w:tc>
      </w:tr>
      <w:tr>
        <w:trPr>
          <w:trHeight w:val="108"/>
        </w:trPr>
        <w:tc>
          <w:tcPr>
            <w:tcW w:w="66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8"/>
                <w:szCs w:val="18"/>
                <w:color w:val="auto"/>
                <w:w w:val="99"/>
              </w:rPr>
              <w:t>Yes</w:t>
            </w:r>
          </w:p>
        </w:tc>
        <w:tc>
          <w:tcPr>
            <w:tcW w:w="12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M0; Gleason score 7B</w:t>
            </w:r>
          </w:p>
        </w:tc>
        <w:tc>
          <w:tcPr>
            <w:tcW w:w="0" w:type="dxa"/>
            <w:vAlign w:val="bottom"/>
          </w:tcPr>
          <w:p>
            <w:pPr>
              <w:spacing w:after="0"/>
              <w:rPr>
                <w:sz w:val="1"/>
                <w:szCs w:val="1"/>
                <w:color w:val="auto"/>
              </w:rPr>
            </w:pPr>
          </w:p>
        </w:tc>
      </w:tr>
      <w:tr>
        <w:trPr>
          <w:trHeight w:val="108"/>
        </w:trPr>
        <w:tc>
          <w:tcPr>
            <w:tcW w:w="66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Prostate Cancer</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 months</w:t>
            </w:r>
          </w:p>
        </w:tc>
        <w:tc>
          <w:tcPr>
            <w:tcW w:w="5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(infliximab,</w:t>
            </w:r>
          </w:p>
        </w:tc>
        <w:tc>
          <w:tcPr>
            <w:tcW w:w="1480" w:type="dxa"/>
            <w:vAlign w:val="bottom"/>
            <w:tcBorders>
              <w:right w:val="single" w:sz="8" w:color="auto"/>
            </w:tcBorders>
            <w:vMerge w:val="restart"/>
          </w:tcPr>
          <w:p>
            <w:pPr>
              <w:jc w:val="center"/>
              <w:ind w:left="34"/>
              <w:spacing w:after="0"/>
              <w:rPr>
                <w:sz w:val="20"/>
                <w:szCs w:val="20"/>
                <w:color w:val="auto"/>
              </w:rPr>
            </w:pPr>
            <w:r>
              <w:rPr>
                <w:rFonts w:ascii="Times New Roman" w:cs="Times New Roman" w:eastAsia="Times New Roman" w:hAnsi="Times New Roman"/>
                <w:sz w:val="18"/>
                <w:szCs w:val="18"/>
                <w:color w:val="auto"/>
                <w:w w:val="99"/>
              </w:rPr>
              <w:t>mesalazine,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8"/>
                <w:szCs w:val="18"/>
                <w:color w:val="auto"/>
                <w:w w:val="98"/>
              </w:rPr>
              <w:t>azathioprine</w:t>
            </w:r>
          </w:p>
        </w:tc>
        <w:tc>
          <w:tcPr>
            <w:tcW w:w="12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6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vedolizumab)</w:t>
            </w:r>
          </w:p>
        </w:tc>
        <w:tc>
          <w:tcPr>
            <w:tcW w:w="1480" w:type="dxa"/>
            <w:vAlign w:val="bottom"/>
            <w:tcBorders>
              <w:right w:val="single" w:sz="8" w:color="auto"/>
            </w:tcBorders>
            <w:vMerge w:val="restart"/>
          </w:tcPr>
          <w:p>
            <w:pPr>
              <w:jc w:val="center"/>
              <w:ind w:left="54"/>
              <w:spacing w:after="0"/>
              <w:rPr>
                <w:sz w:val="20"/>
                <w:szCs w:val="20"/>
                <w:color w:val="auto"/>
              </w:rPr>
            </w:pPr>
            <w:r>
              <w:rPr>
                <w:rFonts w:ascii="Times New Roman" w:cs="Times New Roman" w:eastAsia="Times New Roman" w:hAnsi="Times New Roman"/>
                <w:sz w:val="18"/>
                <w:szCs w:val="18"/>
                <w:color w:val="auto"/>
                <w:w w:val="99"/>
              </w:rPr>
              <w:t>budesonide</w:t>
            </w:r>
          </w:p>
        </w:tc>
        <w:tc>
          <w:tcPr>
            <w:tcW w:w="12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Determined not related</w:t>
            </w:r>
          </w:p>
        </w:tc>
        <w:tc>
          <w:tcPr>
            <w:tcW w:w="0" w:type="dxa"/>
            <w:vAlign w:val="bottom"/>
          </w:tcPr>
          <w:p>
            <w:pPr>
              <w:spacing w:after="0"/>
              <w:rPr>
                <w:sz w:val="1"/>
                <w:szCs w:val="1"/>
                <w:color w:val="auto"/>
              </w:rPr>
            </w:pPr>
          </w:p>
        </w:tc>
      </w:tr>
      <w:tr>
        <w:trPr>
          <w:trHeight w:val="103"/>
        </w:trPr>
        <w:tc>
          <w:tcPr>
            <w:tcW w:w="66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study drug by</w:t>
            </w:r>
          </w:p>
        </w:tc>
        <w:tc>
          <w:tcPr>
            <w:tcW w:w="0" w:type="dxa"/>
            <w:vAlign w:val="bottom"/>
          </w:tcPr>
          <w:p>
            <w:pPr>
              <w:spacing w:after="0"/>
              <w:rPr>
                <w:sz w:val="1"/>
                <w:szCs w:val="1"/>
                <w:color w:val="auto"/>
              </w:rPr>
            </w:pPr>
          </w:p>
        </w:tc>
      </w:tr>
      <w:tr>
        <w:trPr>
          <w:trHeight w:val="241"/>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investigator</w:t>
            </w:r>
          </w:p>
        </w:tc>
        <w:tc>
          <w:tcPr>
            <w:tcW w:w="0" w:type="dxa"/>
            <w:vAlign w:val="bottom"/>
          </w:tcPr>
          <w:p>
            <w:pPr>
              <w:spacing w:after="0"/>
              <w:rPr>
                <w:sz w:val="1"/>
                <w:szCs w:val="1"/>
                <w:color w:val="auto"/>
              </w:rPr>
            </w:pPr>
          </w:p>
        </w:tc>
      </w:tr>
      <w:tr>
        <w:trPr>
          <w:trHeight w:val="216"/>
        </w:trPr>
        <w:tc>
          <w:tcPr>
            <w:tcW w:w="6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NMSC</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 to</w:t>
            </w:r>
          </w:p>
        </w:tc>
        <w:tc>
          <w:tcPr>
            <w:tcW w:w="5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40" w:type="dxa"/>
            <w:vAlign w:val="bottom"/>
            <w:tcBorders>
              <w:right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Thiopurine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Advanced</w:t>
            </w:r>
          </w:p>
        </w:tc>
        <w:tc>
          <w:tcPr>
            <w:tcW w:w="1480" w:type="dxa"/>
            <w:vAlign w:val="bottom"/>
            <w:tcBorders>
              <w:right w:val="single" w:sz="8" w:color="auto"/>
            </w:tcBorders>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Other Prior UC</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Medical History</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0" w:type="dxa"/>
            <w:vAlign w:val="bottom"/>
          </w:tcPr>
          <w:p>
            <w:pPr>
              <w:spacing w:after="0"/>
              <w:rPr>
                <w:sz w:val="1"/>
                <w:szCs w:val="1"/>
                <w:color w:val="auto"/>
              </w:rPr>
            </w:pPr>
          </w:p>
        </w:tc>
      </w:tr>
      <w:tr>
        <w:trPr>
          <w:trHeight w:val="109"/>
        </w:trPr>
        <w:tc>
          <w:tcPr>
            <w:tcW w:w="66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Obefazimod</w:t>
            </w:r>
          </w:p>
        </w:tc>
        <w:tc>
          <w:tcPr>
            <w:tcW w:w="5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History</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Therapies</w:t>
            </w:r>
          </w:p>
        </w:tc>
        <w:tc>
          <w:tcPr>
            <w:tcW w:w="1480" w:type="dxa"/>
            <w:vAlign w:val="bottom"/>
            <w:tcBorders>
              <w:right w:val="single" w:sz="8" w:color="auto"/>
            </w:tcBorders>
            <w:vMerge w:val="restart"/>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Skin Cancer</w:t>
            </w: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660" w:type="dxa"/>
            <w:vAlign w:val="bottom"/>
            <w:tcBorders>
              <w:left w:val="single" w:sz="8" w:color="auto"/>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66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Thiopurine use and</w:t>
            </w:r>
          </w:p>
        </w:tc>
        <w:tc>
          <w:tcPr>
            <w:tcW w:w="0" w:type="dxa"/>
            <w:vAlign w:val="bottom"/>
          </w:tcPr>
          <w:p>
            <w:pPr>
              <w:spacing w:after="0"/>
              <w:rPr>
                <w:sz w:val="1"/>
                <w:szCs w:val="1"/>
                <w:color w:val="auto"/>
              </w:rPr>
            </w:pPr>
          </w:p>
        </w:tc>
      </w:tr>
      <w:tr>
        <w:trPr>
          <w:trHeight w:val="234"/>
        </w:trPr>
        <w:tc>
          <w:tcPr>
            <w:tcW w:w="66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failure of 3 prior</w:t>
            </w:r>
          </w:p>
        </w:tc>
        <w:tc>
          <w:tcPr>
            <w:tcW w:w="0" w:type="dxa"/>
            <w:vAlign w:val="bottom"/>
          </w:tcPr>
          <w:p>
            <w:pPr>
              <w:spacing w:after="0"/>
              <w:rPr>
                <w:sz w:val="1"/>
                <w:szCs w:val="1"/>
                <w:color w:val="auto"/>
              </w:rPr>
            </w:pPr>
          </w:p>
        </w:tc>
      </w:tr>
      <w:tr>
        <w:trPr>
          <w:trHeight w:val="252"/>
        </w:trPr>
        <w:tc>
          <w:tcPr>
            <w:tcW w:w="66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Basal Cell</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10.4 months</w:t>
            </w:r>
          </w:p>
        </w:tc>
        <w:tc>
          <w:tcPr>
            <w:tcW w:w="5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tcBorders>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Yes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vedolizumab,</w:t>
            </w:r>
          </w:p>
        </w:tc>
        <w:tc>
          <w:tcPr>
            <w:tcW w:w="1480" w:type="dxa"/>
            <w:vAlign w:val="bottom"/>
            <w:tcBorders>
              <w:right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mesalazine,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advanced therapies</w:t>
            </w:r>
          </w:p>
        </w:tc>
        <w:tc>
          <w:tcPr>
            <w:tcW w:w="0" w:type="dxa"/>
            <w:vAlign w:val="bottom"/>
          </w:tcPr>
          <w:p>
            <w:pPr>
              <w:spacing w:after="0"/>
              <w:rPr>
                <w:sz w:val="1"/>
                <w:szCs w:val="1"/>
                <w:color w:val="auto"/>
              </w:rPr>
            </w:pPr>
          </w:p>
        </w:tc>
      </w:tr>
      <w:tr>
        <w:trPr>
          <w:trHeight w:val="140"/>
        </w:trPr>
        <w:tc>
          <w:tcPr>
            <w:tcW w:w="66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Carcinoma</w:t>
            </w:r>
          </w:p>
        </w:tc>
        <w:tc>
          <w:tcPr>
            <w:tcW w:w="1080" w:type="dxa"/>
            <w:vAlign w:val="bottom"/>
            <w:tcBorders>
              <w:right w:val="single" w:sz="8" w:color="auto"/>
            </w:tcBorders>
            <w:vMerge w:val="continue"/>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8"/>
                <w:szCs w:val="18"/>
                <w:color w:val="auto"/>
                <w:w w:val="98"/>
              </w:rPr>
              <w:t>azathioprine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infliximab,</w:t>
            </w:r>
          </w:p>
        </w:tc>
        <w:tc>
          <w:tcPr>
            <w:tcW w:w="1480" w:type="dxa"/>
            <w:vAlign w:val="bottom"/>
            <w:tcBorders>
              <w:right w:val="single" w:sz="8" w:color="auto"/>
            </w:tcBorders>
            <w:vMerge w:val="restart"/>
          </w:tcPr>
          <w:p>
            <w:pPr>
              <w:jc w:val="center"/>
              <w:ind w:left="54"/>
              <w:spacing w:after="0"/>
              <w:rPr>
                <w:sz w:val="20"/>
                <w:szCs w:val="20"/>
                <w:color w:val="auto"/>
              </w:rPr>
            </w:pPr>
            <w:r>
              <w:rPr>
                <w:rFonts w:ascii="Times New Roman" w:cs="Times New Roman" w:eastAsia="Times New Roman" w:hAnsi="Times New Roman"/>
                <w:sz w:val="18"/>
                <w:szCs w:val="18"/>
                <w:color w:val="auto"/>
                <w:w w:val="98"/>
              </w:rPr>
              <w:t>prednisone</w:t>
            </w:r>
          </w:p>
        </w:tc>
        <w:tc>
          <w:tcPr>
            <w:tcW w:w="1200" w:type="dxa"/>
            <w:vAlign w:val="bottom"/>
            <w:tcBorders>
              <w:right w:val="single" w:sz="8" w:color="auto"/>
            </w:tcBorders>
            <w:vMerge w:val="continue"/>
          </w:tcPr>
          <w:p>
            <w:pPr>
              <w:spacing w:after="0"/>
              <w:rPr>
                <w:sz w:val="12"/>
                <w:szCs w:val="12"/>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Determined probably</w:t>
            </w:r>
          </w:p>
        </w:tc>
        <w:tc>
          <w:tcPr>
            <w:tcW w:w="0" w:type="dxa"/>
            <w:vAlign w:val="bottom"/>
          </w:tcPr>
          <w:p>
            <w:pPr>
              <w:spacing w:after="0"/>
              <w:rPr>
                <w:sz w:val="1"/>
                <w:szCs w:val="1"/>
                <w:color w:val="auto"/>
              </w:rPr>
            </w:pPr>
          </w:p>
        </w:tc>
      </w:tr>
      <w:tr>
        <w:trPr>
          <w:trHeight w:val="108"/>
        </w:trPr>
        <w:tc>
          <w:tcPr>
            <w:tcW w:w="66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ustekinumab</w:t>
            </w: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related to study drug by</w:t>
            </w:r>
          </w:p>
        </w:tc>
        <w:tc>
          <w:tcPr>
            <w:tcW w:w="0" w:type="dxa"/>
            <w:vAlign w:val="bottom"/>
          </w:tcPr>
          <w:p>
            <w:pPr>
              <w:spacing w:after="0"/>
              <w:rPr>
                <w:sz w:val="1"/>
                <w:szCs w:val="1"/>
                <w:color w:val="auto"/>
              </w:rPr>
            </w:pPr>
          </w:p>
        </w:tc>
      </w:tr>
      <w:tr>
        <w:trPr>
          <w:trHeight w:val="36"/>
        </w:trPr>
        <w:tc>
          <w:tcPr>
            <w:tcW w:w="660" w:type="dxa"/>
            <w:vAlign w:val="bottom"/>
            <w:tcBorders>
              <w:left w:val="single" w:sz="8" w:color="auto"/>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9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investigator</w:t>
            </w:r>
          </w:p>
        </w:tc>
        <w:tc>
          <w:tcPr>
            <w:tcW w:w="0" w:type="dxa"/>
            <w:vAlign w:val="bottom"/>
          </w:tcPr>
          <w:p>
            <w:pPr>
              <w:spacing w:after="0"/>
              <w:rPr>
                <w:sz w:val="1"/>
                <w:szCs w:val="1"/>
                <w:color w:val="auto"/>
              </w:rPr>
            </w:pPr>
          </w:p>
        </w:tc>
      </w:tr>
      <w:tr>
        <w:trPr>
          <w:trHeight w:val="76"/>
        </w:trPr>
        <w:tc>
          <w:tcPr>
            <w:tcW w:w="660" w:type="dxa"/>
            <w:vAlign w:val="bottom"/>
            <w:tcBorders>
              <w:left w:val="single" w:sz="8" w:color="auto"/>
              <w:right w:val="single" w:sz="8" w:color="auto"/>
            </w:tcBorders>
            <w:vMerge w:val="continue"/>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08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Prior history of</w:t>
            </w:r>
          </w:p>
        </w:tc>
        <w:tc>
          <w:tcPr>
            <w:tcW w:w="0" w:type="dxa"/>
            <w:vAlign w:val="bottom"/>
          </w:tcPr>
          <w:p>
            <w:pPr>
              <w:spacing w:after="0"/>
              <w:rPr>
                <w:sz w:val="1"/>
                <w:szCs w:val="1"/>
                <w:color w:val="auto"/>
              </w:rPr>
            </w:pPr>
          </w:p>
        </w:tc>
      </w:tr>
      <w:tr>
        <w:trPr>
          <w:trHeight w:val="122"/>
        </w:trPr>
        <w:tc>
          <w:tcPr>
            <w:tcW w:w="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mg</w:t>
            </w:r>
          </w:p>
        </w:tc>
        <w:tc>
          <w:tcPr>
            <w:tcW w:w="16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6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squamous cell carcinoma</w:t>
            </w:r>
          </w:p>
        </w:tc>
        <w:tc>
          <w:tcPr>
            <w:tcW w:w="0" w:type="dxa"/>
            <w:vAlign w:val="bottom"/>
          </w:tcPr>
          <w:p>
            <w:pPr>
              <w:spacing w:after="0"/>
              <w:rPr>
                <w:sz w:val="1"/>
                <w:szCs w:val="1"/>
                <w:color w:val="auto"/>
              </w:rPr>
            </w:pPr>
          </w:p>
        </w:tc>
      </w:tr>
      <w:tr>
        <w:trPr>
          <w:trHeight w:val="103"/>
        </w:trPr>
        <w:tc>
          <w:tcPr>
            <w:tcW w:w="66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Squamous Cell</w:t>
            </w: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8"/>
                <w:szCs w:val="18"/>
                <w:color w:val="auto"/>
                <w:w w:val="99"/>
              </w:rPr>
              <w:t>Yes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history of multiple</w:t>
            </w:r>
          </w:p>
        </w:tc>
        <w:tc>
          <w:tcPr>
            <w:tcW w:w="0" w:type="dxa"/>
            <w:vAlign w:val="bottom"/>
          </w:tcPr>
          <w:p>
            <w:pPr>
              <w:spacing w:after="0"/>
              <w:rPr>
                <w:sz w:val="1"/>
                <w:szCs w:val="1"/>
                <w:color w:val="auto"/>
              </w:rPr>
            </w:pPr>
          </w:p>
        </w:tc>
      </w:tr>
      <w:tr>
        <w:trPr>
          <w:trHeight w:val="248"/>
        </w:trPr>
        <w:tc>
          <w:tcPr>
            <w:tcW w:w="66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vMerge w:val="continue"/>
          </w:tcPr>
          <w:p>
            <w:pPr>
              <w:spacing w:after="0"/>
              <w:rPr>
                <w:sz w:val="21"/>
                <w:szCs w:val="21"/>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 months</w:t>
            </w: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Borders>
              <w:right w:val="single" w:sz="8" w:color="auto"/>
            </w:tcBorders>
            <w:vMerge w:val="continue"/>
          </w:tcPr>
          <w:p>
            <w:pPr>
              <w:spacing w:after="0"/>
              <w:rPr>
                <w:sz w:val="21"/>
                <w:szCs w:val="21"/>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adalimumab,</w:t>
            </w:r>
          </w:p>
        </w:tc>
        <w:tc>
          <w:tcPr>
            <w:tcW w:w="1480" w:type="dxa"/>
            <w:vAlign w:val="bottom"/>
            <w:tcBorders>
              <w:right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w w:val="99"/>
              </w:rPr>
              <w:t>budesonide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skin lesions</w:t>
            </w:r>
          </w:p>
        </w:tc>
        <w:tc>
          <w:tcPr>
            <w:tcW w:w="0" w:type="dxa"/>
            <w:vAlign w:val="bottom"/>
          </w:tcPr>
          <w:p>
            <w:pPr>
              <w:spacing w:after="0"/>
              <w:rPr>
                <w:sz w:val="1"/>
                <w:szCs w:val="1"/>
                <w:color w:val="auto"/>
              </w:rPr>
            </w:pPr>
          </w:p>
        </w:tc>
      </w:tr>
      <w:tr>
        <w:trPr>
          <w:trHeight w:val="203"/>
        </w:trPr>
        <w:tc>
          <w:tcPr>
            <w:tcW w:w="66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Carcinoma</w:t>
            </w:r>
          </w:p>
        </w:tc>
        <w:tc>
          <w:tcPr>
            <w:tcW w:w="10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ind w:left="35"/>
              <w:spacing w:after="0" w:line="202" w:lineRule="exact"/>
              <w:rPr>
                <w:sz w:val="20"/>
                <w:szCs w:val="20"/>
                <w:color w:val="auto"/>
              </w:rPr>
            </w:pPr>
            <w:r>
              <w:rPr>
                <w:rFonts w:ascii="Times New Roman" w:cs="Times New Roman" w:eastAsia="Times New Roman" w:hAnsi="Times New Roman"/>
                <w:sz w:val="18"/>
                <w:szCs w:val="18"/>
                <w:color w:val="auto"/>
                <w:w w:val="98"/>
              </w:rPr>
              <w:t>azathioprine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vedolizumab</w:t>
            </w:r>
          </w:p>
        </w:tc>
        <w:tc>
          <w:tcPr>
            <w:tcW w:w="14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Determined not related</w:t>
            </w:r>
          </w:p>
        </w:tc>
        <w:tc>
          <w:tcPr>
            <w:tcW w:w="0" w:type="dxa"/>
            <w:vAlign w:val="bottom"/>
          </w:tcPr>
          <w:p>
            <w:pPr>
              <w:spacing w:after="0"/>
              <w:rPr>
                <w:sz w:val="1"/>
                <w:szCs w:val="1"/>
                <w:color w:val="auto"/>
              </w:rPr>
            </w:pPr>
          </w:p>
        </w:tc>
      </w:tr>
      <w:tr>
        <w:trPr>
          <w:trHeight w:val="54"/>
        </w:trPr>
        <w:tc>
          <w:tcPr>
            <w:tcW w:w="6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660" w:type="dxa"/>
            <w:vAlign w:val="bottom"/>
            <w:tcBorders>
              <w:left w:val="single" w:sz="8" w:color="auto"/>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study drug by</w:t>
            </w:r>
          </w:p>
        </w:tc>
        <w:tc>
          <w:tcPr>
            <w:tcW w:w="0" w:type="dxa"/>
            <w:vAlign w:val="bottom"/>
          </w:tcPr>
          <w:p>
            <w:pPr>
              <w:spacing w:after="0"/>
              <w:rPr>
                <w:sz w:val="1"/>
                <w:szCs w:val="1"/>
                <w:color w:val="auto"/>
              </w:rPr>
            </w:pPr>
          </w:p>
        </w:tc>
      </w:tr>
      <w:tr>
        <w:trPr>
          <w:trHeight w:val="241"/>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investigator</w:t>
            </w:r>
          </w:p>
        </w:tc>
        <w:tc>
          <w:tcPr>
            <w:tcW w:w="0" w:type="dxa"/>
            <w:vAlign w:val="bottom"/>
          </w:tcPr>
          <w:p>
            <w:pPr>
              <w:spacing w:after="0"/>
              <w:rPr>
                <w:sz w:val="1"/>
                <w:szCs w:val="1"/>
                <w:color w:val="auto"/>
              </w:rPr>
            </w:pPr>
          </w:p>
        </w:tc>
      </w:tr>
      <w:tr>
        <w:trPr>
          <w:trHeight w:val="297"/>
        </w:trPr>
        <w:tc>
          <w:tcPr>
            <w:tcW w:w="66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w w:val="99"/>
              </w:rPr>
              <w:t>budesonide,</w:t>
            </w:r>
          </w:p>
        </w:tc>
        <w:tc>
          <w:tcPr>
            <w:tcW w:w="12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Age 50+, prior</w:t>
            </w: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Basal Cell</w:t>
            </w: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vMerge w:val="restart"/>
          </w:tcPr>
          <w:p>
            <w:pPr>
              <w:jc w:val="center"/>
              <w:ind w:left="35"/>
              <w:spacing w:after="0"/>
              <w:rPr>
                <w:sz w:val="20"/>
                <w:szCs w:val="20"/>
                <w:color w:val="auto"/>
              </w:rPr>
            </w:pPr>
            <w:r>
              <w:rPr>
                <w:rFonts w:ascii="Times New Roman" w:cs="Times New Roman" w:eastAsia="Times New Roman" w:hAnsi="Times New Roman"/>
                <w:sz w:val="18"/>
                <w:szCs w:val="18"/>
                <w:color w:val="auto"/>
                <w:w w:val="99"/>
              </w:rPr>
              <w:t>Yes</w:t>
            </w: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rPr>
              <w:t>sulfasalazine,</w:t>
            </w: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thiopurine history</w:t>
            </w:r>
          </w:p>
        </w:tc>
        <w:tc>
          <w:tcPr>
            <w:tcW w:w="0" w:type="dxa"/>
            <w:vAlign w:val="bottom"/>
          </w:tcPr>
          <w:p>
            <w:pPr>
              <w:spacing w:after="0"/>
              <w:rPr>
                <w:sz w:val="1"/>
                <w:szCs w:val="1"/>
                <w:color w:val="auto"/>
              </w:rPr>
            </w:pPr>
          </w:p>
        </w:tc>
      </w:tr>
      <w:tr>
        <w:trPr>
          <w:trHeight w:val="198"/>
        </w:trPr>
        <w:tc>
          <w:tcPr>
            <w:tcW w:w="66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vMerge w:val="continue"/>
          </w:tcPr>
          <w:p>
            <w:pPr>
              <w:spacing w:after="0"/>
              <w:rPr>
                <w:sz w:val="17"/>
                <w:szCs w:val="17"/>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8.1 months</w:t>
            </w:r>
          </w:p>
        </w:tc>
        <w:tc>
          <w:tcPr>
            <w:tcW w:w="5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480" w:type="dxa"/>
            <w:vAlign w:val="bottom"/>
            <w:tcBorders>
              <w:right w:val="single" w:sz="8" w:color="auto"/>
            </w:tcBorders>
          </w:tcPr>
          <w:p>
            <w:pPr>
              <w:jc w:val="center"/>
              <w:ind w:left="34"/>
              <w:spacing w:after="0" w:line="198" w:lineRule="exact"/>
              <w:rPr>
                <w:sz w:val="20"/>
                <w:szCs w:val="20"/>
                <w:color w:val="auto"/>
              </w:rPr>
            </w:pPr>
            <w:r>
              <w:rPr>
                <w:rFonts w:ascii="Times New Roman" w:cs="Times New Roman" w:eastAsia="Times New Roman" w:hAnsi="Times New Roman"/>
                <w:sz w:val="18"/>
                <w:szCs w:val="18"/>
                <w:color w:val="auto"/>
                <w:w w:val="99"/>
              </w:rPr>
              <w:t>mesalazine,</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Determined unlikely</w:t>
            </w:r>
          </w:p>
        </w:tc>
        <w:tc>
          <w:tcPr>
            <w:tcW w:w="0" w:type="dxa"/>
            <w:vAlign w:val="bottom"/>
          </w:tcPr>
          <w:p>
            <w:pPr>
              <w:spacing w:after="0"/>
              <w:rPr>
                <w:sz w:val="1"/>
                <w:szCs w:val="1"/>
                <w:color w:val="auto"/>
              </w:rPr>
            </w:pPr>
          </w:p>
        </w:tc>
      </w:tr>
      <w:tr>
        <w:trPr>
          <w:trHeight w:val="194"/>
        </w:trPr>
        <w:tc>
          <w:tcPr>
            <w:tcW w:w="66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Carcinoma</w:t>
            </w:r>
          </w:p>
        </w:tc>
        <w:tc>
          <w:tcPr>
            <w:tcW w:w="1080" w:type="dxa"/>
            <w:vAlign w:val="bottom"/>
            <w:tcBorders>
              <w:right w:val="single" w:sz="8" w:color="auto"/>
            </w:tcBorders>
            <w:vMerge w:val="continue"/>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tcPr>
          <w:p>
            <w:pPr>
              <w:jc w:val="center"/>
              <w:ind w:left="35"/>
              <w:spacing w:after="0" w:line="194" w:lineRule="exact"/>
              <w:rPr>
                <w:sz w:val="20"/>
                <w:szCs w:val="20"/>
                <w:color w:val="auto"/>
              </w:rPr>
            </w:pPr>
            <w:r>
              <w:rPr>
                <w:rFonts w:ascii="Times New Roman" w:cs="Times New Roman" w:eastAsia="Times New Roman" w:hAnsi="Times New Roman"/>
                <w:sz w:val="18"/>
                <w:szCs w:val="18"/>
                <w:color w:val="auto"/>
                <w:w w:val="98"/>
              </w:rPr>
              <w:t>azathioprine</w:t>
            </w:r>
          </w:p>
        </w:tc>
        <w:tc>
          <w:tcPr>
            <w:tcW w:w="120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tcPr>
          <w:p>
            <w:pPr>
              <w:jc w:val="center"/>
              <w:ind w:left="34"/>
              <w:spacing w:after="0" w:line="194" w:lineRule="exact"/>
              <w:rPr>
                <w:sz w:val="20"/>
                <w:szCs w:val="20"/>
                <w:color w:val="auto"/>
              </w:rPr>
            </w:pPr>
            <w:r>
              <w:rPr>
                <w:rFonts w:ascii="Times New Roman" w:cs="Times New Roman" w:eastAsia="Times New Roman" w:hAnsi="Times New Roman"/>
                <w:sz w:val="18"/>
                <w:szCs w:val="18"/>
                <w:color w:val="auto"/>
              </w:rPr>
              <w:t>prednisone,</w:t>
            </w:r>
          </w:p>
        </w:tc>
        <w:tc>
          <w:tcPr>
            <w:tcW w:w="1200" w:type="dxa"/>
            <w:vAlign w:val="bottom"/>
            <w:tcBorders>
              <w:right w:val="single" w:sz="8" w:color="auto"/>
            </w:tcBorders>
            <w:vMerge w:val="continue"/>
          </w:tcPr>
          <w:p>
            <w:pPr>
              <w:spacing w:after="0"/>
              <w:rPr>
                <w:sz w:val="16"/>
                <w:szCs w:val="16"/>
                <w:color w:val="auto"/>
              </w:rPr>
            </w:pPr>
          </w:p>
        </w:tc>
        <w:tc>
          <w:tcPr>
            <w:tcW w:w="19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left="54"/>
              <w:spacing w:after="0"/>
              <w:rPr>
                <w:sz w:val="20"/>
                <w:szCs w:val="20"/>
                <w:color w:val="auto"/>
              </w:rPr>
            </w:pPr>
            <w:r>
              <w:rPr>
                <w:rFonts w:ascii="Times New Roman" w:cs="Times New Roman" w:eastAsia="Times New Roman" w:hAnsi="Times New Roman"/>
                <w:sz w:val="18"/>
                <w:szCs w:val="18"/>
                <w:color w:val="auto"/>
                <w:w w:val="99"/>
              </w:rPr>
              <w:t>metranidazole,</w:t>
            </w: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related to study drug by</w:t>
            </w:r>
          </w:p>
        </w:tc>
        <w:tc>
          <w:tcPr>
            <w:tcW w:w="0" w:type="dxa"/>
            <w:vAlign w:val="bottom"/>
          </w:tcPr>
          <w:p>
            <w:pPr>
              <w:spacing w:after="0"/>
              <w:rPr>
                <w:sz w:val="1"/>
                <w:szCs w:val="1"/>
                <w:color w:val="auto"/>
              </w:rPr>
            </w:pPr>
          </w:p>
        </w:tc>
      </w:tr>
      <w:tr>
        <w:trPr>
          <w:trHeight w:val="270"/>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660" w:type="dxa"/>
            <w:vAlign w:val="bottom"/>
            <w:tcBorders>
              <w:bottom w:val="single" w:sz="8" w:color="auto"/>
              <w:right w:val="single" w:sz="8" w:color="auto"/>
            </w:tcBorders>
          </w:tcPr>
          <w:p>
            <w:pPr>
              <w:spacing w:after="0"/>
              <w:rPr>
                <w:sz w:val="23"/>
                <w:szCs w:val="23"/>
                <w:color w:val="auto"/>
              </w:rPr>
            </w:pPr>
          </w:p>
        </w:tc>
        <w:tc>
          <w:tcPr>
            <w:tcW w:w="108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sodium butyrate</w:t>
            </w:r>
          </w:p>
        </w:tc>
        <w:tc>
          <w:tcPr>
            <w:tcW w:w="120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investigator</w:t>
            </w:r>
          </w:p>
        </w:tc>
        <w:tc>
          <w:tcPr>
            <w:tcW w:w="0" w:type="dxa"/>
            <w:vAlign w:val="bottom"/>
          </w:tcPr>
          <w:p>
            <w:pPr>
              <w:spacing w:after="0"/>
              <w:rPr>
                <w:sz w:val="1"/>
                <w:szCs w:val="1"/>
                <w:color w:val="auto"/>
              </w:rPr>
            </w:pPr>
          </w:p>
        </w:tc>
      </w:tr>
      <w:tr>
        <w:trPr>
          <w:trHeight w:val="210"/>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mg</w:t>
            </w: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 75+ and prior</w:t>
            </w:r>
          </w:p>
        </w:tc>
        <w:tc>
          <w:tcPr>
            <w:tcW w:w="0" w:type="dxa"/>
            <w:vAlign w:val="bottom"/>
          </w:tcPr>
          <w:p>
            <w:pPr>
              <w:spacing w:after="0"/>
              <w:rPr>
                <w:sz w:val="1"/>
                <w:szCs w:val="1"/>
                <w:color w:val="auto"/>
              </w:rPr>
            </w:pPr>
          </w:p>
        </w:tc>
      </w:tr>
      <w:tr>
        <w:trPr>
          <w:trHeight w:val="198"/>
        </w:trPr>
        <w:tc>
          <w:tcPr>
            <w:tcW w:w="66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history of 2x Basal</w:t>
            </w:r>
          </w:p>
        </w:tc>
        <w:tc>
          <w:tcPr>
            <w:tcW w:w="0" w:type="dxa"/>
            <w:vAlign w:val="bottom"/>
          </w:tcPr>
          <w:p>
            <w:pPr>
              <w:spacing w:after="0"/>
              <w:rPr>
                <w:sz w:val="1"/>
                <w:szCs w:val="1"/>
                <w:color w:val="auto"/>
              </w:rPr>
            </w:pPr>
          </w:p>
        </w:tc>
      </w:tr>
      <w:tr>
        <w:trPr>
          <w:trHeight w:val="180"/>
        </w:trPr>
        <w:tc>
          <w:tcPr>
            <w:tcW w:w="66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Squamous Cell</w:t>
            </w:r>
          </w:p>
        </w:tc>
        <w:tc>
          <w:tcPr>
            <w:tcW w:w="108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1480" w:type="dxa"/>
            <w:vAlign w:val="bottom"/>
            <w:tcBorders>
              <w:right w:val="single" w:sz="8" w:color="auto"/>
            </w:tcBorders>
            <w:vMerge w:val="restart"/>
          </w:tcPr>
          <w:p>
            <w:pPr>
              <w:jc w:val="center"/>
              <w:ind w:left="34"/>
              <w:spacing w:after="0"/>
              <w:rPr>
                <w:sz w:val="20"/>
                <w:szCs w:val="20"/>
                <w:color w:val="auto"/>
              </w:rPr>
            </w:pPr>
            <w:r>
              <w:rPr>
                <w:rFonts w:ascii="Times New Roman" w:cs="Times New Roman" w:eastAsia="Times New Roman" w:hAnsi="Times New Roman"/>
                <w:sz w:val="18"/>
                <w:szCs w:val="18"/>
                <w:color w:val="auto"/>
              </w:rPr>
              <w:t>prednisone,</w:t>
            </w:r>
          </w:p>
        </w:tc>
        <w:tc>
          <w:tcPr>
            <w:tcW w:w="120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cell carcinoma</w:t>
            </w:r>
          </w:p>
        </w:tc>
        <w:tc>
          <w:tcPr>
            <w:tcW w:w="0" w:type="dxa"/>
            <w:vAlign w:val="bottom"/>
          </w:tcPr>
          <w:p>
            <w:pPr>
              <w:spacing w:after="0"/>
              <w:rPr>
                <w:sz w:val="1"/>
                <w:szCs w:val="1"/>
                <w:color w:val="auto"/>
              </w:rPr>
            </w:pPr>
          </w:p>
        </w:tc>
      </w:tr>
      <w:tr>
        <w:trPr>
          <w:trHeight w:val="103"/>
        </w:trPr>
        <w:tc>
          <w:tcPr>
            <w:tcW w:w="66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8.3 months</w:t>
            </w:r>
          </w:p>
        </w:tc>
        <w:tc>
          <w:tcPr>
            <w:tcW w:w="540" w:type="dxa"/>
            <w:vAlign w:val="bottom"/>
            <w:tcBorders>
              <w:right w:val="single" w:sz="8" w:color="auto"/>
            </w:tcBorders>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75+</w:t>
            </w:r>
          </w:p>
        </w:tc>
        <w:tc>
          <w:tcPr>
            <w:tcW w:w="1240" w:type="dxa"/>
            <w:vAlign w:val="bottom"/>
            <w:tcBorders>
              <w:right w:val="single" w:sz="8" w:color="auto"/>
            </w:tcBorders>
            <w:vMerge w:val="restart"/>
          </w:tcPr>
          <w:p>
            <w:pPr>
              <w:jc w:val="center"/>
              <w:ind w:left="15"/>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120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adalimumab,</w:t>
            </w:r>
          </w:p>
        </w:tc>
        <w:tc>
          <w:tcPr>
            <w:tcW w:w="148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19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6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Carcinoma</w:t>
            </w:r>
          </w:p>
        </w:tc>
        <w:tc>
          <w:tcPr>
            <w:tcW w:w="108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ind w:left="54"/>
              <w:spacing w:after="0"/>
              <w:rPr>
                <w:sz w:val="20"/>
                <w:szCs w:val="20"/>
                <w:color w:val="auto"/>
              </w:rPr>
            </w:pPr>
            <w:r>
              <w:rPr>
                <w:rFonts w:ascii="Times New Roman" w:cs="Times New Roman" w:eastAsia="Times New Roman" w:hAnsi="Times New Roman"/>
                <w:sz w:val="18"/>
                <w:szCs w:val="18"/>
                <w:color w:val="auto"/>
                <w:w w:val="99"/>
              </w:rPr>
              <w:t>mesalamine</w:t>
            </w:r>
          </w:p>
        </w:tc>
        <w:tc>
          <w:tcPr>
            <w:tcW w:w="1200" w:type="dxa"/>
            <w:vAlign w:val="bottom"/>
            <w:tcBorders>
              <w:right w:val="single" w:sz="8" w:color="auto"/>
            </w:tcBorders>
            <w:vMerge w:val="continue"/>
          </w:tcPr>
          <w:p>
            <w:pPr>
              <w:spacing w:after="0"/>
              <w:rPr>
                <w:sz w:val="8"/>
                <w:szCs w:val="8"/>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Determined probably</w:t>
            </w:r>
          </w:p>
        </w:tc>
        <w:tc>
          <w:tcPr>
            <w:tcW w:w="0" w:type="dxa"/>
            <w:vAlign w:val="bottom"/>
          </w:tcPr>
          <w:p>
            <w:pPr>
              <w:spacing w:after="0"/>
              <w:rPr>
                <w:sz w:val="1"/>
                <w:szCs w:val="1"/>
                <w:color w:val="auto"/>
              </w:rPr>
            </w:pPr>
          </w:p>
        </w:tc>
      </w:tr>
      <w:tr>
        <w:trPr>
          <w:trHeight w:val="180"/>
        </w:trPr>
        <w:tc>
          <w:tcPr>
            <w:tcW w:w="66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vedolizumab</w:t>
            </w:r>
          </w:p>
        </w:tc>
        <w:tc>
          <w:tcPr>
            <w:tcW w:w="148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6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related to study drug by</w:t>
            </w:r>
          </w:p>
        </w:tc>
        <w:tc>
          <w:tcPr>
            <w:tcW w:w="0" w:type="dxa"/>
            <w:vAlign w:val="bottom"/>
          </w:tcPr>
          <w:p>
            <w:pPr>
              <w:spacing w:after="0"/>
              <w:rPr>
                <w:sz w:val="1"/>
                <w:szCs w:val="1"/>
                <w:color w:val="auto"/>
              </w:rPr>
            </w:pPr>
          </w:p>
        </w:tc>
      </w:tr>
      <w:tr>
        <w:trPr>
          <w:trHeight w:val="241"/>
        </w:trPr>
        <w:tc>
          <w:tcPr>
            <w:tcW w:w="66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investigator</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spacing w:after="0" w:line="258" w:lineRule="auto"/>
        <w:rPr>
          <w:sz w:val="20"/>
          <w:szCs w:val="20"/>
          <w:color w:val="auto"/>
        </w:rPr>
      </w:pPr>
      <w:r>
        <w:rPr>
          <w:rFonts w:ascii="Times New Roman" w:cs="Times New Roman" w:eastAsia="Times New Roman" w:hAnsi="Times New Roman"/>
          <w:sz w:val="18"/>
          <w:szCs w:val="18"/>
          <w:color w:val="auto"/>
        </w:rPr>
        <w:t>The post-hoc analyses below are presented progressively, from the combined Phase 2 and Phase 3 UC programs to the Phase 3 maintenance dataset (Part 1 and Part 2), and then to the Part 2 maintenance dataset, to illustrate how increasing cumulative patient-years (“PYs”) strengthens the overall safety assessment. Because NMSCs and malignancies excluding NMSCs are uncommon events, incidence-rate estimates become more precise as cumulative exposure increases. The Company believes the Phase 3 maintenance data should be interpreted using the totality of the exposure-adjusted evidence, together with patient characteristics and representative published UC epidemiologic reference</w:t>
      </w:r>
    </w:p>
    <w:p>
      <w:pPr>
        <w:sectPr>
          <w:pgSz w:w="11900" w:h="16838" w:orient="portrait"/>
          <w:cols w:equalWidth="0" w:num="1">
            <w:col w:w="11020"/>
          </w:cols>
          <w:pgMar w:left="440" w:top="268" w:right="439" w:bottom="1440" w:gutter="0" w:footer="0" w:header="0"/>
        </w:sectPr>
      </w:pPr>
    </w:p>
    <w:bookmarkStart w:id="3" w:name="page4"/>
    <w:bookmarkEnd w:id="3"/>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ranges. The results in the tables below demonstrate that the exposure-adjusted incidence rate (“EAIR”) in the combined all active (25 mg and 50 mg) treatment arms for both NMSCs and malignancies excluding NMSCs are within the UC background reference range based on published UC studies.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320" w:type="dxa"/>
            <w:vAlign w:val="bottom"/>
            <w:tcBorders>
              <w:top w:val="single" w:sz="8" w:color="auto"/>
              <w:left w:val="single" w:sz="8" w:color="auto"/>
            </w:tcBorders>
          </w:tcPr>
          <w:p>
            <w:pPr>
              <w:spacing w:after="0"/>
              <w:rPr>
                <w:sz w:val="24"/>
                <w:szCs w:val="24"/>
                <w:color w:val="auto"/>
              </w:rPr>
            </w:pPr>
          </w:p>
        </w:tc>
        <w:tc>
          <w:tcPr>
            <w:tcW w:w="4640" w:type="dxa"/>
            <w:vAlign w:val="bottom"/>
            <w:tcBorders>
              <w:top w:val="single" w:sz="8" w:color="auto"/>
            </w:tcBorders>
            <w:gridSpan w:val="4"/>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Malignancies (Excluding NMSC) – EAIR Analysis</w:t>
            </w:r>
          </w:p>
        </w:tc>
        <w:tc>
          <w:tcPr>
            <w:tcW w:w="154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320" w:type="dxa"/>
            <w:vAlign w:val="bottom"/>
            <w:tcBorders>
              <w:left w:val="single" w:sz="8" w:color="auto"/>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Borders>
              <w:left w:val="single" w:sz="8" w:color="auto"/>
              <w:right w:val="single" w:sz="8" w:color="auto"/>
            </w:tcBorders>
          </w:tcPr>
          <w:p>
            <w:pPr>
              <w:spacing w:after="0"/>
              <w:rPr>
                <w:sz w:val="10"/>
                <w:szCs w:val="10"/>
                <w:color w:val="auto"/>
              </w:rPr>
            </w:pPr>
          </w:p>
        </w:tc>
        <w:tc>
          <w:tcPr>
            <w:tcW w:w="1320" w:type="dxa"/>
            <w:vAlign w:val="bottom"/>
            <w:vMerge w:val="restart"/>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2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25 mg</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 mg</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Active</w:t>
            </w:r>
          </w:p>
        </w:tc>
        <w:tc>
          <w:tcPr>
            <w:tcW w:w="154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Reference Range</w:t>
            </w:r>
          </w:p>
        </w:tc>
        <w:tc>
          <w:tcPr>
            <w:tcW w:w="0" w:type="dxa"/>
            <w:vAlign w:val="bottom"/>
          </w:tcPr>
          <w:p>
            <w:pPr>
              <w:spacing w:after="0"/>
              <w:rPr>
                <w:sz w:val="1"/>
                <w:szCs w:val="1"/>
                <w:color w:val="auto"/>
              </w:rPr>
            </w:pPr>
          </w:p>
        </w:tc>
      </w:tr>
      <w:tr>
        <w:trPr>
          <w:trHeight w:val="148"/>
        </w:trPr>
        <w:tc>
          <w:tcPr>
            <w:tcW w:w="3320" w:type="dxa"/>
            <w:vAlign w:val="bottom"/>
            <w:tcBorders>
              <w:left w:val="single" w:sz="8" w:color="auto"/>
              <w:right w:val="single" w:sz="8" w:color="auto"/>
            </w:tcBorders>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Analysis Set</w:t>
            </w:r>
          </w:p>
        </w:tc>
        <w:tc>
          <w:tcPr>
            <w:tcW w:w="132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0" w:type="dxa"/>
            <w:vAlign w:val="bottom"/>
          </w:tcPr>
          <w:p>
            <w:pPr>
              <w:spacing w:after="0"/>
              <w:rPr>
                <w:sz w:val="1"/>
                <w:szCs w:val="1"/>
                <w:color w:val="auto"/>
              </w:rPr>
            </w:pPr>
          </w:p>
        </w:tc>
      </w:tr>
      <w:tr>
        <w:trPr>
          <w:trHeight w:val="123"/>
        </w:trPr>
        <w:tc>
          <w:tcPr>
            <w:tcW w:w="3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vMerge w:val="restart"/>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IR/100 PY</w:t>
            </w:r>
          </w:p>
        </w:tc>
        <w:tc>
          <w:tcPr>
            <w:tcW w:w="2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IR/100 PY</w:t>
            </w: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IR/100 PY</w:t>
            </w: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IR/100 PY</w:t>
            </w: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Published UC</w:t>
            </w:r>
          </w:p>
        </w:tc>
        <w:tc>
          <w:tcPr>
            <w:tcW w:w="0" w:type="dxa"/>
            <w:vAlign w:val="bottom"/>
          </w:tcPr>
          <w:p>
            <w:pPr>
              <w:spacing w:after="0"/>
              <w:rPr>
                <w:sz w:val="1"/>
                <w:szCs w:val="1"/>
                <w:color w:val="auto"/>
              </w:rPr>
            </w:pPr>
          </w:p>
        </w:tc>
      </w:tr>
      <w:tr>
        <w:trPr>
          <w:trHeight w:val="26"/>
        </w:trPr>
        <w:tc>
          <w:tcPr>
            <w:tcW w:w="3320" w:type="dxa"/>
            <w:vAlign w:val="bottom"/>
            <w:tcBorders>
              <w:left w:val="single" w:sz="8" w:color="auto"/>
              <w:right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320" w:type="dxa"/>
            <w:vAlign w:val="bottom"/>
            <w:tcBorders>
              <w:left w:val="single" w:sz="8" w:color="auto"/>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Studies</w:t>
            </w:r>
          </w:p>
        </w:tc>
        <w:tc>
          <w:tcPr>
            <w:tcW w:w="0" w:type="dxa"/>
            <w:vAlign w:val="bottom"/>
          </w:tcPr>
          <w:p>
            <w:pPr>
              <w:spacing w:after="0"/>
              <w:rPr>
                <w:sz w:val="1"/>
                <w:szCs w:val="1"/>
                <w:color w:val="auto"/>
              </w:rPr>
            </w:pPr>
          </w:p>
        </w:tc>
      </w:tr>
      <w:tr>
        <w:trPr>
          <w:trHeight w:val="187"/>
        </w:trPr>
        <w:tc>
          <w:tcPr>
            <w:tcW w:w="3320" w:type="dxa"/>
            <w:vAlign w:val="bottom"/>
            <w:tcBorders>
              <w:left w:val="single" w:sz="8" w:color="auto"/>
              <w:right w:val="single" w:sz="8" w:color="auto"/>
            </w:tcBorders>
            <w:shd w:val="clear" w:color="auto" w:fill="CCEEFF"/>
          </w:tcPr>
          <w:p>
            <w:pPr>
              <w:jc w:val="center"/>
              <w:ind w:left="53"/>
              <w:spacing w:after="0" w:line="188" w:lineRule="exact"/>
              <w:rPr>
                <w:sz w:val="20"/>
                <w:szCs w:val="20"/>
                <w:color w:val="auto"/>
              </w:rPr>
            </w:pPr>
            <w:r>
              <w:rPr>
                <w:rFonts w:ascii="Times New Roman" w:cs="Times New Roman" w:eastAsia="Times New Roman" w:hAnsi="Times New Roman"/>
                <w:sz w:val="18"/>
                <w:szCs w:val="18"/>
                <w:b w:val="1"/>
                <w:bCs w:val="1"/>
                <w:color w:val="auto"/>
              </w:rPr>
              <w:t>Integrated UC Program</w:t>
            </w:r>
          </w:p>
        </w:tc>
        <w:tc>
          <w:tcPr>
            <w:tcW w:w="1320" w:type="dxa"/>
            <w:vAlign w:val="bottom"/>
            <w:vMerge w:val="restart"/>
            <w:shd w:val="clear" w:color="auto" w:fill="CCEEFF"/>
          </w:tcPr>
          <w:p>
            <w:pPr>
              <w:jc w:val="center"/>
              <w:ind w:left="238"/>
              <w:spacing w:after="0"/>
              <w:rPr>
                <w:sz w:val="20"/>
                <w:szCs w:val="20"/>
                <w:color w:val="auto"/>
              </w:rPr>
            </w:pPr>
            <w:r>
              <w:rPr>
                <w:rFonts w:ascii="Times New Roman" w:cs="Times New Roman" w:eastAsia="Times New Roman" w:hAnsi="Times New Roman"/>
                <w:sz w:val="18"/>
                <w:szCs w:val="18"/>
                <w:b w:val="1"/>
                <w:bCs w:val="1"/>
                <w:color w:val="auto"/>
              </w:rPr>
              <w:t>0.00</w:t>
            </w:r>
          </w:p>
        </w:tc>
        <w:tc>
          <w:tcPr>
            <w:tcW w:w="240" w:type="dxa"/>
            <w:vAlign w:val="bottom"/>
            <w:tcBorders>
              <w:right w:val="single" w:sz="8" w:color="auto"/>
            </w:tcBorders>
            <w:shd w:val="clear" w:color="auto" w:fill="CCEEFF"/>
          </w:tcPr>
          <w:p>
            <w:pPr>
              <w:spacing w:after="0"/>
              <w:rPr>
                <w:sz w:val="16"/>
                <w:szCs w:val="16"/>
                <w:color w:val="auto"/>
              </w:rPr>
            </w:pP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0.64</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0.35</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0.30 – 0.70</w:t>
            </w:r>
          </w:p>
        </w:tc>
        <w:tc>
          <w:tcPr>
            <w:tcW w:w="0" w:type="dxa"/>
            <w:vAlign w:val="bottom"/>
          </w:tcPr>
          <w:p>
            <w:pPr>
              <w:spacing w:after="0"/>
              <w:rPr>
                <w:sz w:val="1"/>
                <w:szCs w:val="1"/>
                <w:color w:val="auto"/>
              </w:rPr>
            </w:pPr>
          </w:p>
        </w:tc>
      </w:tr>
      <w:tr>
        <w:trPr>
          <w:trHeight w:val="130"/>
        </w:trPr>
        <w:tc>
          <w:tcPr>
            <w:tcW w:w="3320" w:type="dxa"/>
            <w:vAlign w:val="bottom"/>
            <w:tcBorders>
              <w:left w:val="single" w:sz="8" w:color="auto"/>
              <w:right w:val="single" w:sz="8" w:color="auto"/>
            </w:tcBorders>
            <w:vMerge w:val="restart"/>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(Phase 2 + Phase 3)</w:t>
            </w:r>
          </w:p>
        </w:tc>
        <w:tc>
          <w:tcPr>
            <w:tcW w:w="1320" w:type="dxa"/>
            <w:vAlign w:val="bottom"/>
            <w:vMerge w:val="continue"/>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320" w:type="dxa"/>
            <w:vAlign w:val="bottom"/>
            <w:tcBorders>
              <w:left w:val="single" w:sz="8" w:color="auto"/>
              <w:right w:val="single" w:sz="8" w:color="auto"/>
            </w:tcBorders>
          </w:tcPr>
          <w:p>
            <w:pPr>
              <w:jc w:val="center"/>
              <w:ind w:left="53"/>
              <w:spacing w:after="0" w:line="194" w:lineRule="exact"/>
              <w:rPr>
                <w:sz w:val="20"/>
                <w:szCs w:val="20"/>
                <w:color w:val="auto"/>
              </w:rPr>
            </w:pPr>
            <w:r>
              <w:rPr>
                <w:rFonts w:ascii="Times New Roman" w:cs="Times New Roman" w:eastAsia="Times New Roman" w:hAnsi="Times New Roman"/>
                <w:sz w:val="18"/>
                <w:szCs w:val="18"/>
                <w:b w:val="1"/>
                <w:bCs w:val="1"/>
                <w:color w:val="auto"/>
                <w:w w:val="99"/>
              </w:rPr>
              <w:t>Phase 3 Maintenance</w:t>
            </w:r>
          </w:p>
        </w:tc>
        <w:tc>
          <w:tcPr>
            <w:tcW w:w="1320" w:type="dxa"/>
            <w:vAlign w:val="bottom"/>
            <w:vMerge w:val="restart"/>
          </w:tcPr>
          <w:p>
            <w:pPr>
              <w:jc w:val="center"/>
              <w:ind w:left="238"/>
              <w:spacing w:after="0"/>
              <w:rPr>
                <w:sz w:val="20"/>
                <w:szCs w:val="20"/>
                <w:color w:val="auto"/>
              </w:rPr>
            </w:pPr>
            <w:r>
              <w:rPr>
                <w:rFonts w:ascii="Times New Roman" w:cs="Times New Roman" w:eastAsia="Times New Roman" w:hAnsi="Times New Roman"/>
                <w:sz w:val="18"/>
                <w:szCs w:val="18"/>
                <w:b w:val="1"/>
                <w:bCs w:val="1"/>
                <w:color w:val="auto"/>
              </w:rPr>
              <w:t>0.00</w:t>
            </w:r>
          </w:p>
        </w:tc>
        <w:tc>
          <w:tcPr>
            <w:tcW w:w="2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0.91</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0.56</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0.30 – 0.70</w:t>
            </w:r>
          </w:p>
        </w:tc>
        <w:tc>
          <w:tcPr>
            <w:tcW w:w="0" w:type="dxa"/>
            <w:vAlign w:val="bottom"/>
          </w:tcPr>
          <w:p>
            <w:pPr>
              <w:spacing w:after="0"/>
              <w:rPr>
                <w:sz w:val="1"/>
                <w:szCs w:val="1"/>
                <w:color w:val="auto"/>
              </w:rPr>
            </w:pPr>
          </w:p>
        </w:tc>
      </w:tr>
      <w:tr>
        <w:trPr>
          <w:trHeight w:val="130"/>
        </w:trPr>
        <w:tc>
          <w:tcPr>
            <w:tcW w:w="3320" w:type="dxa"/>
            <w:vAlign w:val="bottom"/>
            <w:tcBorders>
              <w:left w:val="single" w:sz="8" w:color="auto"/>
              <w:right w:val="single" w:sz="8" w:color="auto"/>
            </w:tcBorders>
            <w:vMerge w:val="restart"/>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(Part 1 + Part 2)</w:t>
            </w:r>
          </w:p>
        </w:tc>
        <w:tc>
          <w:tcPr>
            <w:tcW w:w="132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320" w:type="dxa"/>
            <w:vAlign w:val="bottom"/>
            <w:tcBorders>
              <w:left w:val="single" w:sz="8" w:color="auto"/>
              <w:bottom w:val="single" w:sz="8" w:color="auto"/>
              <w:right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Part 2 Only</w:t>
            </w:r>
          </w:p>
        </w:tc>
        <w:tc>
          <w:tcPr>
            <w:tcW w:w="1320" w:type="dxa"/>
            <w:vAlign w:val="bottom"/>
            <w:tcBorders>
              <w:bottom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0.69</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0.48</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0.30 – 0.70</w:t>
            </w:r>
          </w:p>
        </w:tc>
        <w:tc>
          <w:tcPr>
            <w:tcW w:w="0" w:type="dxa"/>
            <w:vAlign w:val="bottom"/>
          </w:tcPr>
          <w:p>
            <w:pPr>
              <w:spacing w:after="0"/>
              <w:rPr>
                <w:sz w:val="1"/>
                <w:szCs w:val="1"/>
                <w:color w:val="auto"/>
              </w:rPr>
            </w:pPr>
          </w:p>
        </w:tc>
      </w:t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Note: IR = incidence rate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320" w:type="dxa"/>
            <w:vAlign w:val="bottom"/>
            <w:tcBorders>
              <w:lef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NMSC – EAIR Analysis</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320" w:type="dxa"/>
            <w:vAlign w:val="bottom"/>
            <w:tcBorders>
              <w:left w:val="single" w:sz="8" w:color="auto"/>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Borders>
              <w:left w:val="single" w:sz="8" w:color="auto"/>
              <w:right w:val="single" w:sz="8" w:color="auto"/>
            </w:tcBorders>
          </w:tcPr>
          <w:p>
            <w:pPr>
              <w:spacing w:after="0"/>
              <w:rPr>
                <w:sz w:val="10"/>
                <w:szCs w:val="10"/>
                <w:color w:val="auto"/>
              </w:rPr>
            </w:pPr>
          </w:p>
        </w:tc>
        <w:tc>
          <w:tcPr>
            <w:tcW w:w="1320" w:type="dxa"/>
            <w:vAlign w:val="bottom"/>
            <w:vMerge w:val="restart"/>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2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25 mg</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50 mg</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Active</w:t>
            </w:r>
          </w:p>
        </w:tc>
        <w:tc>
          <w:tcPr>
            <w:tcW w:w="154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Reference Range</w:t>
            </w:r>
          </w:p>
        </w:tc>
        <w:tc>
          <w:tcPr>
            <w:tcW w:w="0" w:type="dxa"/>
            <w:vAlign w:val="bottom"/>
          </w:tcPr>
          <w:p>
            <w:pPr>
              <w:spacing w:after="0"/>
              <w:rPr>
                <w:sz w:val="1"/>
                <w:szCs w:val="1"/>
                <w:color w:val="auto"/>
              </w:rPr>
            </w:pPr>
          </w:p>
        </w:tc>
      </w:tr>
      <w:tr>
        <w:trPr>
          <w:trHeight w:val="148"/>
        </w:trPr>
        <w:tc>
          <w:tcPr>
            <w:tcW w:w="3320" w:type="dxa"/>
            <w:vAlign w:val="bottom"/>
            <w:tcBorders>
              <w:left w:val="single" w:sz="8" w:color="auto"/>
              <w:right w:val="single" w:sz="8" w:color="auto"/>
            </w:tcBorders>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Analysis Set</w:t>
            </w:r>
          </w:p>
        </w:tc>
        <w:tc>
          <w:tcPr>
            <w:tcW w:w="132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0" w:type="dxa"/>
            <w:vAlign w:val="bottom"/>
          </w:tcPr>
          <w:p>
            <w:pPr>
              <w:spacing w:after="0"/>
              <w:rPr>
                <w:sz w:val="1"/>
                <w:szCs w:val="1"/>
                <w:color w:val="auto"/>
              </w:rPr>
            </w:pPr>
          </w:p>
        </w:tc>
      </w:tr>
      <w:tr>
        <w:trPr>
          <w:trHeight w:val="123"/>
        </w:trPr>
        <w:tc>
          <w:tcPr>
            <w:tcW w:w="3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vMerge w:val="restart"/>
          </w:tcPr>
          <w:p>
            <w:pPr>
              <w:jc w:val="center"/>
              <w:ind w:left="258"/>
              <w:spacing w:after="0" w:line="149" w:lineRule="exact"/>
              <w:rPr>
                <w:sz w:val="20"/>
                <w:szCs w:val="20"/>
                <w:color w:val="auto"/>
              </w:rPr>
            </w:pPr>
            <w:r>
              <w:rPr>
                <w:rFonts w:ascii="Times New Roman" w:cs="Times New Roman" w:eastAsia="Times New Roman" w:hAnsi="Times New Roman"/>
                <w:sz w:val="14"/>
                <w:szCs w:val="14"/>
                <w:color w:val="auto"/>
              </w:rPr>
              <w:t>IR/100 PY</w:t>
            </w:r>
          </w:p>
        </w:tc>
        <w:tc>
          <w:tcPr>
            <w:tcW w:w="2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IR/100 PY</w:t>
            </w: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IR/100 PY</w:t>
            </w: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IR/100 PY</w:t>
            </w:r>
          </w:p>
        </w:tc>
        <w:tc>
          <w:tcPr>
            <w:tcW w:w="15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Published UC</w:t>
            </w:r>
          </w:p>
        </w:tc>
        <w:tc>
          <w:tcPr>
            <w:tcW w:w="0" w:type="dxa"/>
            <w:vAlign w:val="bottom"/>
          </w:tcPr>
          <w:p>
            <w:pPr>
              <w:spacing w:after="0"/>
              <w:rPr>
                <w:sz w:val="1"/>
                <w:szCs w:val="1"/>
                <w:color w:val="auto"/>
              </w:rPr>
            </w:pPr>
          </w:p>
        </w:tc>
      </w:tr>
      <w:tr>
        <w:trPr>
          <w:trHeight w:val="26"/>
        </w:trPr>
        <w:tc>
          <w:tcPr>
            <w:tcW w:w="3320" w:type="dxa"/>
            <w:vAlign w:val="bottom"/>
            <w:tcBorders>
              <w:left w:val="single" w:sz="8" w:color="auto"/>
              <w:right w:val="single" w:sz="8" w:color="auto"/>
            </w:tcBorders>
          </w:tcPr>
          <w:p>
            <w:pPr>
              <w:spacing w:after="0"/>
              <w:rPr>
                <w:sz w:val="2"/>
                <w:szCs w:val="2"/>
                <w:color w:val="auto"/>
              </w:rPr>
            </w:pPr>
          </w:p>
        </w:tc>
        <w:tc>
          <w:tcPr>
            <w:tcW w:w="1320" w:type="dxa"/>
            <w:vAlign w:val="bottom"/>
            <w:vMerge w:val="continue"/>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15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320" w:type="dxa"/>
            <w:vAlign w:val="bottom"/>
            <w:tcBorders>
              <w:left w:val="single" w:sz="8" w:color="auto"/>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Studies</w:t>
            </w:r>
          </w:p>
        </w:tc>
        <w:tc>
          <w:tcPr>
            <w:tcW w:w="0" w:type="dxa"/>
            <w:vAlign w:val="bottom"/>
          </w:tcPr>
          <w:p>
            <w:pPr>
              <w:spacing w:after="0"/>
              <w:rPr>
                <w:sz w:val="1"/>
                <w:szCs w:val="1"/>
                <w:color w:val="auto"/>
              </w:rPr>
            </w:pPr>
          </w:p>
        </w:tc>
      </w:tr>
      <w:tr>
        <w:trPr>
          <w:trHeight w:val="187"/>
        </w:trPr>
        <w:tc>
          <w:tcPr>
            <w:tcW w:w="3320" w:type="dxa"/>
            <w:vAlign w:val="bottom"/>
            <w:tcBorders>
              <w:left w:val="single" w:sz="8" w:color="auto"/>
              <w:right w:val="single" w:sz="8" w:color="auto"/>
            </w:tcBorders>
            <w:shd w:val="clear" w:color="auto" w:fill="CCEEFF"/>
          </w:tcPr>
          <w:p>
            <w:pPr>
              <w:jc w:val="center"/>
              <w:ind w:left="53"/>
              <w:spacing w:after="0" w:line="188" w:lineRule="exact"/>
              <w:rPr>
                <w:sz w:val="20"/>
                <w:szCs w:val="20"/>
                <w:color w:val="auto"/>
              </w:rPr>
            </w:pPr>
            <w:r>
              <w:rPr>
                <w:rFonts w:ascii="Times New Roman" w:cs="Times New Roman" w:eastAsia="Times New Roman" w:hAnsi="Times New Roman"/>
                <w:sz w:val="18"/>
                <w:szCs w:val="18"/>
                <w:b w:val="1"/>
                <w:bCs w:val="1"/>
                <w:color w:val="auto"/>
              </w:rPr>
              <w:t>Integrated UC Program</w:t>
            </w:r>
          </w:p>
        </w:tc>
        <w:tc>
          <w:tcPr>
            <w:tcW w:w="1320" w:type="dxa"/>
            <w:vAlign w:val="bottom"/>
            <w:vMerge w:val="restart"/>
            <w:shd w:val="clear" w:color="auto" w:fill="CCEEFF"/>
          </w:tcPr>
          <w:p>
            <w:pPr>
              <w:jc w:val="center"/>
              <w:ind w:left="238"/>
              <w:spacing w:after="0"/>
              <w:rPr>
                <w:sz w:val="20"/>
                <w:szCs w:val="20"/>
                <w:color w:val="auto"/>
              </w:rPr>
            </w:pPr>
            <w:r>
              <w:rPr>
                <w:rFonts w:ascii="Times New Roman" w:cs="Times New Roman" w:eastAsia="Times New Roman" w:hAnsi="Times New Roman"/>
                <w:sz w:val="18"/>
                <w:szCs w:val="18"/>
                <w:b w:val="1"/>
                <w:bCs w:val="1"/>
                <w:color w:val="auto"/>
              </w:rPr>
              <w:t>0.46</w:t>
            </w:r>
          </w:p>
        </w:tc>
        <w:tc>
          <w:tcPr>
            <w:tcW w:w="240" w:type="dxa"/>
            <w:vAlign w:val="bottom"/>
            <w:tcBorders>
              <w:right w:val="single" w:sz="8" w:color="auto"/>
            </w:tcBorders>
            <w:shd w:val="clear" w:color="auto" w:fill="CCEEFF"/>
          </w:tcPr>
          <w:p>
            <w:pPr>
              <w:spacing w:after="0"/>
              <w:rPr>
                <w:sz w:val="16"/>
                <w:szCs w:val="16"/>
                <w:color w:val="auto"/>
              </w:rPr>
            </w:pP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0.53</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0.64</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0.59</w:t>
            </w:r>
          </w:p>
        </w:tc>
        <w:tc>
          <w:tcPr>
            <w:tcW w:w="1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0.70 – 1.40</w:t>
            </w:r>
          </w:p>
        </w:tc>
        <w:tc>
          <w:tcPr>
            <w:tcW w:w="0" w:type="dxa"/>
            <w:vAlign w:val="bottom"/>
          </w:tcPr>
          <w:p>
            <w:pPr>
              <w:spacing w:after="0"/>
              <w:rPr>
                <w:sz w:val="1"/>
                <w:szCs w:val="1"/>
                <w:color w:val="auto"/>
              </w:rPr>
            </w:pPr>
          </w:p>
        </w:tc>
      </w:tr>
      <w:tr>
        <w:trPr>
          <w:trHeight w:val="130"/>
        </w:trPr>
        <w:tc>
          <w:tcPr>
            <w:tcW w:w="3320" w:type="dxa"/>
            <w:vAlign w:val="bottom"/>
            <w:tcBorders>
              <w:left w:val="single" w:sz="8" w:color="auto"/>
              <w:right w:val="single" w:sz="8" w:color="auto"/>
            </w:tcBorders>
            <w:vMerge w:val="restart"/>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(Phase 2 + Phase 3)</w:t>
            </w:r>
          </w:p>
        </w:tc>
        <w:tc>
          <w:tcPr>
            <w:tcW w:w="1320" w:type="dxa"/>
            <w:vAlign w:val="bottom"/>
            <w:vMerge w:val="continue"/>
            <w:shd w:val="clear" w:color="auto" w:fill="CCEEFF"/>
          </w:tcPr>
          <w:p>
            <w:pPr>
              <w:spacing w:after="0"/>
              <w:rPr>
                <w:sz w:val="11"/>
                <w:szCs w:val="11"/>
                <w:color w:val="auto"/>
              </w:rPr>
            </w:pPr>
          </w:p>
        </w:tc>
        <w:tc>
          <w:tcPr>
            <w:tcW w:w="240" w:type="dxa"/>
            <w:vAlign w:val="bottom"/>
            <w:tcBorders>
              <w:right w:val="single" w:sz="8" w:color="auto"/>
            </w:tcBorders>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1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15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320" w:type="dxa"/>
            <w:vAlign w:val="bottom"/>
            <w:tcBorders>
              <w:left w:val="single" w:sz="8" w:color="auto"/>
              <w:right w:val="single" w:sz="8" w:color="auto"/>
            </w:tcBorders>
          </w:tcPr>
          <w:p>
            <w:pPr>
              <w:jc w:val="center"/>
              <w:ind w:left="53"/>
              <w:spacing w:after="0" w:line="194" w:lineRule="exact"/>
              <w:rPr>
                <w:sz w:val="20"/>
                <w:szCs w:val="20"/>
                <w:color w:val="auto"/>
              </w:rPr>
            </w:pPr>
            <w:r>
              <w:rPr>
                <w:rFonts w:ascii="Times New Roman" w:cs="Times New Roman" w:eastAsia="Times New Roman" w:hAnsi="Times New Roman"/>
                <w:sz w:val="18"/>
                <w:szCs w:val="18"/>
                <w:b w:val="1"/>
                <w:bCs w:val="1"/>
                <w:color w:val="auto"/>
                <w:w w:val="99"/>
              </w:rPr>
              <w:t>Phase 3 Maintenance</w:t>
            </w:r>
          </w:p>
        </w:tc>
        <w:tc>
          <w:tcPr>
            <w:tcW w:w="1320" w:type="dxa"/>
            <w:vAlign w:val="bottom"/>
            <w:vMerge w:val="restart"/>
          </w:tcPr>
          <w:p>
            <w:pPr>
              <w:jc w:val="center"/>
              <w:ind w:left="238"/>
              <w:spacing w:after="0"/>
              <w:rPr>
                <w:sz w:val="20"/>
                <w:szCs w:val="20"/>
                <w:color w:val="auto"/>
              </w:rPr>
            </w:pPr>
            <w:r>
              <w:rPr>
                <w:rFonts w:ascii="Times New Roman" w:cs="Times New Roman" w:eastAsia="Times New Roman" w:hAnsi="Times New Roman"/>
                <w:sz w:val="18"/>
                <w:szCs w:val="18"/>
                <w:b w:val="1"/>
                <w:bCs w:val="1"/>
                <w:color w:val="auto"/>
              </w:rPr>
              <w:t>0.68</w:t>
            </w:r>
          </w:p>
        </w:tc>
        <w:tc>
          <w:tcPr>
            <w:tcW w:w="2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1.09</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1.37</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1.26</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0.70 – 1.40</w:t>
            </w:r>
          </w:p>
        </w:tc>
        <w:tc>
          <w:tcPr>
            <w:tcW w:w="0" w:type="dxa"/>
            <w:vAlign w:val="bottom"/>
          </w:tcPr>
          <w:p>
            <w:pPr>
              <w:spacing w:after="0"/>
              <w:rPr>
                <w:sz w:val="1"/>
                <w:szCs w:val="1"/>
                <w:color w:val="auto"/>
              </w:rPr>
            </w:pPr>
          </w:p>
        </w:tc>
      </w:tr>
      <w:tr>
        <w:trPr>
          <w:trHeight w:val="130"/>
        </w:trPr>
        <w:tc>
          <w:tcPr>
            <w:tcW w:w="3320" w:type="dxa"/>
            <w:vAlign w:val="bottom"/>
            <w:tcBorders>
              <w:left w:val="single" w:sz="8" w:color="auto"/>
              <w:right w:val="single" w:sz="8" w:color="auto"/>
            </w:tcBorders>
            <w:vMerge w:val="restart"/>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(Part 1 + Part 2)</w:t>
            </w:r>
          </w:p>
        </w:tc>
        <w:tc>
          <w:tcPr>
            <w:tcW w:w="132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320" w:type="dxa"/>
            <w:vAlign w:val="bottom"/>
            <w:tcBorders>
              <w:left w:val="single" w:sz="8" w:color="auto"/>
              <w:bottom w:val="single" w:sz="8" w:color="auto"/>
              <w:right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Part 2 Only</w:t>
            </w:r>
          </w:p>
        </w:tc>
        <w:tc>
          <w:tcPr>
            <w:tcW w:w="1320" w:type="dxa"/>
            <w:vAlign w:val="bottom"/>
            <w:tcBorders>
              <w:bottom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1.52</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0.69</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0.95</w:t>
            </w: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0.70 – 1.40</w:t>
            </w:r>
          </w:p>
        </w:tc>
        <w:tc>
          <w:tcPr>
            <w:tcW w:w="0" w:type="dxa"/>
            <w:vAlign w:val="bottom"/>
          </w:tcPr>
          <w:p>
            <w:pPr>
              <w:spacing w:after="0"/>
              <w:rPr>
                <w:sz w:val="1"/>
                <w:szCs w:val="1"/>
                <w:color w:val="auto"/>
              </w:rPr>
            </w:pPr>
          </w:p>
        </w:tc>
      </w:tr>
      <w:tr>
        <w:trPr>
          <w:trHeight w:val="22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Note: IR = incidence rate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safety results observed in Part 2 were consistent with those previously observed in the broader obefazimod clinical development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new safety pattern emerged with the additional cumulative exposure provided by Part 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Path Forward</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believes the foregoing Part 2 results expand the integrated clinical dataset supporting the planned New Drug Application (“NDA”) for obefazimod in UC. The Company believes it remains on track to submit its NDA to the U.S. Food and Drug Administration in the fourth quarter of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Anticipated Key Milestones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21, 2026 – Half-year 2026 financial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2026 – Planned NDA submission for obefazimod in UC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Mid-2027 – Topline results from the Phase 2b ENHANCE-CD induction trial evaluating obefazimod in Crohn’s disease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foregoing results is furnished as Exhibit 99.1 to this Report on Form 6-K.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Report on Form 6-K, excluding Exhibit 99.1, shall be deemed to be incorporated by reference into the Registrant’s registration statements on Form F-3 (File Nos. 333-283336 and 333-288884) and Form S-8 (File Nos. 333-286069 and 333-294544) and to be part thereof from the date on which this Report is filed, to the extent not superseded by documents or reports subsequently filed.</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dated June 29, 2026</w:t>
      </w:r>
    </w:p>
    <w:p>
      <w:pPr>
        <w:sectPr>
          <w:pgSz w:w="11900" w:h="16838" w:orient="portrait"/>
          <w:cols w:equalWidth="0" w:num="1">
            <w:col w:w="10019"/>
          </w:cols>
          <w:pgMar w:left="440" w:top="26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Report on Form 6-K contains forward-looking statements, forecasts and estimates, including those relating to the Company’s business and financial objectives. Words such as “expect,” “intend,” “potential” and variations of such words and similar expressions are intended to identify forward-looking statements. These forward-looking statements include statements concerning the potential therapeutic benefit of obefazimod and obefazimod’s potential to redefine treatment expectations, the expected timing for completion of the Phase 2b ENHANCE-CD induction trial of obefazimod and the availability and timing of results therefrom, the timing of regulatory filings including an NDA submission for obefazimod in UC, the timing for reporting Abivax’s half year 2026 financial results, and other statements that are not historical fact. Although the Registrant’s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the Registrant,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w:t>
      </w:r>
      <w:r>
        <w:rPr>
          <w:rFonts w:ascii="Times New Roman" w:cs="Times New Roman" w:eastAsia="Times New Roman" w:hAnsi="Times New Roman"/>
          <w:sz w:val="17"/>
          <w:szCs w:val="17"/>
          <w:i w:val="1"/>
          <w:iCs w:val="1"/>
          <w:color w:val="auto"/>
        </w:rPr>
        <w:t>Document d’Enregistrement Universel</w:t>
      </w:r>
      <w:r>
        <w:rPr>
          <w:rFonts w:ascii="Times New Roman" w:cs="Times New Roman" w:eastAsia="Times New Roman" w:hAnsi="Times New Roman"/>
          <w:sz w:val="17"/>
          <w:szCs w:val="17"/>
          <w:color w:val="auto"/>
        </w:rPr>
        <w:t>) and in its Annual Report on Form 20-F filed with the U.S. Securities and Exchange Commission on March 23, 2026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Report. Readers are cautioned not to place undue reliance on these forward-looking statements. The Registrant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Report is not intended to constitute an advertisement. This Report is for information purposes only, and the information contained herein does not constitute either an offer to sell or the solicitation of an offer to purchase or subscribe for securities of the Company in any jurisdiction. 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The distribution of this document may be restricted by law in certain jurisdictions. Persons into whose possession this document comes are required to inform themselves about and to observe any such restrictions.</w:t>
      </w:r>
    </w:p>
    <w:p>
      <w:pPr>
        <w:sectPr>
          <w:pgSz w:w="11900" w:h="16838" w:orient="portrait"/>
          <w:cols w:equalWidth="0" w:num="1">
            <w:col w:w="11000"/>
          </w:cols>
          <w:pgMar w:left="440" w:top="266" w:right="45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u w:val="single" w:color="auto"/>
          <w:color w:val="auto"/>
        </w:rPr>
        <w:t>Abivax SA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/s/ Marc de Garidel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Marc de Garidel</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66" w:right="1199" w:bottom="1440" w:gutter="0" w:footer="0" w:header="0"/>
        </w:sectPr>
      </w:pPr>
    </w:p>
    <w:bookmarkStart w:id="7" w:name="page8"/>
    <w:bookmarkEnd w:id="7"/>
    <w:p>
      <w:pPr>
        <w:jc w:val="right"/>
        <w:spacing w:after="0"/>
        <w:rPr>
          <w:sz w:val="20"/>
          <w:szCs w:val="20"/>
          <w:color w:val="auto"/>
        </w:rPr>
      </w:pPr>
      <w:r>
        <w:rPr>
          <w:rFonts w:ascii="Verdana" w:cs="Verdana" w:eastAsia="Verdana" w:hAnsi="Verdana"/>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143125"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line="244" w:lineRule="auto"/>
        <w:rPr>
          <w:sz w:val="20"/>
          <w:szCs w:val="20"/>
          <w:color w:val="auto"/>
        </w:rPr>
      </w:pPr>
      <w:r>
        <w:rPr>
          <w:rFonts w:ascii="Verdana" w:cs="Verdana" w:eastAsia="Verdana" w:hAnsi="Verdana"/>
          <w:sz w:val="31"/>
          <w:szCs w:val="31"/>
          <w:b w:val="1"/>
          <w:bCs w:val="1"/>
          <w:color w:val="614DD1"/>
        </w:rPr>
        <w:t>Abivax Reports Positive ABTECT Maintenance Part 2 Results for Obefazimod, Demonstrating Meaningful Clinical Benefit in Refractory Ulcerative Colitis Patients and Strengthening the Phase 3 Maintenance Safety Database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80" w:right="580" w:hanging="436"/>
        <w:spacing w:after="0" w:line="246" w:lineRule="auto"/>
        <w:tabs>
          <w:tab w:leader="none" w:pos="1080" w:val="left"/>
        </w:tabs>
        <w:numPr>
          <w:ilvl w:val="0"/>
          <w:numId w:val="4"/>
        </w:numPr>
        <w:rPr>
          <w:rFonts w:ascii="Verdana" w:cs="Verdana" w:eastAsia="Verdana" w:hAnsi="Verdana"/>
          <w:sz w:val="20"/>
          <w:szCs w:val="20"/>
          <w:color w:val="auto"/>
        </w:rPr>
      </w:pPr>
      <w:r>
        <w:rPr>
          <w:rFonts w:ascii="Verdana" w:cs="Verdana" w:eastAsia="Verdana" w:hAnsi="Verdana"/>
          <w:sz w:val="20"/>
          <w:szCs w:val="20"/>
          <w:i w:val="1"/>
          <w:iCs w:val="1"/>
          <w:color w:val="auto"/>
        </w:rPr>
        <w:t>Obefazimod delivered meaningful clinical benefit in a highly refractory ulcerative colitis (“UC”) population, with 37.2% of induction non-responders achieving clinical remission and 34.5% achieving endoscopic remission at Week 44 following continued 50 mg treatment</w:t>
      </w:r>
    </w:p>
    <w:p>
      <w:pPr>
        <w:spacing w:after="0" w:line="197" w:lineRule="exact"/>
        <w:rPr>
          <w:rFonts w:ascii="Verdana" w:cs="Verdana" w:eastAsia="Verdana" w:hAnsi="Verdana"/>
          <w:sz w:val="20"/>
          <w:szCs w:val="20"/>
          <w:color w:val="auto"/>
        </w:rPr>
      </w:pPr>
    </w:p>
    <w:p>
      <w:pPr>
        <w:ind w:left="1080" w:right="420" w:hanging="436"/>
        <w:spacing w:after="0" w:line="246" w:lineRule="auto"/>
        <w:tabs>
          <w:tab w:leader="none" w:pos="1080" w:val="left"/>
        </w:tabs>
        <w:numPr>
          <w:ilvl w:val="0"/>
          <w:numId w:val="4"/>
        </w:numPr>
        <w:rPr>
          <w:rFonts w:ascii="Verdana" w:cs="Verdana" w:eastAsia="Verdana" w:hAnsi="Verdana"/>
          <w:sz w:val="20"/>
          <w:szCs w:val="20"/>
          <w:color w:val="auto"/>
        </w:rPr>
      </w:pPr>
      <w:r>
        <w:rPr>
          <w:rFonts w:ascii="Verdana" w:cs="Verdana" w:eastAsia="Verdana" w:hAnsi="Verdana"/>
          <w:sz w:val="20"/>
          <w:szCs w:val="20"/>
          <w:i w:val="1"/>
          <w:iCs w:val="1"/>
          <w:color w:val="auto"/>
        </w:rPr>
        <w:t>Dose escalation to obefazimod 50 mg recaptured clinical remission in 45.5% of patients who relapsed during ABTECT Maintenance Part 1, supporting a practical dose-escalation strategy for regaining and sustaining disease control over time</w:t>
      </w:r>
    </w:p>
    <w:p>
      <w:pPr>
        <w:spacing w:after="0" w:line="197" w:lineRule="exact"/>
        <w:rPr>
          <w:rFonts w:ascii="Verdana" w:cs="Verdana" w:eastAsia="Verdana" w:hAnsi="Verdana"/>
          <w:sz w:val="20"/>
          <w:szCs w:val="20"/>
          <w:color w:val="auto"/>
        </w:rPr>
      </w:pPr>
    </w:p>
    <w:p>
      <w:pPr>
        <w:ind w:left="1080" w:right="40" w:hanging="436"/>
        <w:spacing w:after="0" w:line="243" w:lineRule="auto"/>
        <w:tabs>
          <w:tab w:leader="none" w:pos="1080" w:val="left"/>
        </w:tabs>
        <w:numPr>
          <w:ilvl w:val="0"/>
          <w:numId w:val="4"/>
        </w:numPr>
        <w:rPr>
          <w:rFonts w:ascii="Verdana" w:cs="Verdana" w:eastAsia="Verdana" w:hAnsi="Verdana"/>
          <w:sz w:val="20"/>
          <w:szCs w:val="20"/>
          <w:color w:val="auto"/>
        </w:rPr>
      </w:pPr>
      <w:r>
        <w:rPr>
          <w:rFonts w:ascii="Verdana" w:cs="Verdana" w:eastAsia="Verdana" w:hAnsi="Verdana"/>
          <w:sz w:val="20"/>
          <w:szCs w:val="20"/>
          <w:i w:val="1"/>
          <w:iCs w:val="1"/>
          <w:color w:val="auto"/>
        </w:rPr>
        <w:t>Across the integrated Phase 2 and Phase 3 UC program (1,704 patient-years of exposure), exposure-adjusted incidence rates (“EAIRs”) for malignancies excluding non-melanoma skin cancer (“NMSC”) were 0.35 and 0.64 events per 100 patient-years (“PYs”), and for NMSC were 0.59 and 0.64 events per 100 PYs in the all-active combined (50 mg + 25 mg) and 50 mg cohorts, respectively, all consistent with expected UC background rates</w:t>
      </w:r>
    </w:p>
    <w:p>
      <w:pPr>
        <w:spacing w:after="0" w:line="200" w:lineRule="exact"/>
        <w:rPr>
          <w:rFonts w:ascii="Verdana" w:cs="Verdana" w:eastAsia="Verdana" w:hAnsi="Verdana"/>
          <w:sz w:val="20"/>
          <w:szCs w:val="20"/>
          <w:color w:val="auto"/>
        </w:rPr>
      </w:pPr>
    </w:p>
    <w:p>
      <w:pPr>
        <w:jc w:val="both"/>
        <w:ind w:left="1080" w:right="40" w:hanging="436"/>
        <w:spacing w:after="0" w:line="246" w:lineRule="auto"/>
        <w:tabs>
          <w:tab w:leader="none" w:pos="1080" w:val="left"/>
        </w:tabs>
        <w:numPr>
          <w:ilvl w:val="0"/>
          <w:numId w:val="4"/>
        </w:numPr>
        <w:rPr>
          <w:rFonts w:ascii="Verdana" w:cs="Verdana" w:eastAsia="Verdana" w:hAnsi="Verdana"/>
          <w:sz w:val="20"/>
          <w:szCs w:val="20"/>
          <w:color w:val="auto"/>
        </w:rPr>
      </w:pPr>
      <w:r>
        <w:rPr>
          <w:rFonts w:ascii="Verdana" w:cs="Verdana" w:eastAsia="Verdana" w:hAnsi="Verdana"/>
          <w:sz w:val="20"/>
          <w:szCs w:val="20"/>
          <w:i w:val="1"/>
          <w:iCs w:val="1"/>
          <w:color w:val="auto"/>
        </w:rPr>
        <w:t>In ABTECT Maintenance Part 2, EAIRs for malignancies excluding NMSC were 0.48 and 0.69 events per 100 PYs, and for NMSC were 0.95 and 0.69 events per 100 PYs, in the all-active combined and 50 mg cohorts, respectively, all consistent with expected UC background rates</w:t>
      </w:r>
    </w:p>
    <w:p>
      <w:pPr>
        <w:spacing w:after="0" w:line="197" w:lineRule="exact"/>
        <w:rPr>
          <w:rFonts w:ascii="Verdana" w:cs="Verdana" w:eastAsia="Verdana" w:hAnsi="Verdana"/>
          <w:sz w:val="20"/>
          <w:szCs w:val="20"/>
          <w:color w:val="auto"/>
        </w:rPr>
      </w:pPr>
    </w:p>
    <w:p>
      <w:pPr>
        <w:ind w:left="1080" w:right="20" w:hanging="436"/>
        <w:spacing w:after="0" w:line="253" w:lineRule="auto"/>
        <w:tabs>
          <w:tab w:leader="none" w:pos="1080" w:val="left"/>
        </w:tabs>
        <w:numPr>
          <w:ilvl w:val="0"/>
          <w:numId w:val="4"/>
        </w:numPr>
        <w:rPr>
          <w:rFonts w:ascii="Verdana" w:cs="Verdana" w:eastAsia="Verdana" w:hAnsi="Verdana"/>
          <w:sz w:val="20"/>
          <w:szCs w:val="20"/>
          <w:color w:val="auto"/>
        </w:rPr>
      </w:pPr>
      <w:r>
        <w:rPr>
          <w:rFonts w:ascii="Verdana" w:cs="Verdana" w:eastAsia="Verdana" w:hAnsi="Verdana"/>
          <w:sz w:val="20"/>
          <w:szCs w:val="20"/>
          <w:i w:val="1"/>
          <w:iCs w:val="1"/>
          <w:color w:val="auto"/>
        </w:rPr>
        <w:t>Abivax to host a conference call and webcast today at 4:30 p.m. EDT (10:30 p.m. CEST) to discuss the results</w:t>
      </w:r>
    </w:p>
    <w:p>
      <w:pPr>
        <w:spacing w:after="0" w:line="200" w:lineRule="exact"/>
        <w:rPr>
          <w:sz w:val="20"/>
          <w:szCs w:val="20"/>
          <w:color w:val="auto"/>
        </w:rPr>
      </w:pPr>
    </w:p>
    <w:p>
      <w:pPr>
        <w:spacing w:after="0" w:line="206" w:lineRule="exact"/>
        <w:rPr>
          <w:sz w:val="20"/>
          <w:szCs w:val="20"/>
          <w:color w:val="auto"/>
        </w:rPr>
      </w:pPr>
    </w:p>
    <w:p>
      <w:pPr>
        <w:ind w:right="40"/>
        <w:spacing w:after="0" w:line="242" w:lineRule="auto"/>
        <w:rPr>
          <w:sz w:val="20"/>
          <w:szCs w:val="20"/>
          <w:color w:val="auto"/>
        </w:rPr>
      </w:pPr>
      <w:r>
        <w:rPr>
          <w:rFonts w:ascii="Verdana" w:cs="Verdana" w:eastAsia="Verdana" w:hAnsi="Verdana"/>
          <w:sz w:val="20"/>
          <w:szCs w:val="20"/>
          <w:b w:val="1"/>
          <w:bCs w:val="1"/>
          <w:color w:val="auto"/>
        </w:rPr>
        <w:t xml:space="preserve">PARIS, France – June 29, 2026 – 10:05 pm CEST </w:t>
      </w:r>
      <w:r>
        <w:rPr>
          <w:rFonts w:ascii="Verdana" w:cs="Verdana" w:eastAsia="Verdana" w:hAnsi="Verdana"/>
          <w:sz w:val="20"/>
          <w:szCs w:val="20"/>
          <w:color w:val="auto"/>
        </w:rPr>
        <w:t>–</w:t>
      </w:r>
      <w:r>
        <w:rPr>
          <w:rFonts w:ascii="Verdana" w:cs="Verdana" w:eastAsia="Verdana" w:hAnsi="Verdana"/>
          <w:sz w:val="20"/>
          <w:szCs w:val="20"/>
          <w:b w:val="1"/>
          <w:bCs w:val="1"/>
          <w:color w:val="auto"/>
        </w:rPr>
        <w:t xml:space="preserve"> </w:t>
      </w:r>
      <w:r>
        <w:rPr>
          <w:rFonts w:ascii="Verdana" w:cs="Verdana" w:eastAsia="Verdana" w:hAnsi="Verdana"/>
          <w:sz w:val="20"/>
          <w:szCs w:val="20"/>
          <w:u w:val="single" w:color="auto"/>
          <w:color w:val="0000FF"/>
        </w:rPr>
        <w:t>Abivax SA</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(Euronext Paris: FR0012333284 – ABVX /</w:t>
      </w:r>
      <w:r>
        <w:rPr>
          <w:rFonts w:ascii="Verdana" w:cs="Verdana" w:eastAsia="Verdana" w:hAnsi="Verdana"/>
          <w:sz w:val="20"/>
          <w:szCs w:val="20"/>
          <w:b w:val="1"/>
          <w:bCs w:val="1"/>
          <w:color w:val="auto"/>
        </w:rPr>
        <w:t xml:space="preserve"> </w:t>
      </w:r>
      <w:r>
        <w:rPr>
          <w:rFonts w:ascii="Verdana" w:cs="Verdana" w:eastAsia="Verdana" w:hAnsi="Verdana"/>
          <w:sz w:val="20"/>
          <w:szCs w:val="20"/>
          <w:color w:val="auto"/>
        </w:rPr>
        <w:t>Nasdaq: ABVX) (“Abivax” or the “Company”), a clinical-stage biotechnology company focused on developing therapeutics that harness the body’s natural regulatory mechanisms to stabilize the immune response in patients with chronic inflammatory diseases, today announced topline results from ABTECT Maintenance Part 2, the supplemental portion of its Phase 3 UC maintenance program evaluating obefazimod, its investigational oral miR-124 enhancer, in adults with moderately to severely active UC.</w:t>
      </w:r>
    </w:p>
    <w:p>
      <w:pPr>
        <w:sectPr>
          <w:pgSz w:w="11900" w:h="16838" w:orient="portrait"/>
          <w:cols w:equalWidth="0" w:num="1">
            <w:col w:w="11020"/>
          </w:cols>
          <w:pgMar w:left="440" w:top="143" w:right="439" w:bottom="1440" w:gutter="0" w:footer="0" w:header="0"/>
        </w:sectPr>
      </w:pPr>
    </w:p>
    <w:bookmarkStart w:id="8" w:name="page9"/>
    <w:bookmarkEnd w:id="8"/>
    <w:p>
      <w:pPr>
        <w:ind w:right="40"/>
        <w:spacing w:after="0" w:line="244" w:lineRule="auto"/>
        <w:rPr>
          <w:sz w:val="20"/>
          <w:szCs w:val="20"/>
          <w:color w:val="auto"/>
        </w:rPr>
      </w:pPr>
      <w:r>
        <w:rPr>
          <w:rFonts w:ascii="Verdana" w:cs="Verdana" w:eastAsia="Verdana" w:hAnsi="Verdana"/>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143125"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77190"/>
                    </a:xfrm>
                    <a:prstGeom prst="rect">
                      <a:avLst/>
                    </a:prstGeom>
                    <a:noFill/>
                  </pic:spPr>
                </pic:pic>
              </a:graphicData>
            </a:graphic>
          </wp:anchor>
        </w:drawing>
        <w:t>Part 2 of the Phase 3 Maintenance trial enrolled patients who either did not achieve clinical response following induction treatment or who experienced disease relapse during the re-randomized maintenance trial (Part 1), expanding both the efficacy and safety results in a more refractory patient population than the registrational maintenance cohort.</w:t>
      </w:r>
    </w:p>
    <w:p>
      <w:pPr>
        <w:spacing w:after="0" w:line="200" w:lineRule="exact"/>
        <w:rPr>
          <w:sz w:val="20"/>
          <w:szCs w:val="20"/>
          <w:color w:val="auto"/>
        </w:rPr>
      </w:pPr>
    </w:p>
    <w:p>
      <w:pPr>
        <w:spacing w:after="0" w:line="244" w:lineRule="auto"/>
        <w:rPr>
          <w:sz w:val="20"/>
          <w:szCs w:val="20"/>
          <w:color w:val="auto"/>
        </w:rPr>
      </w:pPr>
      <w:r>
        <w:rPr>
          <w:rFonts w:ascii="Verdana" w:cs="Verdana" w:eastAsia="Verdana" w:hAnsi="Verdana"/>
          <w:sz w:val="20"/>
          <w:szCs w:val="20"/>
          <w:color w:val="auto"/>
        </w:rPr>
        <w:t>The additional safety results generated through Part 2 expand the Phase 3 maintenance database and provide important context for interpreting the safety findings reported following the Maintenance Part 1 readout. The integrated post-hoc analyses presented today include the new Part 2 results, the combined Phase 3 maintenance program, and the broader Phase 2 and Phase 3 clinical development program.</w:t>
      </w:r>
    </w:p>
    <w:p>
      <w:pPr>
        <w:spacing w:after="0" w:line="200"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b w:val="1"/>
          <w:bCs w:val="1"/>
          <w:color w:val="auto"/>
        </w:rPr>
        <w:t xml:space="preserve">Marc de Garidel, MBA, Chief Executive Officer of Abivax, said: </w:t>
      </w:r>
      <w:r>
        <w:rPr>
          <w:rFonts w:ascii="Verdana" w:cs="Verdana" w:eastAsia="Verdana" w:hAnsi="Verdana"/>
          <w:sz w:val="20"/>
          <w:szCs w:val="20"/>
          <w:i w:val="1"/>
          <w:iCs w:val="1"/>
          <w:color w:val="auto"/>
        </w:rPr>
        <w:t>“The results from ABTECT Maintenance</w:t>
      </w:r>
      <w:r>
        <w:rPr>
          <w:rFonts w:ascii="Arial" w:cs="Arial" w:eastAsia="Arial" w:hAnsi="Arial"/>
          <w:sz w:val="20"/>
          <w:szCs w:val="20"/>
          <w:b w:val="1"/>
          <w:bCs w:val="1"/>
          <w:color w:val="auto"/>
        </w:rPr>
        <w:t xml:space="preserve"> </w:t>
      </w:r>
      <w:r>
        <w:rPr>
          <w:rFonts w:ascii="Verdana" w:cs="Verdana" w:eastAsia="Verdana" w:hAnsi="Verdana"/>
          <w:sz w:val="20"/>
          <w:szCs w:val="20"/>
          <w:i w:val="1"/>
          <w:iCs w:val="1"/>
          <w:color w:val="auto"/>
        </w:rPr>
        <w:t>Part 2 represent an important milestone in the clinical development of obefazimod, demonstrating meaningful clinical benefit in patients with highly refractory ulcerative colitis while substantially expanding our long-term safety database. Together with the unprecedented efficacy results from the ABTECT Phase 3 program, these findings build a comprehensive body of evidence supporting the potential of obefazimod to address significant unmet needs across a broad spectrum of patients living with ulcerative colitis.</w:t>
      </w:r>
    </w:p>
    <w:p>
      <w:pPr>
        <w:spacing w:after="0" w:line="203" w:lineRule="exact"/>
        <w:rPr>
          <w:sz w:val="20"/>
          <w:szCs w:val="20"/>
          <w:color w:val="auto"/>
        </w:rPr>
      </w:pPr>
    </w:p>
    <w:p>
      <w:pPr>
        <w:ind w:right="160"/>
        <w:spacing w:after="0" w:line="244" w:lineRule="auto"/>
        <w:rPr>
          <w:sz w:val="20"/>
          <w:szCs w:val="20"/>
          <w:color w:val="auto"/>
        </w:rPr>
      </w:pPr>
      <w:r>
        <w:rPr>
          <w:rFonts w:ascii="Verdana" w:cs="Verdana" w:eastAsia="Verdana" w:hAnsi="Verdana"/>
          <w:sz w:val="20"/>
          <w:szCs w:val="20"/>
          <w:i w:val="1"/>
          <w:iCs w:val="1"/>
          <w:color w:val="auto"/>
        </w:rPr>
        <w:t>“The expanded cumulative safety data further strengthens our confidence in the long-term safety profile of obefazimod and reinforces the favorable benefit-risk profile for our program as we prepare for our planned NDA submission later this year. We believe this growing body of evidence positions obefazimod, if approved, to become a paradigm defining treatment option for patients living with ulcerative colitis.”</w:t>
      </w:r>
    </w:p>
    <w:p>
      <w:pPr>
        <w:spacing w:after="0" w:line="200" w:lineRule="exact"/>
        <w:rPr>
          <w:sz w:val="20"/>
          <w:szCs w:val="20"/>
          <w:color w:val="auto"/>
        </w:rPr>
      </w:pPr>
    </w:p>
    <w:p>
      <w:pPr>
        <w:ind w:right="360"/>
        <w:spacing w:after="0" w:line="281" w:lineRule="auto"/>
        <w:rPr>
          <w:sz w:val="20"/>
          <w:szCs w:val="20"/>
          <w:color w:val="auto"/>
        </w:rPr>
      </w:pPr>
      <w:r>
        <w:rPr>
          <w:rFonts w:ascii="Arial" w:cs="Arial" w:eastAsia="Arial" w:hAnsi="Arial"/>
          <w:sz w:val="20"/>
          <w:szCs w:val="20"/>
          <w:b w:val="1"/>
          <w:bCs w:val="1"/>
          <w:color w:val="auto"/>
        </w:rPr>
        <w:t>Clinically meaningful efficacy results observed in induction non-responders following additional obefazimod exposure</w:t>
      </w:r>
    </w:p>
    <w:p>
      <w:pPr>
        <w:spacing w:after="0" w:line="163" w:lineRule="exact"/>
        <w:rPr>
          <w:sz w:val="20"/>
          <w:szCs w:val="20"/>
          <w:color w:val="auto"/>
        </w:rPr>
      </w:pPr>
    </w:p>
    <w:p>
      <w:pPr>
        <w:ind w:right="120"/>
        <w:spacing w:after="0" w:line="242" w:lineRule="auto"/>
        <w:rPr>
          <w:sz w:val="20"/>
          <w:szCs w:val="20"/>
          <w:color w:val="auto"/>
        </w:rPr>
      </w:pPr>
      <w:r>
        <w:rPr>
          <w:rFonts w:ascii="Verdana" w:cs="Verdana" w:eastAsia="Verdana" w:hAnsi="Verdana"/>
          <w:sz w:val="20"/>
          <w:szCs w:val="20"/>
          <w:color w:val="auto"/>
        </w:rPr>
        <w:t>Among patients who failed to achieve clinical response after 8 weeks of induction, continued treatment with obefazimod resulted in clinically meaningful rates of clinical, endoscopic, and combined histologic-endoscopic endpoints at Week 44. Patients treated continuously with 50 mg obefazimod demonstrated the strongest outcomes across all endpoints, including clinical remission (37.2%), clinical response (61.5%), endoscopic improvement (48.0%), Histologic-Endoscopic Mucosal Improvement (“HEMI”) (44.6%), and endoscopic remission (34.5%). These findings suggest that a meaningful proportion of patients who do not initially respond may still derive substantial benefit from longer treatment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142875</wp:posOffset>
            </wp:positionV>
            <wp:extent cx="5323205" cy="131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23205" cy="1311910"/>
                    </a:xfrm>
                    <a:prstGeom prst="rect">
                      <a:avLst/>
                    </a:prstGeom>
                    <a:noFill/>
                  </pic:spPr>
                </pic:pic>
              </a:graphicData>
            </a:graphic>
          </wp:anchor>
        </w:drawing>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2 Induction Non-Responders – Exploratory Endpoints</w:t>
      </w:r>
    </w:p>
    <w:p>
      <w:pPr>
        <w:spacing w:after="0" w:line="9" w:lineRule="exact"/>
        <w:rPr>
          <w:sz w:val="20"/>
          <w:szCs w:val="20"/>
          <w:color w:val="auto"/>
        </w:rPr>
      </w:pPr>
    </w:p>
    <w:tbl>
      <w:tblPr>
        <w:tblLayout w:type="fixed"/>
        <w:tblInd w:w="1320" w:type="dxa"/>
        <w:tblCellMar>
          <w:top w:w="0" w:type="dxa"/>
          <w:left w:w="0" w:type="dxa"/>
          <w:bottom w:w="0" w:type="dxa"/>
          <w:right w:w="0" w:type="dxa"/>
        </w:tblCellMar>
      </w:tblPr>
      <w:tr>
        <w:trPr>
          <w:trHeight w:val="240"/>
        </w:trPr>
        <w:tc>
          <w:tcPr>
            <w:tcW w:w="6000" w:type="dxa"/>
            <w:vAlign w:val="bottom"/>
            <w:tcBorders>
              <w:top w:val="single" w:sz="8" w:color="D9D9D9"/>
              <w:right w:val="single" w:sz="8" w:color="D9D9D9"/>
            </w:tcBorders>
          </w:tcPr>
          <w:p>
            <w:pPr>
              <w:spacing w:after="0"/>
              <w:rPr>
                <w:sz w:val="20"/>
                <w:szCs w:val="20"/>
                <w:color w:val="auto"/>
              </w:rPr>
            </w:pPr>
          </w:p>
        </w:tc>
        <w:tc>
          <w:tcPr>
            <w:tcW w:w="1180" w:type="dxa"/>
            <w:vAlign w:val="bottom"/>
            <w:tcBorders>
              <w:top w:val="single" w:sz="8" w:color="D9D9D9"/>
              <w:right w:val="single" w:sz="8" w:color="D9D9D9"/>
            </w:tcBorders>
          </w:tcPr>
          <w:p>
            <w:pPr>
              <w:ind w:left="60"/>
              <w:spacing w:after="0"/>
              <w:rPr>
                <w:sz w:val="20"/>
                <w:szCs w:val="20"/>
                <w:color w:val="auto"/>
              </w:rPr>
            </w:pPr>
            <w:r>
              <w:rPr>
                <w:rFonts w:ascii="Arial" w:cs="Arial" w:eastAsia="Arial" w:hAnsi="Arial"/>
                <w:sz w:val="20"/>
                <w:szCs w:val="20"/>
                <w:b w:val="1"/>
                <w:bCs w:val="1"/>
                <w:color w:val="auto"/>
              </w:rPr>
              <w:t>  25 mg</w:t>
            </w:r>
          </w:p>
        </w:tc>
        <w:tc>
          <w:tcPr>
            <w:tcW w:w="1200" w:type="dxa"/>
            <w:vAlign w:val="bottom"/>
            <w:tcBorders>
              <w:top w:val="single" w:sz="8" w:color="D9D9D9"/>
            </w:tcBorders>
          </w:tcPr>
          <w:p>
            <w:pPr>
              <w:jc w:val="right"/>
              <w:ind w:right="141"/>
              <w:spacing w:after="0"/>
              <w:rPr>
                <w:sz w:val="20"/>
                <w:szCs w:val="20"/>
                <w:color w:val="auto"/>
              </w:rPr>
            </w:pPr>
            <w:r>
              <w:rPr>
                <w:rFonts w:ascii="Arial" w:cs="Arial" w:eastAsia="Arial" w:hAnsi="Arial"/>
                <w:sz w:val="20"/>
                <w:szCs w:val="20"/>
                <w:b w:val="1"/>
                <w:bCs w:val="1"/>
                <w:color w:val="auto"/>
              </w:rPr>
              <w:t>  50 mg</w:t>
            </w:r>
          </w:p>
        </w:tc>
      </w:tr>
      <w:tr>
        <w:trPr>
          <w:trHeight w:val="253"/>
        </w:trPr>
        <w:tc>
          <w:tcPr>
            <w:tcW w:w="6000" w:type="dxa"/>
            <w:vAlign w:val="bottom"/>
            <w:tcBorders>
              <w:bottom w:val="single" w:sz="8" w:color="D9D9D9"/>
              <w:right w:val="single" w:sz="8" w:color="D9D9D9"/>
            </w:tcBorders>
          </w:tcPr>
          <w:p>
            <w:pPr>
              <w:spacing w:after="0"/>
              <w:rPr>
                <w:sz w:val="21"/>
                <w:szCs w:val="21"/>
                <w:color w:val="auto"/>
              </w:rPr>
            </w:pPr>
          </w:p>
        </w:tc>
        <w:tc>
          <w:tcPr>
            <w:tcW w:w="1180" w:type="dxa"/>
            <w:vAlign w:val="bottom"/>
            <w:tcBorders>
              <w:bottom w:val="single" w:sz="8" w:color="D9D9D9"/>
              <w:right w:val="single" w:sz="8" w:color="D9D9D9"/>
            </w:tcBorders>
          </w:tcPr>
          <w:p>
            <w:pPr>
              <w:jc w:val="center"/>
              <w:spacing w:after="0"/>
              <w:rPr>
                <w:sz w:val="20"/>
                <w:szCs w:val="20"/>
                <w:color w:val="auto"/>
              </w:rPr>
            </w:pPr>
            <w:r>
              <w:rPr>
                <w:rFonts w:ascii="Verdana" w:cs="Verdana" w:eastAsia="Verdana" w:hAnsi="Verdana"/>
                <w:sz w:val="20"/>
                <w:szCs w:val="20"/>
                <w:color w:val="auto"/>
                <w:w w:val="98"/>
              </w:rPr>
              <w:t>(N=81)</w:t>
            </w:r>
          </w:p>
        </w:tc>
        <w:tc>
          <w:tcPr>
            <w:tcW w:w="1200" w:type="dxa"/>
            <w:vAlign w:val="bottom"/>
            <w:tcBorders>
              <w:bottom w:val="single" w:sz="8" w:color="D9D9D9"/>
            </w:tcBorders>
          </w:tcPr>
          <w:p>
            <w:pPr>
              <w:jc w:val="right"/>
              <w:ind w:right="61"/>
              <w:spacing w:after="0"/>
              <w:rPr>
                <w:sz w:val="20"/>
                <w:szCs w:val="20"/>
                <w:color w:val="auto"/>
              </w:rPr>
            </w:pPr>
            <w:r>
              <w:rPr>
                <w:rFonts w:ascii="Verdana" w:cs="Verdana" w:eastAsia="Verdana" w:hAnsi="Verdana"/>
                <w:sz w:val="20"/>
                <w:szCs w:val="20"/>
                <w:color w:val="auto"/>
              </w:rPr>
              <w:t>(N=148)</w:t>
            </w:r>
          </w:p>
        </w:tc>
      </w:tr>
      <w:tr>
        <w:trPr>
          <w:trHeight w:val="237"/>
        </w:trPr>
        <w:tc>
          <w:tcPr>
            <w:tcW w:w="60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Clinical Remission</w:t>
            </w:r>
          </w:p>
        </w:tc>
        <w:tc>
          <w:tcPr>
            <w:tcW w:w="118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23.5%</w:t>
            </w:r>
          </w:p>
        </w:tc>
        <w:tc>
          <w:tcPr>
            <w:tcW w:w="1200" w:type="dxa"/>
            <w:vAlign w:val="bottom"/>
            <w:tcBorders>
              <w:bottom w:val="single" w:sz="8" w:color="D9D9D9"/>
            </w:tcBorders>
          </w:tcPr>
          <w:p>
            <w:pPr>
              <w:jc w:val="right"/>
              <w:ind w:right="141"/>
              <w:spacing w:after="0" w:line="236" w:lineRule="exact"/>
              <w:rPr>
                <w:sz w:val="20"/>
                <w:szCs w:val="20"/>
                <w:color w:val="auto"/>
              </w:rPr>
            </w:pPr>
            <w:r>
              <w:rPr>
                <w:rFonts w:ascii="Verdana" w:cs="Verdana" w:eastAsia="Verdana" w:hAnsi="Verdana"/>
                <w:sz w:val="20"/>
                <w:szCs w:val="20"/>
                <w:color w:val="auto"/>
              </w:rPr>
              <w:t>37.2%</w:t>
            </w:r>
          </w:p>
        </w:tc>
      </w:tr>
      <w:tr>
        <w:trPr>
          <w:trHeight w:val="236"/>
        </w:trPr>
        <w:tc>
          <w:tcPr>
            <w:tcW w:w="60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Clinical Response</w:t>
            </w:r>
          </w:p>
        </w:tc>
        <w:tc>
          <w:tcPr>
            <w:tcW w:w="118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50.6%</w:t>
            </w:r>
          </w:p>
        </w:tc>
        <w:tc>
          <w:tcPr>
            <w:tcW w:w="1200" w:type="dxa"/>
            <w:vAlign w:val="bottom"/>
            <w:tcBorders>
              <w:bottom w:val="single" w:sz="8" w:color="D9D9D9"/>
            </w:tcBorders>
          </w:tcPr>
          <w:p>
            <w:pPr>
              <w:jc w:val="right"/>
              <w:ind w:right="141"/>
              <w:spacing w:after="0" w:line="236" w:lineRule="exact"/>
              <w:rPr>
                <w:sz w:val="20"/>
                <w:szCs w:val="20"/>
                <w:color w:val="auto"/>
              </w:rPr>
            </w:pPr>
            <w:r>
              <w:rPr>
                <w:rFonts w:ascii="Verdana" w:cs="Verdana" w:eastAsia="Verdana" w:hAnsi="Verdana"/>
                <w:sz w:val="20"/>
                <w:szCs w:val="20"/>
                <w:color w:val="auto"/>
              </w:rPr>
              <w:t>61.5%</w:t>
            </w:r>
          </w:p>
        </w:tc>
      </w:tr>
      <w:tr>
        <w:trPr>
          <w:trHeight w:val="237"/>
        </w:trPr>
        <w:tc>
          <w:tcPr>
            <w:tcW w:w="60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Endoscopic Improvement</w:t>
            </w:r>
          </w:p>
        </w:tc>
        <w:tc>
          <w:tcPr>
            <w:tcW w:w="118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28.4%</w:t>
            </w:r>
          </w:p>
        </w:tc>
        <w:tc>
          <w:tcPr>
            <w:tcW w:w="1200" w:type="dxa"/>
            <w:vAlign w:val="bottom"/>
            <w:tcBorders>
              <w:bottom w:val="single" w:sz="8" w:color="D9D9D9"/>
            </w:tcBorders>
          </w:tcPr>
          <w:p>
            <w:pPr>
              <w:jc w:val="right"/>
              <w:ind w:right="141"/>
              <w:spacing w:after="0" w:line="236" w:lineRule="exact"/>
              <w:rPr>
                <w:sz w:val="20"/>
                <w:szCs w:val="20"/>
                <w:color w:val="auto"/>
              </w:rPr>
            </w:pPr>
            <w:r>
              <w:rPr>
                <w:rFonts w:ascii="Verdana" w:cs="Verdana" w:eastAsia="Verdana" w:hAnsi="Verdana"/>
                <w:sz w:val="20"/>
                <w:szCs w:val="20"/>
                <w:color w:val="auto"/>
              </w:rPr>
              <w:t>48.0%</w:t>
            </w:r>
          </w:p>
        </w:tc>
      </w:tr>
      <w:tr>
        <w:trPr>
          <w:trHeight w:val="236"/>
        </w:trPr>
        <w:tc>
          <w:tcPr>
            <w:tcW w:w="60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HEMI</w:t>
            </w:r>
          </w:p>
        </w:tc>
        <w:tc>
          <w:tcPr>
            <w:tcW w:w="118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23.5%</w:t>
            </w:r>
          </w:p>
        </w:tc>
        <w:tc>
          <w:tcPr>
            <w:tcW w:w="1200" w:type="dxa"/>
            <w:vAlign w:val="bottom"/>
            <w:tcBorders>
              <w:bottom w:val="single" w:sz="8" w:color="D9D9D9"/>
            </w:tcBorders>
          </w:tcPr>
          <w:p>
            <w:pPr>
              <w:jc w:val="right"/>
              <w:ind w:right="141"/>
              <w:spacing w:after="0" w:line="236" w:lineRule="exact"/>
              <w:rPr>
                <w:sz w:val="20"/>
                <w:szCs w:val="20"/>
                <w:color w:val="auto"/>
              </w:rPr>
            </w:pPr>
            <w:r>
              <w:rPr>
                <w:rFonts w:ascii="Verdana" w:cs="Verdana" w:eastAsia="Verdana" w:hAnsi="Verdana"/>
                <w:sz w:val="20"/>
                <w:szCs w:val="20"/>
                <w:color w:val="auto"/>
              </w:rPr>
              <w:t>44.6%</w:t>
            </w:r>
          </w:p>
        </w:tc>
      </w:tr>
      <w:tr>
        <w:trPr>
          <w:trHeight w:val="237"/>
        </w:trPr>
        <w:tc>
          <w:tcPr>
            <w:tcW w:w="60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Endoscopic Remission</w:t>
            </w:r>
          </w:p>
        </w:tc>
        <w:tc>
          <w:tcPr>
            <w:tcW w:w="118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22.2%</w:t>
            </w:r>
          </w:p>
        </w:tc>
        <w:tc>
          <w:tcPr>
            <w:tcW w:w="1200" w:type="dxa"/>
            <w:vAlign w:val="bottom"/>
            <w:tcBorders>
              <w:bottom w:val="single" w:sz="8" w:color="D9D9D9"/>
            </w:tcBorders>
          </w:tcPr>
          <w:p>
            <w:pPr>
              <w:jc w:val="right"/>
              <w:ind w:right="141"/>
              <w:spacing w:after="0" w:line="236" w:lineRule="exact"/>
              <w:rPr>
                <w:sz w:val="20"/>
                <w:szCs w:val="20"/>
                <w:color w:val="auto"/>
              </w:rPr>
            </w:pPr>
            <w:r>
              <w:rPr>
                <w:rFonts w:ascii="Verdana" w:cs="Verdana" w:eastAsia="Verdana" w:hAnsi="Verdana"/>
                <w:sz w:val="20"/>
                <w:szCs w:val="20"/>
                <w:color w:val="auto"/>
              </w:rPr>
              <w:t>34.5%</w:t>
            </w:r>
          </w:p>
        </w:tc>
      </w:tr>
    </w:tbl>
    <w:p>
      <w:pPr>
        <w:sectPr>
          <w:pgSz w:w="11900" w:h="16838" w:orient="portrait"/>
          <w:cols w:equalWidth="0" w:num="1">
            <w:col w:w="11000"/>
          </w:cols>
          <w:pgMar w:left="440" w:top="1034" w:right="459" w:bottom="1440" w:gutter="0" w:footer="0" w:header="0"/>
        </w:sectPr>
      </w:pPr>
    </w:p>
    <w:bookmarkStart w:id="9" w:name="page10"/>
    <w:bookmarkEnd w:id="9"/>
    <w:p>
      <w:pPr>
        <w:ind w:right="960"/>
        <w:spacing w:after="0" w:line="281"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143125"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77190"/>
                    </a:xfrm>
                    <a:prstGeom prst="rect">
                      <a:avLst/>
                    </a:prstGeom>
                    <a:noFill/>
                  </pic:spPr>
                </pic:pic>
              </a:graphicData>
            </a:graphic>
          </wp:anchor>
        </w:drawing>
        <w:t>Obefazimod recaptured clinical and endoscopic outcomes in patients who relapsed during maintenance treatment</w:t>
      </w:r>
    </w:p>
    <w:p>
      <w:pPr>
        <w:spacing w:after="0" w:line="163" w:lineRule="exact"/>
        <w:rPr>
          <w:sz w:val="20"/>
          <w:szCs w:val="20"/>
          <w:color w:val="auto"/>
        </w:rPr>
      </w:pPr>
    </w:p>
    <w:p>
      <w:pPr>
        <w:ind w:right="60"/>
        <w:spacing w:after="0" w:line="256" w:lineRule="auto"/>
        <w:rPr>
          <w:sz w:val="20"/>
          <w:szCs w:val="20"/>
          <w:color w:val="auto"/>
        </w:rPr>
      </w:pPr>
      <w:r>
        <w:rPr>
          <w:rFonts w:ascii="Verdana" w:cs="Verdana" w:eastAsia="Verdana" w:hAnsi="Verdana"/>
          <w:sz w:val="19"/>
          <w:szCs w:val="19"/>
          <w:color w:val="auto"/>
        </w:rPr>
        <w:t>Among patients who relapsed during Maintenance Part 1, re-treatment with 50 mg obefazimod resulted in clinically meaningful rates of clinical remission, clinical response, endoscopic improvement, HEMI and endoscopic remission by Week 44. Patients who achieved clinical response with obefazimod during induction and relapsed after being re-randomized to placebo in Part 1 of the maintenance trial were treated with open-label 50 mg obefazimod and achieved clinical response and remission rates of 69.7% and 45.0%, respectively, while patients who relapsed on 25 mg and escalated to 50 mg achieved clinical response and remission rates of 66.7% and 45.5%, respectively. These findings demonstrate the potential for obefazimod to re-establish disease control following relapse and support a flexible maintenance treatment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135255</wp:posOffset>
            </wp:positionV>
            <wp:extent cx="5323205" cy="1474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23205" cy="1474470"/>
                    </a:xfrm>
                    <a:prstGeom prst="rect">
                      <a:avLst/>
                    </a:prstGeom>
                    <a:noFill/>
                  </pic:spPr>
                </pic:pic>
              </a:graphicData>
            </a:graphic>
          </wp:anchor>
        </w:drawing>
      </w:r>
    </w:p>
    <w:p>
      <w:pPr>
        <w:spacing w:after="0" w:line="210"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auto"/>
        </w:rPr>
        <w:t>Part 1 Relapsers – Exploratory Endpoints</w:t>
      </w:r>
    </w:p>
    <w:p>
      <w:pPr>
        <w:spacing w:after="0" w:line="9" w:lineRule="exact"/>
        <w:rPr>
          <w:sz w:val="20"/>
          <w:szCs w:val="20"/>
          <w:color w:val="auto"/>
        </w:rPr>
      </w:pPr>
    </w:p>
    <w:tbl>
      <w:tblPr>
        <w:tblLayout w:type="fixed"/>
        <w:tblInd w:w="1320" w:type="dxa"/>
        <w:tblCellMar>
          <w:top w:w="0" w:type="dxa"/>
          <w:left w:w="0" w:type="dxa"/>
          <w:bottom w:w="0" w:type="dxa"/>
          <w:right w:w="0" w:type="dxa"/>
        </w:tblCellMar>
      </w:tblPr>
      <w:tr>
        <w:trPr>
          <w:trHeight w:val="240"/>
        </w:trPr>
        <w:tc>
          <w:tcPr>
            <w:tcW w:w="3900" w:type="dxa"/>
            <w:vAlign w:val="bottom"/>
            <w:tcBorders>
              <w:top w:val="single" w:sz="8" w:color="D9D9D9"/>
              <w:right w:val="single" w:sz="8" w:color="D9D9D9"/>
            </w:tcBorders>
          </w:tcPr>
          <w:p>
            <w:pPr>
              <w:spacing w:after="0"/>
              <w:rPr>
                <w:sz w:val="20"/>
                <w:szCs w:val="20"/>
                <w:color w:val="auto"/>
              </w:rPr>
            </w:pPr>
          </w:p>
        </w:tc>
        <w:tc>
          <w:tcPr>
            <w:tcW w:w="2320" w:type="dxa"/>
            <w:vAlign w:val="bottom"/>
            <w:tcBorders>
              <w:top w:val="single" w:sz="8" w:color="D9D9D9"/>
              <w:right w:val="single" w:sz="8" w:color="D9D9D9"/>
            </w:tcBorders>
          </w:tcPr>
          <w:p>
            <w:pPr>
              <w:ind w:left="60"/>
              <w:spacing w:after="0"/>
              <w:rPr>
                <w:sz w:val="20"/>
                <w:szCs w:val="20"/>
                <w:color w:val="auto"/>
              </w:rPr>
            </w:pPr>
            <w:r>
              <w:rPr>
                <w:rFonts w:ascii="Arial" w:cs="Arial" w:eastAsia="Arial" w:hAnsi="Arial"/>
                <w:sz w:val="20"/>
                <w:szCs w:val="20"/>
                <w:b w:val="1"/>
                <w:bCs w:val="1"/>
                <w:color w:val="auto"/>
              </w:rPr>
              <w:t>  Placebo-&gt;50 mg</w:t>
            </w:r>
          </w:p>
        </w:tc>
        <w:tc>
          <w:tcPr>
            <w:tcW w:w="2160" w:type="dxa"/>
            <w:vAlign w:val="bottom"/>
            <w:tcBorders>
              <w:top w:val="single" w:sz="8" w:color="D9D9D9"/>
            </w:tcBorders>
          </w:tcPr>
          <w:p>
            <w:pPr>
              <w:ind w:left="60"/>
              <w:spacing w:after="0"/>
              <w:rPr>
                <w:sz w:val="20"/>
                <w:szCs w:val="20"/>
                <w:color w:val="auto"/>
              </w:rPr>
            </w:pPr>
            <w:r>
              <w:rPr>
                <w:rFonts w:ascii="Arial" w:cs="Arial" w:eastAsia="Arial" w:hAnsi="Arial"/>
                <w:sz w:val="20"/>
                <w:szCs w:val="20"/>
                <w:b w:val="1"/>
                <w:bCs w:val="1"/>
                <w:color w:val="auto"/>
              </w:rPr>
              <w:t>  25 mg-&gt;50 mg</w:t>
            </w:r>
          </w:p>
        </w:tc>
      </w:tr>
      <w:tr>
        <w:trPr>
          <w:trHeight w:val="253"/>
        </w:trPr>
        <w:tc>
          <w:tcPr>
            <w:tcW w:w="3900" w:type="dxa"/>
            <w:vAlign w:val="bottom"/>
            <w:tcBorders>
              <w:bottom w:val="single" w:sz="8" w:color="D9D9D9"/>
              <w:right w:val="single" w:sz="8" w:color="D9D9D9"/>
            </w:tcBorders>
          </w:tcPr>
          <w:p>
            <w:pPr>
              <w:spacing w:after="0"/>
              <w:rPr>
                <w:sz w:val="21"/>
                <w:szCs w:val="21"/>
                <w:color w:val="auto"/>
              </w:rPr>
            </w:pPr>
          </w:p>
        </w:tc>
        <w:tc>
          <w:tcPr>
            <w:tcW w:w="2320" w:type="dxa"/>
            <w:vAlign w:val="bottom"/>
            <w:tcBorders>
              <w:bottom w:val="single" w:sz="8" w:color="D9D9D9"/>
              <w:right w:val="single" w:sz="8" w:color="D9D9D9"/>
            </w:tcBorders>
          </w:tcPr>
          <w:p>
            <w:pPr>
              <w:jc w:val="center"/>
              <w:spacing w:after="0"/>
              <w:rPr>
                <w:sz w:val="20"/>
                <w:szCs w:val="20"/>
                <w:color w:val="auto"/>
              </w:rPr>
            </w:pPr>
            <w:r>
              <w:rPr>
                <w:rFonts w:ascii="Verdana" w:cs="Verdana" w:eastAsia="Verdana" w:hAnsi="Verdana"/>
                <w:sz w:val="20"/>
                <w:szCs w:val="20"/>
                <w:color w:val="auto"/>
              </w:rPr>
              <w:t>(N=109)</w:t>
            </w:r>
          </w:p>
        </w:tc>
        <w:tc>
          <w:tcPr>
            <w:tcW w:w="2160" w:type="dxa"/>
            <w:vAlign w:val="bottom"/>
            <w:tcBorders>
              <w:bottom w:val="single" w:sz="8" w:color="D9D9D9"/>
            </w:tcBorders>
          </w:tcPr>
          <w:p>
            <w:pPr>
              <w:ind w:left="720"/>
              <w:spacing w:after="0"/>
              <w:rPr>
                <w:sz w:val="20"/>
                <w:szCs w:val="20"/>
                <w:color w:val="auto"/>
              </w:rPr>
            </w:pPr>
            <w:r>
              <w:rPr>
                <w:rFonts w:ascii="Verdana" w:cs="Verdana" w:eastAsia="Verdana" w:hAnsi="Verdana"/>
                <w:sz w:val="20"/>
                <w:szCs w:val="20"/>
                <w:color w:val="auto"/>
              </w:rPr>
              <w:t>(N=33)</w:t>
            </w:r>
          </w:p>
        </w:tc>
      </w:tr>
      <w:tr>
        <w:trPr>
          <w:trHeight w:val="236"/>
        </w:trPr>
        <w:tc>
          <w:tcPr>
            <w:tcW w:w="3900" w:type="dxa"/>
            <w:vAlign w:val="bottom"/>
            <w:tcBorders>
              <w:bottom w:val="single" w:sz="8" w:color="D9D9D9"/>
              <w:right w:val="single" w:sz="8" w:color="D9D9D9"/>
            </w:tcBorders>
          </w:tcPr>
          <w:p>
            <w:pPr>
              <w:spacing w:after="0"/>
              <w:rPr>
                <w:sz w:val="20"/>
                <w:szCs w:val="20"/>
                <w:color w:val="auto"/>
              </w:rPr>
            </w:pPr>
          </w:p>
        </w:tc>
        <w:tc>
          <w:tcPr>
            <w:tcW w:w="2320" w:type="dxa"/>
            <w:vAlign w:val="bottom"/>
            <w:tcBorders>
              <w:bottom w:val="single" w:sz="8" w:color="D9D9D9"/>
              <w:right w:val="single" w:sz="8" w:color="D9D9D9"/>
            </w:tcBorders>
          </w:tcPr>
          <w:p>
            <w:pPr>
              <w:ind w:left="840"/>
              <w:spacing w:after="0"/>
              <w:rPr>
                <w:sz w:val="20"/>
                <w:szCs w:val="20"/>
                <w:color w:val="auto"/>
              </w:rPr>
            </w:pPr>
            <w:r>
              <w:rPr>
                <w:rFonts w:ascii="Arial" w:cs="Arial" w:eastAsia="Arial" w:hAnsi="Arial"/>
                <w:sz w:val="20"/>
                <w:szCs w:val="20"/>
                <w:b w:val="1"/>
                <w:bCs w:val="1"/>
                <w:color w:val="auto"/>
              </w:rPr>
              <w:t>50 mg</w:t>
            </w:r>
          </w:p>
        </w:tc>
        <w:tc>
          <w:tcPr>
            <w:tcW w:w="2160" w:type="dxa"/>
            <w:vAlign w:val="bottom"/>
            <w:tcBorders>
              <w:bottom w:val="single" w:sz="8" w:color="D9D9D9"/>
            </w:tcBorders>
          </w:tcPr>
          <w:p>
            <w:pPr>
              <w:ind w:left="740"/>
              <w:spacing w:after="0"/>
              <w:rPr>
                <w:sz w:val="20"/>
                <w:szCs w:val="20"/>
                <w:color w:val="auto"/>
              </w:rPr>
            </w:pPr>
            <w:r>
              <w:rPr>
                <w:rFonts w:ascii="Arial" w:cs="Arial" w:eastAsia="Arial" w:hAnsi="Arial"/>
                <w:sz w:val="20"/>
                <w:szCs w:val="20"/>
                <w:b w:val="1"/>
                <w:bCs w:val="1"/>
                <w:color w:val="auto"/>
              </w:rPr>
              <w:t>50 mg</w:t>
            </w:r>
          </w:p>
        </w:tc>
      </w:tr>
      <w:tr>
        <w:trPr>
          <w:trHeight w:val="237"/>
        </w:trPr>
        <w:tc>
          <w:tcPr>
            <w:tcW w:w="39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Clinical Remission</w:t>
            </w:r>
          </w:p>
        </w:tc>
        <w:tc>
          <w:tcPr>
            <w:tcW w:w="232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45.0%</w:t>
            </w:r>
          </w:p>
        </w:tc>
        <w:tc>
          <w:tcPr>
            <w:tcW w:w="2160" w:type="dxa"/>
            <w:vAlign w:val="bottom"/>
            <w:tcBorders>
              <w:bottom w:val="single" w:sz="8" w:color="D9D9D9"/>
            </w:tcBorders>
          </w:tcPr>
          <w:p>
            <w:pPr>
              <w:ind w:left="780"/>
              <w:spacing w:after="0" w:line="236" w:lineRule="exact"/>
              <w:rPr>
                <w:sz w:val="20"/>
                <w:szCs w:val="20"/>
                <w:color w:val="auto"/>
              </w:rPr>
            </w:pPr>
            <w:r>
              <w:rPr>
                <w:rFonts w:ascii="Verdana" w:cs="Verdana" w:eastAsia="Verdana" w:hAnsi="Verdana"/>
                <w:sz w:val="20"/>
                <w:szCs w:val="20"/>
                <w:color w:val="auto"/>
              </w:rPr>
              <w:t>45.5%</w:t>
            </w:r>
          </w:p>
        </w:tc>
      </w:tr>
      <w:tr>
        <w:trPr>
          <w:trHeight w:val="237"/>
        </w:trPr>
        <w:tc>
          <w:tcPr>
            <w:tcW w:w="39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Clinical Response</w:t>
            </w:r>
          </w:p>
        </w:tc>
        <w:tc>
          <w:tcPr>
            <w:tcW w:w="232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69.7%</w:t>
            </w:r>
          </w:p>
        </w:tc>
        <w:tc>
          <w:tcPr>
            <w:tcW w:w="2160" w:type="dxa"/>
            <w:vAlign w:val="bottom"/>
            <w:tcBorders>
              <w:bottom w:val="single" w:sz="8" w:color="D9D9D9"/>
            </w:tcBorders>
          </w:tcPr>
          <w:p>
            <w:pPr>
              <w:ind w:left="780"/>
              <w:spacing w:after="0" w:line="236" w:lineRule="exact"/>
              <w:rPr>
                <w:sz w:val="20"/>
                <w:szCs w:val="20"/>
                <w:color w:val="auto"/>
              </w:rPr>
            </w:pPr>
            <w:r>
              <w:rPr>
                <w:rFonts w:ascii="Verdana" w:cs="Verdana" w:eastAsia="Verdana" w:hAnsi="Verdana"/>
                <w:sz w:val="20"/>
                <w:szCs w:val="20"/>
                <w:color w:val="auto"/>
              </w:rPr>
              <w:t>66.7%</w:t>
            </w:r>
          </w:p>
        </w:tc>
      </w:tr>
      <w:tr>
        <w:trPr>
          <w:trHeight w:val="237"/>
        </w:trPr>
        <w:tc>
          <w:tcPr>
            <w:tcW w:w="39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Endoscopic Improvement</w:t>
            </w:r>
          </w:p>
        </w:tc>
        <w:tc>
          <w:tcPr>
            <w:tcW w:w="232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54.1%</w:t>
            </w:r>
          </w:p>
        </w:tc>
        <w:tc>
          <w:tcPr>
            <w:tcW w:w="2160" w:type="dxa"/>
            <w:vAlign w:val="bottom"/>
            <w:tcBorders>
              <w:bottom w:val="single" w:sz="8" w:color="D9D9D9"/>
            </w:tcBorders>
          </w:tcPr>
          <w:p>
            <w:pPr>
              <w:ind w:left="780"/>
              <w:spacing w:after="0" w:line="236" w:lineRule="exact"/>
              <w:rPr>
                <w:sz w:val="20"/>
                <w:szCs w:val="20"/>
                <w:color w:val="auto"/>
              </w:rPr>
            </w:pPr>
            <w:r>
              <w:rPr>
                <w:rFonts w:ascii="Verdana" w:cs="Verdana" w:eastAsia="Verdana" w:hAnsi="Verdana"/>
                <w:sz w:val="20"/>
                <w:szCs w:val="20"/>
                <w:color w:val="auto"/>
              </w:rPr>
              <w:t>45.5%</w:t>
            </w:r>
          </w:p>
        </w:tc>
      </w:tr>
      <w:tr>
        <w:trPr>
          <w:trHeight w:val="236"/>
        </w:trPr>
        <w:tc>
          <w:tcPr>
            <w:tcW w:w="39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HEMI</w:t>
            </w:r>
          </w:p>
        </w:tc>
        <w:tc>
          <w:tcPr>
            <w:tcW w:w="232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47.7%</w:t>
            </w:r>
          </w:p>
        </w:tc>
        <w:tc>
          <w:tcPr>
            <w:tcW w:w="2160" w:type="dxa"/>
            <w:vAlign w:val="bottom"/>
            <w:tcBorders>
              <w:bottom w:val="single" w:sz="8" w:color="D9D9D9"/>
            </w:tcBorders>
          </w:tcPr>
          <w:p>
            <w:pPr>
              <w:ind w:left="780"/>
              <w:spacing w:after="0" w:line="236" w:lineRule="exact"/>
              <w:rPr>
                <w:sz w:val="20"/>
                <w:szCs w:val="20"/>
                <w:color w:val="auto"/>
              </w:rPr>
            </w:pPr>
            <w:r>
              <w:rPr>
                <w:rFonts w:ascii="Verdana" w:cs="Verdana" w:eastAsia="Verdana" w:hAnsi="Verdana"/>
                <w:sz w:val="20"/>
                <w:szCs w:val="20"/>
                <w:color w:val="auto"/>
              </w:rPr>
              <w:t>39.4%</w:t>
            </w:r>
          </w:p>
        </w:tc>
      </w:tr>
      <w:tr>
        <w:trPr>
          <w:trHeight w:val="237"/>
        </w:trPr>
        <w:tc>
          <w:tcPr>
            <w:tcW w:w="3900" w:type="dxa"/>
            <w:vAlign w:val="bottom"/>
            <w:tcBorders>
              <w:bottom w:val="single" w:sz="8" w:color="D9D9D9"/>
              <w:right w:val="single" w:sz="8" w:color="D9D9D9"/>
            </w:tcBorders>
          </w:tcPr>
          <w:p>
            <w:pPr>
              <w:ind w:left="160"/>
              <w:spacing w:after="0"/>
              <w:rPr>
                <w:sz w:val="20"/>
                <w:szCs w:val="20"/>
                <w:color w:val="auto"/>
              </w:rPr>
            </w:pPr>
            <w:r>
              <w:rPr>
                <w:rFonts w:ascii="Arial" w:cs="Arial" w:eastAsia="Arial" w:hAnsi="Arial"/>
                <w:sz w:val="20"/>
                <w:szCs w:val="20"/>
                <w:b w:val="1"/>
                <w:bCs w:val="1"/>
                <w:color w:val="auto"/>
              </w:rPr>
              <w:t>Endoscopic Remission</w:t>
            </w:r>
          </w:p>
        </w:tc>
        <w:tc>
          <w:tcPr>
            <w:tcW w:w="2320" w:type="dxa"/>
            <w:vAlign w:val="bottom"/>
            <w:tcBorders>
              <w:bottom w:val="single" w:sz="8" w:color="D9D9D9"/>
              <w:right w:val="single" w:sz="8" w:color="D9D9D9"/>
            </w:tcBorders>
          </w:tcPr>
          <w:p>
            <w:pPr>
              <w:jc w:val="center"/>
              <w:spacing w:after="0" w:line="236" w:lineRule="exact"/>
              <w:rPr>
                <w:sz w:val="20"/>
                <w:szCs w:val="20"/>
                <w:color w:val="auto"/>
              </w:rPr>
            </w:pPr>
            <w:r>
              <w:rPr>
                <w:rFonts w:ascii="Verdana" w:cs="Verdana" w:eastAsia="Verdana" w:hAnsi="Verdana"/>
                <w:sz w:val="20"/>
                <w:szCs w:val="20"/>
                <w:color w:val="auto"/>
                <w:w w:val="98"/>
              </w:rPr>
              <w:t>32.1%</w:t>
            </w:r>
          </w:p>
        </w:tc>
        <w:tc>
          <w:tcPr>
            <w:tcW w:w="2160" w:type="dxa"/>
            <w:vAlign w:val="bottom"/>
            <w:tcBorders>
              <w:bottom w:val="single" w:sz="8" w:color="D9D9D9"/>
            </w:tcBorders>
          </w:tcPr>
          <w:p>
            <w:pPr>
              <w:ind w:left="780"/>
              <w:spacing w:after="0" w:line="236" w:lineRule="exact"/>
              <w:rPr>
                <w:sz w:val="20"/>
                <w:szCs w:val="20"/>
                <w:color w:val="auto"/>
              </w:rPr>
            </w:pPr>
            <w:r>
              <w:rPr>
                <w:rFonts w:ascii="Verdana" w:cs="Verdana" w:eastAsia="Verdana" w:hAnsi="Verdana"/>
                <w:sz w:val="20"/>
                <w:szCs w:val="20"/>
                <w:color w:val="auto"/>
              </w:rPr>
              <w:t>24.2%</w:t>
            </w:r>
          </w:p>
        </w:tc>
      </w:tr>
    </w:tbl>
    <w:p>
      <w:pPr>
        <w:spacing w:after="0" w:line="220" w:lineRule="exact"/>
        <w:rPr>
          <w:sz w:val="20"/>
          <w:szCs w:val="20"/>
          <w:color w:val="auto"/>
        </w:rPr>
      </w:pPr>
    </w:p>
    <w:p>
      <w:pPr>
        <w:ind w:right="1400"/>
        <w:spacing w:after="0" w:line="281" w:lineRule="auto"/>
        <w:rPr>
          <w:sz w:val="20"/>
          <w:szCs w:val="20"/>
          <w:color w:val="auto"/>
        </w:rPr>
      </w:pPr>
      <w:r>
        <w:rPr>
          <w:rFonts w:ascii="Arial" w:cs="Arial" w:eastAsia="Arial" w:hAnsi="Arial"/>
          <w:sz w:val="20"/>
          <w:szCs w:val="20"/>
          <w:b w:val="1"/>
          <w:bCs w:val="1"/>
          <w:color w:val="auto"/>
        </w:rPr>
        <w:t>Part 2 meaningfully expanded the cumulative safety dataset, increasing confidence in obefazimod’s long-term safety profile</w:t>
      </w:r>
    </w:p>
    <w:p>
      <w:pPr>
        <w:spacing w:after="0" w:line="163" w:lineRule="exact"/>
        <w:rPr>
          <w:sz w:val="20"/>
          <w:szCs w:val="20"/>
          <w:color w:val="auto"/>
        </w:rPr>
      </w:pPr>
    </w:p>
    <w:p>
      <w:pPr>
        <w:spacing w:after="0" w:line="242" w:lineRule="auto"/>
        <w:rPr>
          <w:sz w:val="20"/>
          <w:szCs w:val="20"/>
          <w:color w:val="auto"/>
        </w:rPr>
      </w:pPr>
      <w:r>
        <w:rPr>
          <w:rFonts w:ascii="Verdana" w:cs="Verdana" w:eastAsia="Verdana" w:hAnsi="Verdana"/>
          <w:sz w:val="20"/>
          <w:szCs w:val="20"/>
          <w:color w:val="auto"/>
        </w:rPr>
        <w:t>The post-hoc analyses below are presented progressively, from the combined Phase 2 and Phase 3 UC programs to the Phase 3 maintenance dataset (Part 1 + Part 2), and then to the Part 2 maintenance dataset, to illustrate how increasing cumulative patient-years strengthens the overall safety assessment. In Part 2, four total NMSC events were reported, two in the 25 mg arm and two in the 50 mg arm, which all occurred in patients with established NMSC risk factors including advanced age, thiopurine use, prior skin cancer history and failure of multiple prior advanced therapies. There were also two non-NMSC malignancies reported in the 50 mg arm, both deemed unrelated to obefazimod by the study investigators.</w:t>
      </w:r>
    </w:p>
    <w:p>
      <w:pPr>
        <w:spacing w:after="0" w:line="201" w:lineRule="exact"/>
        <w:rPr>
          <w:sz w:val="20"/>
          <w:szCs w:val="20"/>
          <w:color w:val="auto"/>
        </w:rPr>
      </w:pPr>
    </w:p>
    <w:p>
      <w:pPr>
        <w:ind w:right="20"/>
        <w:spacing w:after="0" w:line="257" w:lineRule="auto"/>
        <w:rPr>
          <w:sz w:val="20"/>
          <w:szCs w:val="20"/>
          <w:color w:val="auto"/>
        </w:rPr>
      </w:pPr>
      <w:r>
        <w:rPr>
          <w:rFonts w:ascii="Verdana" w:cs="Verdana" w:eastAsia="Verdana" w:hAnsi="Verdana"/>
          <w:sz w:val="19"/>
          <w:szCs w:val="19"/>
          <w:color w:val="auto"/>
        </w:rPr>
        <w:t>Because NMSCs and malignancies excluding NMSCs are uncommon events, incidence-rate estimates become more precise as cumulative exposure increases. The ABTECT Maintenance data should be interpreted using the totality of the exposure-adjusted evidence, together with patient characteristics and representative published UC epidemiologic reference ranges. The results in the tables below demonstrate that the exposure-adjusted incidence rate in the combined all active (25 mg + 50 mg) treatment arms for both NMSCs and malignancies excluding NMSCs are within the UC background reference range based on published UC studies.</w:t>
      </w:r>
    </w:p>
    <w:p>
      <w:pPr>
        <w:sectPr>
          <w:pgSz w:w="11900" w:h="16838" w:orient="portrait"/>
          <w:cols w:equalWidth="0" w:num="1">
            <w:col w:w="10940"/>
          </w:cols>
          <w:pgMar w:left="440" w:top="1034" w:right="519" w:bottom="1440" w:gutter="0" w:footer="0" w:header="0"/>
        </w:sectPr>
      </w:pPr>
    </w:p>
    <w:bookmarkStart w:id="10" w:name="page11"/>
    <w:bookmarkEnd w:id="10"/>
    <w:p>
      <w:pPr>
        <w:jc w:val="center"/>
        <w:ind w:right="20"/>
        <w:spacing w:after="0"/>
        <w:rPr>
          <w:sz w:val="20"/>
          <w:szCs w:val="20"/>
          <w:color w:val="auto"/>
        </w:rPr>
      </w:pPr>
      <w:r>
        <w:rPr>
          <w:rFonts w:ascii="Verdana" w:cs="Verdana" w:eastAsia="Verdana" w:hAnsi="Verdana"/>
          <w:sz w:val="19"/>
          <w:szCs w:val="1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143125"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77190"/>
                    </a:xfrm>
                    <a:prstGeom prst="rect">
                      <a:avLst/>
                    </a:prstGeom>
                    <a:noFill/>
                  </pic:spPr>
                </pic:pic>
              </a:graphicData>
            </a:graphic>
          </wp:anchor>
        </w:drawing>
        <w:t>Malignancies (Excluding NMSC) – EAIR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003415" cy="1234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1234440"/>
                    </a:xfrm>
                    <a:prstGeom prst="rect">
                      <a:avLst/>
                    </a:prstGeom>
                    <a:noFill/>
                  </pic:spPr>
                </pic:pic>
              </a:graphicData>
            </a:graphic>
          </wp:anchor>
        </w:drawing>
      </w:r>
    </w:p>
    <w:p>
      <w:pPr>
        <w:sectPr>
          <w:pgSz w:w="11900" w:h="16838" w:orient="portrait"/>
          <w:cols w:equalWidth="0" w:num="1">
            <w:col w:w="11020"/>
          </w:cols>
          <w:pgMar w:left="440" w:top="1142" w:right="439" w:bottom="1440" w:gutter="0" w:footer="0" w:header="0"/>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00" w:type="dxa"/>
            <w:vAlign w:val="bottom"/>
            <w:vMerge w:val="restart"/>
            <w:shd w:val="clear" w:color="auto" w:fill="E8E8E8"/>
          </w:tcPr>
          <w:p>
            <w:pPr>
              <w:jc w:val="center"/>
              <w:spacing w:after="0"/>
              <w:rPr>
                <w:sz w:val="20"/>
                <w:szCs w:val="20"/>
                <w:color w:val="auto"/>
              </w:rPr>
            </w:pPr>
            <w:r>
              <w:rPr>
                <w:rFonts w:ascii="Verdana" w:cs="Verdana" w:eastAsia="Verdana" w:hAnsi="Verdana"/>
                <w:sz w:val="13"/>
                <w:szCs w:val="13"/>
                <w:b w:val="1"/>
                <w:bCs w:val="1"/>
                <w:color w:val="auto"/>
                <w:w w:val="96"/>
              </w:rPr>
              <w:t>Analysis Set</w:t>
            </w:r>
          </w:p>
        </w:tc>
        <w:tc>
          <w:tcPr>
            <w:tcW w:w="184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8"/>
              </w:rPr>
              <w:t>Placebo</w:t>
            </w:r>
          </w:p>
        </w:tc>
        <w:tc>
          <w:tcPr>
            <w:tcW w:w="1760" w:type="dxa"/>
            <w:vAlign w:val="bottom"/>
          </w:tcPr>
          <w:p>
            <w:pPr>
              <w:jc w:val="center"/>
              <w:spacing w:after="0"/>
              <w:rPr>
                <w:sz w:val="20"/>
                <w:szCs w:val="20"/>
                <w:color w:val="auto"/>
              </w:rPr>
            </w:pPr>
            <w:r>
              <w:rPr>
                <w:rFonts w:ascii="Verdana" w:cs="Verdana" w:eastAsia="Verdana" w:hAnsi="Verdana"/>
                <w:sz w:val="13"/>
                <w:szCs w:val="13"/>
                <w:b w:val="1"/>
                <w:bCs w:val="1"/>
                <w:color w:val="auto"/>
                <w:w w:val="95"/>
              </w:rPr>
              <w:t>25 mg</w:t>
            </w:r>
          </w:p>
        </w:tc>
        <w:tc>
          <w:tcPr>
            <w:tcW w:w="168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5"/>
              </w:rPr>
              <w:t>50 mg</w:t>
            </w:r>
          </w:p>
        </w:tc>
        <w:tc>
          <w:tcPr>
            <w:tcW w:w="0" w:type="dxa"/>
            <w:vAlign w:val="bottom"/>
          </w:tcPr>
          <w:p>
            <w:pPr>
              <w:spacing w:after="0"/>
              <w:rPr>
                <w:sz w:val="1"/>
                <w:szCs w:val="1"/>
                <w:color w:val="auto"/>
              </w:rPr>
            </w:pPr>
          </w:p>
        </w:tc>
      </w:tr>
      <w:tr>
        <w:trPr>
          <w:trHeight w:val="84"/>
        </w:trPr>
        <w:tc>
          <w:tcPr>
            <w:tcW w:w="2200" w:type="dxa"/>
            <w:vAlign w:val="bottom"/>
            <w:vMerge w:val="continue"/>
            <w:shd w:val="clear" w:color="auto" w:fill="E8E8E8"/>
          </w:tcPr>
          <w:p>
            <w:pPr>
              <w:spacing w:after="0"/>
              <w:rPr>
                <w:sz w:val="7"/>
                <w:szCs w:val="7"/>
                <w:color w:val="auto"/>
              </w:rPr>
            </w:pPr>
          </w:p>
        </w:tc>
        <w:tc>
          <w:tcPr>
            <w:tcW w:w="1840" w:type="dxa"/>
            <w:vAlign w:val="bottom"/>
            <w:vMerge w:val="restart"/>
          </w:tcPr>
          <w:p>
            <w:pPr>
              <w:jc w:val="center"/>
              <w:ind w:left="17"/>
              <w:spacing w:after="0"/>
              <w:rPr>
                <w:sz w:val="20"/>
                <w:szCs w:val="20"/>
                <w:color w:val="auto"/>
              </w:rPr>
            </w:pPr>
            <w:r>
              <w:rPr>
                <w:rFonts w:ascii="Verdana" w:cs="Verdana" w:eastAsia="Verdana" w:hAnsi="Verdana"/>
                <w:sz w:val="13"/>
                <w:szCs w:val="13"/>
                <w:color w:val="auto"/>
                <w:w w:val="97"/>
              </w:rPr>
              <w:t>IR/100 PY</w:t>
            </w:r>
          </w:p>
        </w:tc>
        <w:tc>
          <w:tcPr>
            <w:tcW w:w="1760" w:type="dxa"/>
            <w:vAlign w:val="bottom"/>
            <w:vMerge w:val="restart"/>
          </w:tcPr>
          <w:p>
            <w:pPr>
              <w:jc w:val="center"/>
              <w:spacing w:after="0"/>
              <w:rPr>
                <w:sz w:val="20"/>
                <w:szCs w:val="20"/>
                <w:color w:val="auto"/>
              </w:rPr>
            </w:pPr>
            <w:r>
              <w:rPr>
                <w:rFonts w:ascii="Verdana" w:cs="Verdana" w:eastAsia="Verdana" w:hAnsi="Verdana"/>
                <w:sz w:val="13"/>
                <w:szCs w:val="13"/>
                <w:color w:val="auto"/>
                <w:w w:val="97"/>
              </w:rPr>
              <w:t>IR/100 PY</w:t>
            </w:r>
          </w:p>
        </w:tc>
        <w:tc>
          <w:tcPr>
            <w:tcW w:w="1680" w:type="dxa"/>
            <w:vAlign w:val="bottom"/>
            <w:vMerge w:val="restart"/>
          </w:tcPr>
          <w:p>
            <w:pPr>
              <w:jc w:val="center"/>
              <w:ind w:left="17"/>
              <w:spacing w:after="0"/>
              <w:rPr>
                <w:sz w:val="20"/>
                <w:szCs w:val="20"/>
                <w:color w:val="auto"/>
              </w:rPr>
            </w:pPr>
            <w:r>
              <w:rPr>
                <w:rFonts w:ascii="Verdana" w:cs="Verdana" w:eastAsia="Verdana" w:hAnsi="Verdana"/>
                <w:sz w:val="13"/>
                <w:szCs w:val="13"/>
                <w:color w:val="auto"/>
                <w:w w:val="97"/>
              </w:rPr>
              <w:t>IR/100 PY</w:t>
            </w:r>
          </w:p>
        </w:tc>
        <w:tc>
          <w:tcPr>
            <w:tcW w:w="0" w:type="dxa"/>
            <w:vAlign w:val="bottom"/>
          </w:tcPr>
          <w:p>
            <w:pPr>
              <w:spacing w:after="0"/>
              <w:rPr>
                <w:sz w:val="1"/>
                <w:szCs w:val="1"/>
                <w:color w:val="auto"/>
              </w:rPr>
            </w:pPr>
          </w:p>
        </w:tc>
      </w:tr>
      <w:tr>
        <w:trPr>
          <w:trHeight w:val="81"/>
        </w:trPr>
        <w:tc>
          <w:tcPr>
            <w:tcW w:w="2200" w:type="dxa"/>
            <w:vAlign w:val="bottom"/>
            <w:shd w:val="clear" w:color="auto" w:fill="E8E8E8"/>
          </w:tcPr>
          <w:p>
            <w:pPr>
              <w:spacing w:after="0"/>
              <w:rPr>
                <w:sz w:val="7"/>
                <w:szCs w:val="7"/>
                <w:color w:val="auto"/>
              </w:rPr>
            </w:pPr>
          </w:p>
        </w:tc>
        <w:tc>
          <w:tcPr>
            <w:tcW w:w="18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200" w:type="dxa"/>
            <w:vAlign w:val="bottom"/>
            <w:tcBorders>
              <w:bottom w:val="single" w:sz="8" w:color="BFBFBF"/>
            </w:tcBorders>
            <w:shd w:val="clear" w:color="auto" w:fill="E8E8E8"/>
          </w:tcPr>
          <w:p>
            <w:pPr>
              <w:spacing w:after="0"/>
              <w:rPr>
                <w:sz w:val="8"/>
                <w:szCs w:val="8"/>
                <w:color w:val="auto"/>
              </w:rPr>
            </w:pPr>
          </w:p>
        </w:tc>
        <w:tc>
          <w:tcPr>
            <w:tcW w:w="1840" w:type="dxa"/>
            <w:vAlign w:val="bottom"/>
            <w:tcBorders>
              <w:bottom w:val="single" w:sz="8" w:color="BFBFBF"/>
            </w:tcBorders>
          </w:tcPr>
          <w:p>
            <w:pPr>
              <w:spacing w:after="0"/>
              <w:rPr>
                <w:sz w:val="8"/>
                <w:szCs w:val="8"/>
                <w:color w:val="auto"/>
              </w:rPr>
            </w:pPr>
          </w:p>
        </w:tc>
        <w:tc>
          <w:tcPr>
            <w:tcW w:w="1760" w:type="dxa"/>
            <w:vAlign w:val="bottom"/>
            <w:tcBorders>
              <w:bottom w:val="single" w:sz="8" w:color="BFBFBF"/>
            </w:tcBorders>
          </w:tcPr>
          <w:p>
            <w:pPr>
              <w:spacing w:after="0"/>
              <w:rPr>
                <w:sz w:val="8"/>
                <w:szCs w:val="8"/>
                <w:color w:val="auto"/>
              </w:rPr>
            </w:pPr>
          </w:p>
        </w:tc>
        <w:tc>
          <w:tcPr>
            <w:tcW w:w="168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200" w:type="dxa"/>
            <w:vAlign w:val="bottom"/>
            <w:shd w:val="clear" w:color="auto" w:fill="C1F0C7"/>
          </w:tcPr>
          <w:p>
            <w:pPr>
              <w:jc w:val="center"/>
              <w:spacing w:after="0"/>
              <w:rPr>
                <w:sz w:val="20"/>
                <w:szCs w:val="20"/>
                <w:color w:val="auto"/>
              </w:rPr>
            </w:pPr>
            <w:r>
              <w:rPr>
                <w:rFonts w:ascii="Verdana" w:cs="Verdana" w:eastAsia="Verdana" w:hAnsi="Verdana"/>
                <w:sz w:val="13"/>
                <w:szCs w:val="13"/>
                <w:b w:val="1"/>
                <w:bCs w:val="1"/>
                <w:color w:val="auto"/>
                <w:w w:val="96"/>
              </w:rPr>
              <w:t>Integrated UC Program</w:t>
            </w:r>
          </w:p>
        </w:tc>
        <w:tc>
          <w:tcPr>
            <w:tcW w:w="1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1F0C7"/>
          </w:tcPr>
          <w:p>
            <w:pPr>
              <w:jc w:val="center"/>
              <w:ind w:left="57"/>
              <w:spacing w:after="0"/>
              <w:rPr>
                <w:sz w:val="20"/>
                <w:szCs w:val="20"/>
                <w:color w:val="auto"/>
              </w:rPr>
            </w:pPr>
            <w:r>
              <w:rPr>
                <w:rFonts w:ascii="Verdana" w:cs="Verdana" w:eastAsia="Verdana" w:hAnsi="Verdana"/>
                <w:sz w:val="13"/>
                <w:szCs w:val="13"/>
                <w:b w:val="1"/>
                <w:bCs w:val="1"/>
                <w:color w:val="auto"/>
                <w:w w:val="96"/>
              </w:rPr>
              <w:t>(Phase 2 + Phase 3)</w:t>
            </w:r>
          </w:p>
        </w:tc>
        <w:tc>
          <w:tcPr>
            <w:tcW w:w="184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8"/>
              </w:rPr>
              <w:t>0.00</w:t>
            </w:r>
          </w:p>
        </w:tc>
        <w:tc>
          <w:tcPr>
            <w:tcW w:w="1760" w:type="dxa"/>
            <w:vAlign w:val="bottom"/>
          </w:tcPr>
          <w:p>
            <w:pPr>
              <w:jc w:val="center"/>
              <w:spacing w:after="0"/>
              <w:rPr>
                <w:sz w:val="20"/>
                <w:szCs w:val="20"/>
                <w:color w:val="auto"/>
              </w:rPr>
            </w:pPr>
            <w:r>
              <w:rPr>
                <w:rFonts w:ascii="Verdana" w:cs="Verdana" w:eastAsia="Verdana" w:hAnsi="Verdana"/>
                <w:sz w:val="13"/>
                <w:szCs w:val="13"/>
                <w:b w:val="1"/>
                <w:bCs w:val="1"/>
                <w:color w:val="auto"/>
                <w:w w:val="98"/>
              </w:rPr>
              <w:t>0.00</w:t>
            </w:r>
          </w:p>
        </w:tc>
        <w:tc>
          <w:tcPr>
            <w:tcW w:w="1680" w:type="dxa"/>
            <w:vAlign w:val="bottom"/>
          </w:tcPr>
          <w:p>
            <w:pPr>
              <w:jc w:val="center"/>
              <w:spacing w:after="0"/>
              <w:rPr>
                <w:sz w:val="20"/>
                <w:szCs w:val="20"/>
                <w:color w:val="auto"/>
              </w:rPr>
            </w:pPr>
            <w:r>
              <w:rPr>
                <w:rFonts w:ascii="Verdana" w:cs="Verdana" w:eastAsia="Verdana" w:hAnsi="Verdana"/>
                <w:sz w:val="13"/>
                <w:szCs w:val="13"/>
                <w:b w:val="1"/>
                <w:bCs w:val="1"/>
                <w:color w:val="auto"/>
                <w:w w:val="92"/>
              </w:rPr>
              <w:t>0.64</w:t>
            </w:r>
          </w:p>
        </w:tc>
        <w:tc>
          <w:tcPr>
            <w:tcW w:w="0" w:type="dxa"/>
            <w:vAlign w:val="bottom"/>
          </w:tcPr>
          <w:p>
            <w:pPr>
              <w:spacing w:after="0"/>
              <w:rPr>
                <w:sz w:val="1"/>
                <w:szCs w:val="1"/>
                <w:color w:val="auto"/>
              </w:rPr>
            </w:pPr>
          </w:p>
        </w:tc>
      </w:tr>
      <w:tr>
        <w:trPr>
          <w:trHeight w:val="97"/>
        </w:trPr>
        <w:tc>
          <w:tcPr>
            <w:tcW w:w="2200" w:type="dxa"/>
            <w:vAlign w:val="bottom"/>
            <w:tcBorders>
              <w:bottom w:val="single" w:sz="8" w:color="D9D9D9"/>
            </w:tcBorders>
            <w:shd w:val="clear" w:color="auto" w:fill="C1F0C7"/>
          </w:tcPr>
          <w:p>
            <w:pPr>
              <w:spacing w:after="0"/>
              <w:rPr>
                <w:sz w:val="8"/>
                <w:szCs w:val="8"/>
                <w:color w:val="auto"/>
              </w:rPr>
            </w:pPr>
          </w:p>
        </w:tc>
        <w:tc>
          <w:tcPr>
            <w:tcW w:w="1840" w:type="dxa"/>
            <w:vAlign w:val="bottom"/>
            <w:tcBorders>
              <w:bottom w:val="single" w:sz="8" w:color="D9D9D9"/>
            </w:tcBorders>
          </w:tcPr>
          <w:p>
            <w:pPr>
              <w:spacing w:after="0"/>
              <w:rPr>
                <w:sz w:val="8"/>
                <w:szCs w:val="8"/>
                <w:color w:val="auto"/>
              </w:rPr>
            </w:pPr>
          </w:p>
        </w:tc>
        <w:tc>
          <w:tcPr>
            <w:tcW w:w="1760" w:type="dxa"/>
            <w:vAlign w:val="bottom"/>
            <w:tcBorders>
              <w:bottom w:val="single" w:sz="8" w:color="D9D9D9"/>
            </w:tcBorders>
          </w:tcPr>
          <w:p>
            <w:pPr>
              <w:spacing w:after="0"/>
              <w:rPr>
                <w:sz w:val="8"/>
                <w:szCs w:val="8"/>
                <w:color w:val="auto"/>
              </w:rPr>
            </w:pPr>
          </w:p>
        </w:tc>
        <w:tc>
          <w:tcPr>
            <w:tcW w:w="1680" w:type="dxa"/>
            <w:vAlign w:val="bottom"/>
            <w:tcBorders>
              <w:bottom w:val="single" w:sz="8" w:color="D9D9D9"/>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200" w:type="dxa"/>
            <w:vAlign w:val="bottom"/>
          </w:tcPr>
          <w:p>
            <w:pPr>
              <w:jc w:val="center"/>
              <w:spacing w:after="0"/>
              <w:rPr>
                <w:sz w:val="20"/>
                <w:szCs w:val="20"/>
                <w:color w:val="auto"/>
              </w:rPr>
            </w:pPr>
            <w:r>
              <w:rPr>
                <w:rFonts w:ascii="Verdana" w:cs="Verdana" w:eastAsia="Verdana" w:hAnsi="Verdana"/>
                <w:sz w:val="13"/>
                <w:szCs w:val="13"/>
                <w:b w:val="1"/>
                <w:bCs w:val="1"/>
                <w:color w:val="auto"/>
                <w:w w:val="96"/>
              </w:rPr>
              <w:t>Phase 3 Maintenance</w:t>
            </w:r>
          </w:p>
        </w:tc>
        <w:tc>
          <w:tcPr>
            <w:tcW w:w="1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200" w:type="dxa"/>
            <w:vAlign w:val="bottom"/>
          </w:tcPr>
          <w:p>
            <w:pPr>
              <w:jc w:val="center"/>
              <w:ind w:left="77"/>
              <w:spacing w:after="0"/>
              <w:rPr>
                <w:sz w:val="20"/>
                <w:szCs w:val="20"/>
                <w:color w:val="auto"/>
              </w:rPr>
            </w:pPr>
            <w:r>
              <w:rPr>
                <w:rFonts w:ascii="Verdana" w:cs="Verdana" w:eastAsia="Verdana" w:hAnsi="Verdana"/>
                <w:sz w:val="13"/>
                <w:szCs w:val="13"/>
                <w:b w:val="1"/>
                <w:bCs w:val="1"/>
                <w:color w:val="auto"/>
                <w:w w:val="95"/>
              </w:rPr>
              <w:t>(Part 1 + Part 2)</w:t>
            </w:r>
          </w:p>
        </w:tc>
        <w:tc>
          <w:tcPr>
            <w:tcW w:w="184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8"/>
              </w:rPr>
              <w:t>0.00</w:t>
            </w:r>
          </w:p>
        </w:tc>
        <w:tc>
          <w:tcPr>
            <w:tcW w:w="1760" w:type="dxa"/>
            <w:vAlign w:val="bottom"/>
          </w:tcPr>
          <w:p>
            <w:pPr>
              <w:jc w:val="center"/>
              <w:spacing w:after="0"/>
              <w:rPr>
                <w:sz w:val="20"/>
                <w:szCs w:val="20"/>
                <w:color w:val="auto"/>
              </w:rPr>
            </w:pPr>
            <w:r>
              <w:rPr>
                <w:rFonts w:ascii="Verdana" w:cs="Verdana" w:eastAsia="Verdana" w:hAnsi="Verdana"/>
                <w:sz w:val="13"/>
                <w:szCs w:val="13"/>
                <w:b w:val="1"/>
                <w:bCs w:val="1"/>
                <w:color w:val="auto"/>
                <w:w w:val="98"/>
              </w:rPr>
              <w:t>0.00</w:t>
            </w:r>
          </w:p>
        </w:tc>
        <w:tc>
          <w:tcPr>
            <w:tcW w:w="1680" w:type="dxa"/>
            <w:vAlign w:val="bottom"/>
          </w:tcPr>
          <w:p>
            <w:pPr>
              <w:jc w:val="center"/>
              <w:spacing w:after="0"/>
              <w:rPr>
                <w:sz w:val="20"/>
                <w:szCs w:val="20"/>
                <w:color w:val="auto"/>
              </w:rPr>
            </w:pPr>
            <w:r>
              <w:rPr>
                <w:rFonts w:ascii="Verdana" w:cs="Verdana" w:eastAsia="Verdana" w:hAnsi="Verdana"/>
                <w:sz w:val="13"/>
                <w:szCs w:val="13"/>
                <w:b w:val="1"/>
                <w:bCs w:val="1"/>
                <w:color w:val="auto"/>
                <w:w w:val="92"/>
              </w:rPr>
              <w:t>0.91</w:t>
            </w:r>
          </w:p>
        </w:tc>
        <w:tc>
          <w:tcPr>
            <w:tcW w:w="0" w:type="dxa"/>
            <w:vAlign w:val="bottom"/>
          </w:tcPr>
          <w:p>
            <w:pPr>
              <w:spacing w:after="0"/>
              <w:rPr>
                <w:sz w:val="1"/>
                <w:szCs w:val="1"/>
                <w:color w:val="auto"/>
              </w:rPr>
            </w:pPr>
          </w:p>
        </w:tc>
      </w:tr>
      <w:tr>
        <w:trPr>
          <w:trHeight w:val="97"/>
        </w:trPr>
        <w:tc>
          <w:tcPr>
            <w:tcW w:w="2200" w:type="dxa"/>
            <w:vAlign w:val="bottom"/>
            <w:tcBorders>
              <w:bottom w:val="single" w:sz="8" w:color="D9D9D9"/>
            </w:tcBorders>
          </w:tcPr>
          <w:p>
            <w:pPr>
              <w:spacing w:after="0"/>
              <w:rPr>
                <w:sz w:val="8"/>
                <w:szCs w:val="8"/>
                <w:color w:val="auto"/>
              </w:rPr>
            </w:pPr>
          </w:p>
        </w:tc>
        <w:tc>
          <w:tcPr>
            <w:tcW w:w="1840" w:type="dxa"/>
            <w:vAlign w:val="bottom"/>
            <w:tcBorders>
              <w:bottom w:val="single" w:sz="8" w:color="D9D9D9"/>
            </w:tcBorders>
          </w:tcPr>
          <w:p>
            <w:pPr>
              <w:spacing w:after="0"/>
              <w:rPr>
                <w:sz w:val="8"/>
                <w:szCs w:val="8"/>
                <w:color w:val="auto"/>
              </w:rPr>
            </w:pPr>
          </w:p>
        </w:tc>
        <w:tc>
          <w:tcPr>
            <w:tcW w:w="1760" w:type="dxa"/>
            <w:vAlign w:val="bottom"/>
            <w:tcBorders>
              <w:bottom w:val="single" w:sz="8" w:color="D9D9D9"/>
            </w:tcBorders>
          </w:tcPr>
          <w:p>
            <w:pPr>
              <w:spacing w:after="0"/>
              <w:rPr>
                <w:sz w:val="8"/>
                <w:szCs w:val="8"/>
                <w:color w:val="auto"/>
              </w:rPr>
            </w:pPr>
          </w:p>
        </w:tc>
        <w:tc>
          <w:tcPr>
            <w:tcW w:w="1680" w:type="dxa"/>
            <w:vAlign w:val="bottom"/>
            <w:tcBorders>
              <w:bottom w:val="single" w:sz="8" w:color="D9D9D9"/>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200" w:type="dxa"/>
            <w:vAlign w:val="bottom"/>
          </w:tcPr>
          <w:p>
            <w:pPr>
              <w:jc w:val="center"/>
              <w:spacing w:after="0"/>
              <w:rPr>
                <w:sz w:val="20"/>
                <w:szCs w:val="20"/>
                <w:color w:val="auto"/>
              </w:rPr>
            </w:pPr>
            <w:r>
              <w:rPr>
                <w:rFonts w:ascii="Verdana" w:cs="Verdana" w:eastAsia="Verdana" w:hAnsi="Verdana"/>
                <w:sz w:val="13"/>
                <w:szCs w:val="13"/>
                <w:b w:val="1"/>
                <w:bCs w:val="1"/>
                <w:color w:val="auto"/>
                <w:w w:val="97"/>
              </w:rPr>
              <w:t>Part 2 Only</w:t>
            </w:r>
          </w:p>
        </w:tc>
        <w:tc>
          <w:tcPr>
            <w:tcW w:w="184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1"/>
              </w:rPr>
              <w:t>—</w:t>
            </w:r>
          </w:p>
        </w:tc>
        <w:tc>
          <w:tcPr>
            <w:tcW w:w="1760" w:type="dxa"/>
            <w:vAlign w:val="bottom"/>
          </w:tcPr>
          <w:p>
            <w:pPr>
              <w:jc w:val="center"/>
              <w:spacing w:after="0"/>
              <w:rPr>
                <w:sz w:val="20"/>
                <w:szCs w:val="20"/>
                <w:color w:val="auto"/>
              </w:rPr>
            </w:pPr>
            <w:r>
              <w:rPr>
                <w:rFonts w:ascii="Verdana" w:cs="Verdana" w:eastAsia="Verdana" w:hAnsi="Verdana"/>
                <w:sz w:val="13"/>
                <w:szCs w:val="13"/>
                <w:b w:val="1"/>
                <w:bCs w:val="1"/>
                <w:color w:val="auto"/>
                <w:w w:val="98"/>
              </w:rPr>
              <w:t>0.00</w:t>
            </w:r>
          </w:p>
        </w:tc>
        <w:tc>
          <w:tcPr>
            <w:tcW w:w="1680" w:type="dxa"/>
            <w:vAlign w:val="bottom"/>
          </w:tcPr>
          <w:p>
            <w:pPr>
              <w:jc w:val="center"/>
              <w:spacing w:after="0"/>
              <w:rPr>
                <w:sz w:val="20"/>
                <w:szCs w:val="20"/>
                <w:color w:val="auto"/>
              </w:rPr>
            </w:pPr>
            <w:r>
              <w:rPr>
                <w:rFonts w:ascii="Verdana" w:cs="Verdana" w:eastAsia="Verdana" w:hAnsi="Verdana"/>
                <w:sz w:val="13"/>
                <w:szCs w:val="13"/>
                <w:b w:val="1"/>
                <w:bCs w:val="1"/>
                <w:color w:val="auto"/>
                <w:w w:val="92"/>
              </w:rPr>
              <w:t>0.69</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43"/>
          <w:szCs w:val="43"/>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jc w:val="center"/>
              <w:ind w:left="37"/>
              <w:spacing w:after="0"/>
              <w:rPr>
                <w:sz w:val="20"/>
                <w:szCs w:val="20"/>
                <w:color w:val="auto"/>
              </w:rPr>
            </w:pPr>
            <w:r>
              <w:rPr>
                <w:rFonts w:ascii="Verdana" w:cs="Verdana" w:eastAsia="Verdana" w:hAnsi="Verdana"/>
                <w:sz w:val="13"/>
                <w:szCs w:val="13"/>
                <w:b w:val="1"/>
                <w:bCs w:val="1"/>
                <w:color w:val="auto"/>
                <w:w w:val="96"/>
              </w:rPr>
              <w:t>All Active</w:t>
            </w:r>
          </w:p>
        </w:tc>
        <w:tc>
          <w:tcPr>
            <w:tcW w:w="176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6"/>
              </w:rPr>
              <w:t>Expected UC</w:t>
            </w:r>
          </w:p>
        </w:tc>
      </w:tr>
      <w:tr>
        <w:trPr>
          <w:trHeight w:val="262"/>
        </w:trPr>
        <w:tc>
          <w:tcPr>
            <w:tcW w:w="1720" w:type="dxa"/>
            <w:vAlign w:val="bottom"/>
            <w:tcBorders>
              <w:bottom w:val="single" w:sz="8" w:color="BFBFBF"/>
            </w:tcBorders>
          </w:tcPr>
          <w:p>
            <w:pPr>
              <w:jc w:val="center"/>
              <w:ind w:left="57"/>
              <w:spacing w:after="0"/>
              <w:rPr>
                <w:sz w:val="20"/>
                <w:szCs w:val="20"/>
                <w:color w:val="auto"/>
              </w:rPr>
            </w:pPr>
            <w:r>
              <w:rPr>
                <w:rFonts w:ascii="Verdana" w:cs="Verdana" w:eastAsia="Verdana" w:hAnsi="Verdana"/>
                <w:sz w:val="13"/>
                <w:szCs w:val="13"/>
                <w:color w:val="auto"/>
                <w:w w:val="97"/>
              </w:rPr>
              <w:t>IR/100 PY</w:t>
            </w:r>
          </w:p>
        </w:tc>
        <w:tc>
          <w:tcPr>
            <w:tcW w:w="1760" w:type="dxa"/>
            <w:vAlign w:val="bottom"/>
            <w:tcBorders>
              <w:bottom w:val="single" w:sz="8" w:color="BFBFBF"/>
            </w:tcBorders>
          </w:tcPr>
          <w:p>
            <w:pPr>
              <w:jc w:val="center"/>
              <w:ind w:left="17"/>
              <w:spacing w:after="0"/>
              <w:rPr>
                <w:sz w:val="20"/>
                <w:szCs w:val="20"/>
                <w:color w:val="auto"/>
              </w:rPr>
            </w:pPr>
            <w:r>
              <w:rPr>
                <w:rFonts w:ascii="Verdana" w:cs="Verdana" w:eastAsia="Verdana" w:hAnsi="Verdana"/>
                <w:sz w:val="13"/>
                <w:szCs w:val="13"/>
                <w:b w:val="1"/>
                <w:bCs w:val="1"/>
                <w:color w:val="auto"/>
                <w:w w:val="96"/>
              </w:rPr>
              <w:t>Background</w:t>
            </w:r>
            <w:r>
              <w:rPr>
                <w:rFonts w:ascii="Verdana" w:cs="Verdana" w:eastAsia="Verdana" w:hAnsi="Verdana"/>
                <w:sz w:val="18"/>
                <w:szCs w:val="18"/>
                <w:b w:val="1"/>
                <w:bCs w:val="1"/>
                <w:color w:val="auto"/>
                <w:w w:val="96"/>
                <w:vertAlign w:val="superscript"/>
              </w:rPr>
              <w:t>1</w:t>
            </w:r>
          </w:p>
        </w:tc>
      </w:tr>
      <w:tr>
        <w:trPr>
          <w:trHeight w:val="396"/>
        </w:trPr>
        <w:tc>
          <w:tcPr>
            <w:tcW w:w="1720" w:type="dxa"/>
            <w:vAlign w:val="bottom"/>
          </w:tcPr>
          <w:p>
            <w:pPr>
              <w:jc w:val="center"/>
              <w:ind w:left="57"/>
              <w:spacing w:after="0"/>
              <w:rPr>
                <w:sz w:val="20"/>
                <w:szCs w:val="20"/>
                <w:color w:val="auto"/>
              </w:rPr>
            </w:pPr>
            <w:r>
              <w:rPr>
                <w:rFonts w:ascii="Verdana" w:cs="Verdana" w:eastAsia="Verdana" w:hAnsi="Verdana"/>
                <w:sz w:val="13"/>
                <w:szCs w:val="13"/>
                <w:b w:val="1"/>
                <w:bCs w:val="1"/>
                <w:color w:val="auto"/>
                <w:w w:val="98"/>
              </w:rPr>
              <w:t>0.35</w:t>
            </w:r>
          </w:p>
        </w:tc>
        <w:tc>
          <w:tcPr>
            <w:tcW w:w="176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6"/>
              </w:rPr>
              <w:t>0.30 – 0.70</w:t>
            </w:r>
          </w:p>
        </w:tc>
      </w:tr>
      <w:tr>
        <w:trPr>
          <w:trHeight w:val="97"/>
        </w:trPr>
        <w:tc>
          <w:tcPr>
            <w:tcW w:w="1720" w:type="dxa"/>
            <w:vAlign w:val="bottom"/>
            <w:tcBorders>
              <w:bottom w:val="single" w:sz="8" w:color="BFBFBF"/>
            </w:tcBorders>
          </w:tcPr>
          <w:p>
            <w:pPr>
              <w:spacing w:after="0"/>
              <w:rPr>
                <w:sz w:val="8"/>
                <w:szCs w:val="8"/>
                <w:color w:val="auto"/>
              </w:rPr>
            </w:pPr>
          </w:p>
        </w:tc>
        <w:tc>
          <w:tcPr>
            <w:tcW w:w="1760" w:type="dxa"/>
            <w:vAlign w:val="bottom"/>
            <w:tcBorders>
              <w:bottom w:val="single" w:sz="8" w:color="BFBFBF"/>
            </w:tcBorders>
          </w:tcPr>
          <w:p>
            <w:pPr>
              <w:spacing w:after="0"/>
              <w:rPr>
                <w:sz w:val="8"/>
                <w:szCs w:val="8"/>
                <w:color w:val="auto"/>
              </w:rPr>
            </w:pPr>
          </w:p>
        </w:tc>
      </w:tr>
      <w:tr>
        <w:trPr>
          <w:trHeight w:val="396"/>
        </w:trPr>
        <w:tc>
          <w:tcPr>
            <w:tcW w:w="1720" w:type="dxa"/>
            <w:vAlign w:val="bottom"/>
          </w:tcPr>
          <w:p>
            <w:pPr>
              <w:jc w:val="center"/>
              <w:ind w:left="57"/>
              <w:spacing w:after="0"/>
              <w:rPr>
                <w:sz w:val="20"/>
                <w:szCs w:val="20"/>
                <w:color w:val="auto"/>
              </w:rPr>
            </w:pPr>
            <w:r>
              <w:rPr>
                <w:rFonts w:ascii="Verdana" w:cs="Verdana" w:eastAsia="Verdana" w:hAnsi="Verdana"/>
                <w:sz w:val="13"/>
                <w:szCs w:val="13"/>
                <w:b w:val="1"/>
                <w:bCs w:val="1"/>
                <w:color w:val="auto"/>
                <w:w w:val="98"/>
              </w:rPr>
              <w:t>0.56</w:t>
            </w:r>
          </w:p>
        </w:tc>
        <w:tc>
          <w:tcPr>
            <w:tcW w:w="176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6"/>
              </w:rPr>
              <w:t>0.30 – 0.70</w:t>
            </w:r>
          </w:p>
        </w:tc>
      </w:tr>
      <w:tr>
        <w:trPr>
          <w:trHeight w:val="97"/>
        </w:trPr>
        <w:tc>
          <w:tcPr>
            <w:tcW w:w="1720" w:type="dxa"/>
            <w:vAlign w:val="bottom"/>
            <w:tcBorders>
              <w:bottom w:val="single" w:sz="8" w:color="BFBFBF"/>
            </w:tcBorders>
          </w:tcPr>
          <w:p>
            <w:pPr>
              <w:spacing w:after="0"/>
              <w:rPr>
                <w:sz w:val="8"/>
                <w:szCs w:val="8"/>
                <w:color w:val="auto"/>
              </w:rPr>
            </w:pPr>
          </w:p>
        </w:tc>
        <w:tc>
          <w:tcPr>
            <w:tcW w:w="1760" w:type="dxa"/>
            <w:vAlign w:val="bottom"/>
            <w:tcBorders>
              <w:bottom w:val="single" w:sz="8" w:color="BFBFBF"/>
            </w:tcBorders>
          </w:tcPr>
          <w:p>
            <w:pPr>
              <w:spacing w:after="0"/>
              <w:rPr>
                <w:sz w:val="8"/>
                <w:szCs w:val="8"/>
                <w:color w:val="auto"/>
              </w:rPr>
            </w:pPr>
          </w:p>
        </w:tc>
      </w:tr>
      <w:tr>
        <w:trPr>
          <w:trHeight w:val="248"/>
        </w:trPr>
        <w:tc>
          <w:tcPr>
            <w:tcW w:w="1720" w:type="dxa"/>
            <w:vAlign w:val="bottom"/>
          </w:tcPr>
          <w:p>
            <w:pPr>
              <w:jc w:val="center"/>
              <w:ind w:left="57"/>
              <w:spacing w:after="0"/>
              <w:rPr>
                <w:sz w:val="20"/>
                <w:szCs w:val="20"/>
                <w:color w:val="auto"/>
              </w:rPr>
            </w:pPr>
            <w:r>
              <w:rPr>
                <w:rFonts w:ascii="Verdana" w:cs="Verdana" w:eastAsia="Verdana" w:hAnsi="Verdana"/>
                <w:sz w:val="13"/>
                <w:szCs w:val="13"/>
                <w:b w:val="1"/>
                <w:bCs w:val="1"/>
                <w:color w:val="auto"/>
                <w:w w:val="98"/>
              </w:rPr>
              <w:t>0.48</w:t>
            </w:r>
          </w:p>
        </w:tc>
        <w:tc>
          <w:tcPr>
            <w:tcW w:w="176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6"/>
              </w:rPr>
              <w:t>0.30 – 0.70</w:t>
            </w:r>
          </w:p>
        </w:tc>
      </w:tr>
    </w:tbl>
    <w:p>
      <w:pPr>
        <w:spacing w:after="0" w:line="748" w:lineRule="exact"/>
        <w:rPr>
          <w:sz w:val="20"/>
          <w:szCs w:val="20"/>
          <w:color w:val="auto"/>
        </w:rPr>
      </w:pPr>
    </w:p>
    <w:p>
      <w:pPr>
        <w:sectPr>
          <w:pgSz w:w="11900" w:h="16838" w:orient="portrait"/>
          <w:cols w:equalWidth="0" w:num="2">
            <w:col w:w="7480" w:space="40"/>
            <w:col w:w="3500"/>
          </w:cols>
          <w:pgMar w:left="440" w:top="1142" w:right="439" w:bottom="1440" w:gutter="0" w:footer="0" w:header="0"/>
          <w:type w:val="continuous"/>
        </w:sectPr>
      </w:pPr>
    </w:p>
    <w:p>
      <w:pPr>
        <w:jc w:val="center"/>
        <w:spacing w:after="0"/>
        <w:rPr>
          <w:sz w:val="20"/>
          <w:szCs w:val="20"/>
          <w:color w:val="auto"/>
        </w:rPr>
      </w:pPr>
      <w:r>
        <w:rPr>
          <w:rFonts w:ascii="Verdana" w:cs="Verdana" w:eastAsia="Verdana" w:hAnsi="Verdana"/>
          <w:sz w:val="20"/>
          <w:szCs w:val="20"/>
          <w:b w:val="1"/>
          <w:bCs w:val="1"/>
          <w:color w:val="auto"/>
        </w:rPr>
        <w:t>NMSC – EAIR Analysis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200" w:type="dxa"/>
            <w:vAlign w:val="bottom"/>
            <w:tcBorders>
              <w:top w:val="single" w:sz="8" w:color="BFBFBF"/>
            </w:tcBorders>
            <w:vMerge w:val="restart"/>
            <w:shd w:val="clear" w:color="auto" w:fill="E8E8E8"/>
          </w:tcPr>
          <w:p>
            <w:pPr>
              <w:jc w:val="center"/>
              <w:spacing w:after="0"/>
              <w:rPr>
                <w:sz w:val="20"/>
                <w:szCs w:val="20"/>
                <w:color w:val="auto"/>
              </w:rPr>
            </w:pPr>
            <w:r>
              <w:rPr>
                <w:rFonts w:ascii="Verdana" w:cs="Verdana" w:eastAsia="Verdana" w:hAnsi="Verdana"/>
                <w:sz w:val="13"/>
                <w:szCs w:val="13"/>
                <w:b w:val="1"/>
                <w:bCs w:val="1"/>
                <w:color w:val="auto"/>
                <w:w w:val="96"/>
              </w:rPr>
              <w:t>Analysis Set</w:t>
            </w:r>
          </w:p>
        </w:tc>
        <w:tc>
          <w:tcPr>
            <w:tcW w:w="1840" w:type="dxa"/>
            <w:vAlign w:val="bottom"/>
            <w:tcBorders>
              <w:top w:val="single" w:sz="8" w:color="BFBFBF"/>
            </w:tcBorders>
            <w:shd w:val="clear" w:color="auto" w:fill="E8E8E8"/>
          </w:tcPr>
          <w:p>
            <w:pPr>
              <w:jc w:val="center"/>
              <w:ind w:left="17"/>
              <w:spacing w:after="0"/>
              <w:rPr>
                <w:sz w:val="20"/>
                <w:szCs w:val="20"/>
                <w:color w:val="auto"/>
              </w:rPr>
            </w:pPr>
            <w:r>
              <w:rPr>
                <w:rFonts w:ascii="Verdana" w:cs="Verdana" w:eastAsia="Verdana" w:hAnsi="Verdana"/>
                <w:sz w:val="13"/>
                <w:szCs w:val="13"/>
                <w:b w:val="1"/>
                <w:bCs w:val="1"/>
                <w:color w:val="auto"/>
                <w:w w:val="98"/>
              </w:rPr>
              <w:t>Placebo</w:t>
            </w:r>
          </w:p>
        </w:tc>
        <w:tc>
          <w:tcPr>
            <w:tcW w:w="1760" w:type="dxa"/>
            <w:vAlign w:val="bottom"/>
            <w:tcBorders>
              <w:top w:val="single" w:sz="8" w:color="BFBFBF"/>
            </w:tcBorders>
            <w:shd w:val="clear" w:color="auto" w:fill="E8E8E8"/>
          </w:tcPr>
          <w:p>
            <w:pPr>
              <w:jc w:val="center"/>
              <w:spacing w:after="0"/>
              <w:rPr>
                <w:sz w:val="20"/>
                <w:szCs w:val="20"/>
                <w:color w:val="auto"/>
              </w:rPr>
            </w:pPr>
            <w:r>
              <w:rPr>
                <w:rFonts w:ascii="Verdana" w:cs="Verdana" w:eastAsia="Verdana" w:hAnsi="Verdana"/>
                <w:sz w:val="13"/>
                <w:szCs w:val="13"/>
                <w:b w:val="1"/>
                <w:bCs w:val="1"/>
                <w:color w:val="auto"/>
                <w:w w:val="95"/>
              </w:rPr>
              <w:t>25 mg</w:t>
            </w:r>
          </w:p>
        </w:tc>
        <w:tc>
          <w:tcPr>
            <w:tcW w:w="1720" w:type="dxa"/>
            <w:vAlign w:val="bottom"/>
            <w:tcBorders>
              <w:top w:val="single" w:sz="8" w:color="BFBFBF"/>
              <w:right w:val="single" w:sz="8" w:color="00B050"/>
            </w:tcBorders>
            <w:shd w:val="clear" w:color="auto" w:fill="E8E8E8"/>
          </w:tcPr>
          <w:p>
            <w:pPr>
              <w:jc w:val="center"/>
              <w:spacing w:after="0"/>
              <w:rPr>
                <w:sz w:val="20"/>
                <w:szCs w:val="20"/>
                <w:color w:val="auto"/>
              </w:rPr>
            </w:pPr>
            <w:r>
              <w:rPr>
                <w:rFonts w:ascii="Verdana" w:cs="Verdana" w:eastAsia="Verdana" w:hAnsi="Verdana"/>
                <w:sz w:val="13"/>
                <w:szCs w:val="13"/>
                <w:b w:val="1"/>
                <w:bCs w:val="1"/>
                <w:color w:val="auto"/>
                <w:w w:val="95"/>
              </w:rPr>
              <w:t>50 mg</w:t>
            </w:r>
          </w:p>
        </w:tc>
        <w:tc>
          <w:tcPr>
            <w:tcW w:w="1720" w:type="dxa"/>
            <w:vAlign w:val="bottom"/>
            <w:tcBorders>
              <w:top w:val="single" w:sz="8" w:color="00B050"/>
            </w:tcBorders>
            <w:shd w:val="clear" w:color="auto" w:fill="E8E8E8"/>
          </w:tcPr>
          <w:p>
            <w:pPr>
              <w:jc w:val="center"/>
              <w:ind w:left="37"/>
              <w:spacing w:after="0"/>
              <w:rPr>
                <w:sz w:val="20"/>
                <w:szCs w:val="20"/>
                <w:color w:val="auto"/>
              </w:rPr>
            </w:pPr>
            <w:r>
              <w:rPr>
                <w:rFonts w:ascii="Verdana" w:cs="Verdana" w:eastAsia="Verdana" w:hAnsi="Verdana"/>
                <w:sz w:val="13"/>
                <w:szCs w:val="13"/>
                <w:b w:val="1"/>
                <w:bCs w:val="1"/>
                <w:color w:val="auto"/>
                <w:w w:val="96"/>
              </w:rPr>
              <w:t>All Active</w:t>
            </w:r>
          </w:p>
        </w:tc>
        <w:tc>
          <w:tcPr>
            <w:tcW w:w="1780" w:type="dxa"/>
            <w:vAlign w:val="bottom"/>
            <w:tcBorders>
              <w:top w:val="single" w:sz="8" w:color="00B050"/>
              <w:right w:val="single" w:sz="8" w:color="00B050"/>
            </w:tcBorders>
            <w:shd w:val="clear" w:color="auto" w:fill="E8E8E8"/>
          </w:tcPr>
          <w:p>
            <w:pPr>
              <w:jc w:val="center"/>
              <w:spacing w:after="0"/>
              <w:rPr>
                <w:sz w:val="20"/>
                <w:szCs w:val="20"/>
                <w:color w:val="auto"/>
              </w:rPr>
            </w:pPr>
            <w:r>
              <w:rPr>
                <w:rFonts w:ascii="Verdana" w:cs="Verdana" w:eastAsia="Verdana" w:hAnsi="Verdana"/>
                <w:sz w:val="13"/>
                <w:szCs w:val="13"/>
                <w:b w:val="1"/>
                <w:bCs w:val="1"/>
                <w:color w:val="auto"/>
                <w:w w:val="96"/>
              </w:rPr>
              <w:t>Expected UC</w:t>
            </w:r>
          </w:p>
        </w:tc>
        <w:tc>
          <w:tcPr>
            <w:tcW w:w="0" w:type="dxa"/>
            <w:vAlign w:val="bottom"/>
          </w:tcPr>
          <w:p>
            <w:pPr>
              <w:spacing w:after="0"/>
              <w:rPr>
                <w:sz w:val="1"/>
                <w:szCs w:val="1"/>
                <w:color w:val="auto"/>
              </w:rPr>
            </w:pPr>
          </w:p>
        </w:tc>
      </w:tr>
      <w:tr>
        <w:trPr>
          <w:trHeight w:val="84"/>
        </w:trPr>
        <w:tc>
          <w:tcPr>
            <w:tcW w:w="2200" w:type="dxa"/>
            <w:vAlign w:val="bottom"/>
            <w:vMerge w:val="continue"/>
            <w:shd w:val="clear" w:color="auto" w:fill="E8E8E8"/>
          </w:tcPr>
          <w:p>
            <w:pPr>
              <w:spacing w:after="0"/>
              <w:rPr>
                <w:sz w:val="7"/>
                <w:szCs w:val="7"/>
                <w:color w:val="auto"/>
              </w:rPr>
            </w:pPr>
          </w:p>
        </w:tc>
        <w:tc>
          <w:tcPr>
            <w:tcW w:w="1840" w:type="dxa"/>
            <w:vAlign w:val="bottom"/>
            <w:vMerge w:val="restart"/>
            <w:shd w:val="clear" w:color="auto" w:fill="E8E8E8"/>
          </w:tcPr>
          <w:p>
            <w:pPr>
              <w:jc w:val="center"/>
              <w:ind w:left="17"/>
              <w:spacing w:after="0"/>
              <w:rPr>
                <w:sz w:val="20"/>
                <w:szCs w:val="20"/>
                <w:color w:val="auto"/>
              </w:rPr>
            </w:pPr>
            <w:r>
              <w:rPr>
                <w:rFonts w:ascii="Verdana" w:cs="Verdana" w:eastAsia="Verdana" w:hAnsi="Verdana"/>
                <w:sz w:val="13"/>
                <w:szCs w:val="13"/>
                <w:color w:val="auto"/>
                <w:w w:val="97"/>
              </w:rPr>
              <w:t>IR/100 PY</w:t>
            </w:r>
          </w:p>
        </w:tc>
        <w:tc>
          <w:tcPr>
            <w:tcW w:w="1760" w:type="dxa"/>
            <w:vAlign w:val="bottom"/>
            <w:vMerge w:val="restart"/>
            <w:shd w:val="clear" w:color="auto" w:fill="E8E8E8"/>
          </w:tcPr>
          <w:p>
            <w:pPr>
              <w:jc w:val="center"/>
              <w:spacing w:after="0"/>
              <w:rPr>
                <w:sz w:val="20"/>
                <w:szCs w:val="20"/>
                <w:color w:val="auto"/>
              </w:rPr>
            </w:pPr>
            <w:r>
              <w:rPr>
                <w:rFonts w:ascii="Verdana" w:cs="Verdana" w:eastAsia="Verdana" w:hAnsi="Verdana"/>
                <w:sz w:val="13"/>
                <w:szCs w:val="13"/>
                <w:color w:val="auto"/>
                <w:w w:val="97"/>
              </w:rPr>
              <w:t>IR/100 PY</w:t>
            </w:r>
          </w:p>
        </w:tc>
        <w:tc>
          <w:tcPr>
            <w:tcW w:w="1720" w:type="dxa"/>
            <w:vAlign w:val="bottom"/>
            <w:tcBorders>
              <w:right w:val="single" w:sz="8" w:color="00B050"/>
            </w:tcBorders>
            <w:vMerge w:val="restart"/>
            <w:shd w:val="clear" w:color="auto" w:fill="E8E8E8"/>
          </w:tcPr>
          <w:p>
            <w:pPr>
              <w:jc w:val="center"/>
              <w:spacing w:after="0"/>
              <w:rPr>
                <w:sz w:val="20"/>
                <w:szCs w:val="20"/>
                <w:color w:val="auto"/>
              </w:rPr>
            </w:pPr>
            <w:r>
              <w:rPr>
                <w:rFonts w:ascii="Verdana" w:cs="Verdana" w:eastAsia="Verdana" w:hAnsi="Verdana"/>
                <w:sz w:val="13"/>
                <w:szCs w:val="13"/>
                <w:color w:val="auto"/>
                <w:w w:val="97"/>
              </w:rPr>
              <w:t>IR/100 PY</w:t>
            </w:r>
          </w:p>
        </w:tc>
        <w:tc>
          <w:tcPr>
            <w:tcW w:w="1720" w:type="dxa"/>
            <w:vAlign w:val="bottom"/>
            <w:vMerge w:val="restart"/>
            <w:shd w:val="clear" w:color="auto" w:fill="E8E8E8"/>
          </w:tcPr>
          <w:p>
            <w:pPr>
              <w:jc w:val="center"/>
              <w:ind w:left="57"/>
              <w:spacing w:after="0"/>
              <w:rPr>
                <w:sz w:val="20"/>
                <w:szCs w:val="20"/>
                <w:color w:val="auto"/>
              </w:rPr>
            </w:pPr>
            <w:r>
              <w:rPr>
                <w:rFonts w:ascii="Verdana" w:cs="Verdana" w:eastAsia="Verdana" w:hAnsi="Verdana"/>
                <w:sz w:val="13"/>
                <w:szCs w:val="13"/>
                <w:color w:val="auto"/>
                <w:w w:val="97"/>
              </w:rPr>
              <w:t>IR/100 PY</w:t>
            </w:r>
          </w:p>
        </w:tc>
        <w:tc>
          <w:tcPr>
            <w:tcW w:w="1780" w:type="dxa"/>
            <w:vAlign w:val="bottom"/>
            <w:tcBorders>
              <w:right w:val="single" w:sz="8" w:color="00B050"/>
            </w:tcBorders>
            <w:vMerge w:val="restart"/>
            <w:shd w:val="clear" w:color="auto" w:fill="E8E8E8"/>
          </w:tcPr>
          <w:p>
            <w:pPr>
              <w:jc w:val="center"/>
              <w:spacing w:after="0"/>
              <w:rPr>
                <w:sz w:val="20"/>
                <w:szCs w:val="20"/>
                <w:color w:val="auto"/>
              </w:rPr>
            </w:pPr>
            <w:r>
              <w:rPr>
                <w:rFonts w:ascii="Verdana" w:cs="Verdana" w:eastAsia="Verdana" w:hAnsi="Verdana"/>
                <w:sz w:val="13"/>
                <w:szCs w:val="13"/>
                <w:b w:val="1"/>
                <w:bCs w:val="1"/>
                <w:color w:val="auto"/>
                <w:w w:val="96"/>
              </w:rPr>
              <w:t>Background</w:t>
            </w:r>
            <w:r>
              <w:rPr>
                <w:rFonts w:ascii="Verdana" w:cs="Verdana" w:eastAsia="Verdana" w:hAnsi="Verdana"/>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BFBFBF"/>
            </w:tcBorders>
            <w:shd w:val="clear" w:color="auto" w:fill="E8E8E8"/>
          </w:tcPr>
          <w:p>
            <w:pPr>
              <w:spacing w:after="0"/>
              <w:rPr>
                <w:sz w:val="15"/>
                <w:szCs w:val="15"/>
                <w:color w:val="auto"/>
              </w:rPr>
            </w:pPr>
          </w:p>
        </w:tc>
        <w:tc>
          <w:tcPr>
            <w:tcW w:w="1840" w:type="dxa"/>
            <w:vAlign w:val="bottom"/>
            <w:tcBorders>
              <w:bottom w:val="single" w:sz="8" w:color="BFBFBF"/>
            </w:tcBorders>
            <w:vMerge w:val="continue"/>
            <w:shd w:val="clear" w:color="auto" w:fill="E8E8E8"/>
          </w:tcPr>
          <w:p>
            <w:pPr>
              <w:spacing w:after="0"/>
              <w:rPr>
                <w:sz w:val="15"/>
                <w:szCs w:val="15"/>
                <w:color w:val="auto"/>
              </w:rPr>
            </w:pPr>
          </w:p>
        </w:tc>
        <w:tc>
          <w:tcPr>
            <w:tcW w:w="1760" w:type="dxa"/>
            <w:vAlign w:val="bottom"/>
            <w:tcBorders>
              <w:bottom w:val="single" w:sz="8" w:color="BFBFBF"/>
            </w:tcBorders>
            <w:vMerge w:val="continue"/>
            <w:shd w:val="clear" w:color="auto" w:fill="E8E8E8"/>
          </w:tcPr>
          <w:p>
            <w:pPr>
              <w:spacing w:after="0"/>
              <w:rPr>
                <w:sz w:val="15"/>
                <w:szCs w:val="15"/>
                <w:color w:val="auto"/>
              </w:rPr>
            </w:pPr>
          </w:p>
        </w:tc>
        <w:tc>
          <w:tcPr>
            <w:tcW w:w="1720" w:type="dxa"/>
            <w:vAlign w:val="bottom"/>
            <w:tcBorders>
              <w:bottom w:val="single" w:sz="8" w:color="BFBFBF"/>
              <w:right w:val="single" w:sz="8" w:color="00B050"/>
            </w:tcBorders>
            <w:vMerge w:val="continue"/>
            <w:shd w:val="clear" w:color="auto" w:fill="E8E8E8"/>
          </w:tcPr>
          <w:p>
            <w:pPr>
              <w:spacing w:after="0"/>
              <w:rPr>
                <w:sz w:val="15"/>
                <w:szCs w:val="15"/>
                <w:color w:val="auto"/>
              </w:rPr>
            </w:pPr>
          </w:p>
        </w:tc>
        <w:tc>
          <w:tcPr>
            <w:tcW w:w="1720" w:type="dxa"/>
            <w:vAlign w:val="bottom"/>
            <w:tcBorders>
              <w:bottom w:val="single" w:sz="8" w:color="BFBFBF"/>
            </w:tcBorders>
            <w:vMerge w:val="continue"/>
            <w:shd w:val="clear" w:color="auto" w:fill="E8E8E8"/>
          </w:tcPr>
          <w:p>
            <w:pPr>
              <w:spacing w:after="0"/>
              <w:rPr>
                <w:sz w:val="15"/>
                <w:szCs w:val="15"/>
                <w:color w:val="auto"/>
              </w:rPr>
            </w:pPr>
          </w:p>
        </w:tc>
        <w:tc>
          <w:tcPr>
            <w:tcW w:w="1780" w:type="dxa"/>
            <w:vAlign w:val="bottom"/>
            <w:tcBorders>
              <w:bottom w:val="single" w:sz="8" w:color="BFBFBF"/>
              <w:right w:val="single" w:sz="8" w:color="00B050"/>
            </w:tcBorders>
            <w:vMerge w:val="continue"/>
            <w:shd w:val="clear" w:color="auto" w:fill="E8E8E8"/>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200" w:type="dxa"/>
            <w:vAlign w:val="bottom"/>
            <w:shd w:val="clear" w:color="auto" w:fill="C1F0C7"/>
          </w:tcPr>
          <w:p>
            <w:pPr>
              <w:jc w:val="center"/>
              <w:spacing w:after="0"/>
              <w:rPr>
                <w:sz w:val="20"/>
                <w:szCs w:val="20"/>
                <w:color w:val="auto"/>
              </w:rPr>
            </w:pPr>
            <w:r>
              <w:rPr>
                <w:rFonts w:ascii="Verdana" w:cs="Verdana" w:eastAsia="Verdana" w:hAnsi="Verdana"/>
                <w:sz w:val="13"/>
                <w:szCs w:val="13"/>
                <w:b w:val="1"/>
                <w:bCs w:val="1"/>
                <w:color w:val="auto"/>
                <w:w w:val="96"/>
              </w:rPr>
              <w:t>Integrated UC Program</w:t>
            </w:r>
          </w:p>
        </w:tc>
        <w:tc>
          <w:tcPr>
            <w:tcW w:w="1840" w:type="dxa"/>
            <w:vAlign w:val="bottom"/>
            <w:shd w:val="clear" w:color="auto" w:fill="C1F0C7"/>
          </w:tcPr>
          <w:p>
            <w:pPr>
              <w:spacing w:after="0"/>
              <w:rPr>
                <w:sz w:val="20"/>
                <w:szCs w:val="20"/>
                <w:color w:val="auto"/>
              </w:rPr>
            </w:pPr>
          </w:p>
        </w:tc>
        <w:tc>
          <w:tcPr>
            <w:tcW w:w="1760" w:type="dxa"/>
            <w:vAlign w:val="bottom"/>
            <w:shd w:val="clear" w:color="auto" w:fill="C1F0C7"/>
          </w:tcPr>
          <w:p>
            <w:pPr>
              <w:spacing w:after="0"/>
              <w:rPr>
                <w:sz w:val="20"/>
                <w:szCs w:val="20"/>
                <w:color w:val="auto"/>
              </w:rPr>
            </w:pPr>
          </w:p>
        </w:tc>
        <w:tc>
          <w:tcPr>
            <w:tcW w:w="1720" w:type="dxa"/>
            <w:vAlign w:val="bottom"/>
            <w:tcBorders>
              <w:right w:val="single" w:sz="8" w:color="00B050"/>
            </w:tcBorders>
            <w:shd w:val="clear" w:color="auto" w:fill="C1F0C7"/>
          </w:tcPr>
          <w:p>
            <w:pPr>
              <w:spacing w:after="0"/>
              <w:rPr>
                <w:sz w:val="20"/>
                <w:szCs w:val="20"/>
                <w:color w:val="auto"/>
              </w:rPr>
            </w:pPr>
          </w:p>
        </w:tc>
        <w:tc>
          <w:tcPr>
            <w:tcW w:w="1720" w:type="dxa"/>
            <w:vAlign w:val="bottom"/>
            <w:shd w:val="clear" w:color="auto" w:fill="C1F0C7"/>
          </w:tcPr>
          <w:p>
            <w:pPr>
              <w:spacing w:after="0"/>
              <w:rPr>
                <w:sz w:val="20"/>
                <w:szCs w:val="20"/>
                <w:color w:val="auto"/>
              </w:rPr>
            </w:pPr>
          </w:p>
        </w:tc>
        <w:tc>
          <w:tcPr>
            <w:tcW w:w="1780" w:type="dxa"/>
            <w:vAlign w:val="bottom"/>
            <w:tcBorders>
              <w:right w:val="single" w:sz="8" w:color="00B050"/>
            </w:tcBorders>
            <w:shd w:val="clear" w:color="auto" w:fill="C1F0C7"/>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1F0C7"/>
          </w:tcPr>
          <w:p>
            <w:pPr>
              <w:ind w:left="440"/>
              <w:spacing w:after="0"/>
              <w:rPr>
                <w:sz w:val="20"/>
                <w:szCs w:val="20"/>
                <w:color w:val="auto"/>
              </w:rPr>
            </w:pPr>
            <w:r>
              <w:rPr>
                <w:rFonts w:ascii="Verdana" w:cs="Verdana" w:eastAsia="Verdana" w:hAnsi="Verdana"/>
                <w:sz w:val="13"/>
                <w:szCs w:val="13"/>
                <w:b w:val="1"/>
                <w:bCs w:val="1"/>
                <w:color w:val="auto"/>
              </w:rPr>
              <w:t>(Phase 2 + Phase 3)</w:t>
            </w:r>
          </w:p>
        </w:tc>
        <w:tc>
          <w:tcPr>
            <w:tcW w:w="1840" w:type="dxa"/>
            <w:vAlign w:val="bottom"/>
            <w:shd w:val="clear" w:color="auto" w:fill="C1F0C7"/>
          </w:tcPr>
          <w:p>
            <w:pPr>
              <w:jc w:val="center"/>
              <w:ind w:left="17"/>
              <w:spacing w:after="0"/>
              <w:rPr>
                <w:sz w:val="20"/>
                <w:szCs w:val="20"/>
                <w:color w:val="auto"/>
              </w:rPr>
            </w:pPr>
            <w:r>
              <w:rPr>
                <w:rFonts w:ascii="Verdana" w:cs="Verdana" w:eastAsia="Verdana" w:hAnsi="Verdana"/>
                <w:sz w:val="13"/>
                <w:szCs w:val="13"/>
                <w:b w:val="1"/>
                <w:bCs w:val="1"/>
                <w:color w:val="auto"/>
                <w:w w:val="98"/>
              </w:rPr>
              <w:t>0.46</w:t>
            </w:r>
          </w:p>
        </w:tc>
        <w:tc>
          <w:tcPr>
            <w:tcW w:w="1760" w:type="dxa"/>
            <w:vAlign w:val="bottom"/>
            <w:shd w:val="clear" w:color="auto" w:fill="C1F0C7"/>
          </w:tcPr>
          <w:p>
            <w:pPr>
              <w:jc w:val="center"/>
              <w:spacing w:after="0"/>
              <w:rPr>
                <w:sz w:val="20"/>
                <w:szCs w:val="20"/>
                <w:color w:val="auto"/>
              </w:rPr>
            </w:pPr>
            <w:r>
              <w:rPr>
                <w:rFonts w:ascii="Verdana" w:cs="Verdana" w:eastAsia="Verdana" w:hAnsi="Verdana"/>
                <w:sz w:val="13"/>
                <w:szCs w:val="13"/>
                <w:b w:val="1"/>
                <w:bCs w:val="1"/>
                <w:color w:val="auto"/>
                <w:w w:val="98"/>
              </w:rPr>
              <w:t>0.53</w:t>
            </w:r>
          </w:p>
        </w:tc>
        <w:tc>
          <w:tcPr>
            <w:tcW w:w="1720" w:type="dxa"/>
            <w:vAlign w:val="bottom"/>
            <w:tcBorders>
              <w:right w:val="single" w:sz="8" w:color="00B050"/>
            </w:tcBorders>
            <w:shd w:val="clear" w:color="auto" w:fill="C1F0C7"/>
          </w:tcPr>
          <w:p>
            <w:pPr>
              <w:jc w:val="center"/>
              <w:spacing w:after="0"/>
              <w:rPr>
                <w:sz w:val="20"/>
                <w:szCs w:val="20"/>
                <w:color w:val="auto"/>
              </w:rPr>
            </w:pPr>
            <w:r>
              <w:rPr>
                <w:rFonts w:ascii="Verdana" w:cs="Verdana" w:eastAsia="Verdana" w:hAnsi="Verdana"/>
                <w:sz w:val="13"/>
                <w:szCs w:val="13"/>
                <w:b w:val="1"/>
                <w:bCs w:val="1"/>
                <w:color w:val="auto"/>
                <w:w w:val="92"/>
              </w:rPr>
              <w:t>0.64</w:t>
            </w:r>
          </w:p>
        </w:tc>
        <w:tc>
          <w:tcPr>
            <w:tcW w:w="1720" w:type="dxa"/>
            <w:vAlign w:val="bottom"/>
            <w:shd w:val="clear" w:color="auto" w:fill="C1F0C7"/>
          </w:tcPr>
          <w:p>
            <w:pPr>
              <w:jc w:val="center"/>
              <w:ind w:left="57"/>
              <w:spacing w:after="0"/>
              <w:rPr>
                <w:sz w:val="20"/>
                <w:szCs w:val="20"/>
                <w:color w:val="auto"/>
              </w:rPr>
            </w:pPr>
            <w:r>
              <w:rPr>
                <w:rFonts w:ascii="Verdana" w:cs="Verdana" w:eastAsia="Verdana" w:hAnsi="Verdana"/>
                <w:sz w:val="13"/>
                <w:szCs w:val="13"/>
                <w:b w:val="1"/>
                <w:bCs w:val="1"/>
                <w:color w:val="auto"/>
                <w:w w:val="98"/>
              </w:rPr>
              <w:t>0.59</w:t>
            </w:r>
          </w:p>
        </w:tc>
        <w:tc>
          <w:tcPr>
            <w:tcW w:w="1780" w:type="dxa"/>
            <w:vAlign w:val="bottom"/>
            <w:tcBorders>
              <w:right w:val="single" w:sz="8" w:color="00B050"/>
            </w:tcBorders>
            <w:shd w:val="clear" w:color="auto" w:fill="C1F0C7"/>
          </w:tcPr>
          <w:p>
            <w:pPr>
              <w:jc w:val="center"/>
              <w:spacing w:after="0"/>
              <w:rPr>
                <w:sz w:val="20"/>
                <w:szCs w:val="20"/>
                <w:color w:val="auto"/>
              </w:rPr>
            </w:pPr>
            <w:r>
              <w:rPr>
                <w:rFonts w:ascii="Verdana" w:cs="Verdana" w:eastAsia="Verdana" w:hAnsi="Verdana"/>
                <w:sz w:val="13"/>
                <w:szCs w:val="13"/>
                <w:b w:val="1"/>
                <w:bCs w:val="1"/>
                <w:color w:val="auto"/>
                <w:w w:val="96"/>
              </w:rPr>
              <w:t>0.70 – 1.40</w:t>
            </w:r>
          </w:p>
        </w:tc>
        <w:tc>
          <w:tcPr>
            <w:tcW w:w="0" w:type="dxa"/>
            <w:vAlign w:val="bottom"/>
          </w:tcPr>
          <w:p>
            <w:pPr>
              <w:spacing w:after="0"/>
              <w:rPr>
                <w:sz w:val="1"/>
                <w:szCs w:val="1"/>
                <w:color w:val="auto"/>
              </w:rPr>
            </w:pPr>
          </w:p>
        </w:tc>
      </w:tr>
      <w:tr>
        <w:trPr>
          <w:trHeight w:val="97"/>
        </w:trPr>
        <w:tc>
          <w:tcPr>
            <w:tcW w:w="2200" w:type="dxa"/>
            <w:vAlign w:val="bottom"/>
            <w:tcBorders>
              <w:bottom w:val="single" w:sz="8" w:color="BFBFBF"/>
            </w:tcBorders>
            <w:shd w:val="clear" w:color="auto" w:fill="C1F0C7"/>
          </w:tcPr>
          <w:p>
            <w:pPr>
              <w:spacing w:after="0"/>
              <w:rPr>
                <w:sz w:val="8"/>
                <w:szCs w:val="8"/>
                <w:color w:val="auto"/>
              </w:rPr>
            </w:pPr>
          </w:p>
        </w:tc>
        <w:tc>
          <w:tcPr>
            <w:tcW w:w="1840" w:type="dxa"/>
            <w:vAlign w:val="bottom"/>
            <w:tcBorders>
              <w:bottom w:val="single" w:sz="8" w:color="BFBFBF"/>
            </w:tcBorders>
            <w:shd w:val="clear" w:color="auto" w:fill="C1F0C7"/>
          </w:tcPr>
          <w:p>
            <w:pPr>
              <w:spacing w:after="0"/>
              <w:rPr>
                <w:sz w:val="8"/>
                <w:szCs w:val="8"/>
                <w:color w:val="auto"/>
              </w:rPr>
            </w:pPr>
          </w:p>
        </w:tc>
        <w:tc>
          <w:tcPr>
            <w:tcW w:w="1760" w:type="dxa"/>
            <w:vAlign w:val="bottom"/>
            <w:tcBorders>
              <w:bottom w:val="single" w:sz="8" w:color="BFBFBF"/>
            </w:tcBorders>
            <w:shd w:val="clear" w:color="auto" w:fill="C1F0C7"/>
          </w:tcPr>
          <w:p>
            <w:pPr>
              <w:spacing w:after="0"/>
              <w:rPr>
                <w:sz w:val="8"/>
                <w:szCs w:val="8"/>
                <w:color w:val="auto"/>
              </w:rPr>
            </w:pPr>
          </w:p>
        </w:tc>
        <w:tc>
          <w:tcPr>
            <w:tcW w:w="1720" w:type="dxa"/>
            <w:vAlign w:val="bottom"/>
            <w:tcBorders>
              <w:bottom w:val="single" w:sz="8" w:color="BFBFBF"/>
              <w:right w:val="single" w:sz="8" w:color="00B050"/>
            </w:tcBorders>
            <w:shd w:val="clear" w:color="auto" w:fill="C1F0C7"/>
          </w:tcPr>
          <w:p>
            <w:pPr>
              <w:spacing w:after="0"/>
              <w:rPr>
                <w:sz w:val="8"/>
                <w:szCs w:val="8"/>
                <w:color w:val="auto"/>
              </w:rPr>
            </w:pPr>
          </w:p>
        </w:tc>
        <w:tc>
          <w:tcPr>
            <w:tcW w:w="1720" w:type="dxa"/>
            <w:vAlign w:val="bottom"/>
            <w:tcBorders>
              <w:bottom w:val="single" w:sz="8" w:color="BFBFBF"/>
            </w:tcBorders>
            <w:shd w:val="clear" w:color="auto" w:fill="C1F0C7"/>
          </w:tcPr>
          <w:p>
            <w:pPr>
              <w:spacing w:after="0"/>
              <w:rPr>
                <w:sz w:val="8"/>
                <w:szCs w:val="8"/>
                <w:color w:val="auto"/>
              </w:rPr>
            </w:pPr>
          </w:p>
        </w:tc>
        <w:tc>
          <w:tcPr>
            <w:tcW w:w="1780" w:type="dxa"/>
            <w:vAlign w:val="bottom"/>
            <w:tcBorders>
              <w:bottom w:val="single" w:sz="8" w:color="BFBFBF"/>
              <w:right w:val="single" w:sz="8" w:color="00B050"/>
            </w:tcBorders>
            <w:shd w:val="clear" w:color="auto" w:fill="C1F0C7"/>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2200" w:type="dxa"/>
            <w:vAlign w:val="bottom"/>
          </w:tcPr>
          <w:p>
            <w:pPr>
              <w:jc w:val="center"/>
              <w:spacing w:after="0"/>
              <w:rPr>
                <w:sz w:val="20"/>
                <w:szCs w:val="20"/>
                <w:color w:val="auto"/>
              </w:rPr>
            </w:pPr>
            <w:r>
              <w:rPr>
                <w:rFonts w:ascii="Verdana" w:cs="Verdana" w:eastAsia="Verdana" w:hAnsi="Verdana"/>
                <w:sz w:val="13"/>
                <w:szCs w:val="13"/>
                <w:b w:val="1"/>
                <w:bCs w:val="1"/>
                <w:color w:val="auto"/>
                <w:w w:val="96"/>
              </w:rPr>
              <w:t>Phase 3 Maintenance</w:t>
            </w:r>
          </w:p>
        </w:tc>
        <w:tc>
          <w:tcPr>
            <w:tcW w:w="1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20" w:type="dxa"/>
            <w:vAlign w:val="bottom"/>
            <w:tcBorders>
              <w:right w:val="single" w:sz="8" w:color="00B050"/>
            </w:tcBorders>
          </w:tcPr>
          <w:p>
            <w:pPr>
              <w:spacing w:after="0"/>
              <w:rPr>
                <w:sz w:val="20"/>
                <w:szCs w:val="20"/>
                <w:color w:val="auto"/>
              </w:rPr>
            </w:pPr>
          </w:p>
        </w:tc>
        <w:tc>
          <w:tcPr>
            <w:tcW w:w="1720" w:type="dxa"/>
            <w:vAlign w:val="bottom"/>
          </w:tcPr>
          <w:p>
            <w:pPr>
              <w:spacing w:after="0"/>
              <w:rPr>
                <w:sz w:val="20"/>
                <w:szCs w:val="20"/>
                <w:color w:val="auto"/>
              </w:rPr>
            </w:pPr>
          </w:p>
        </w:tc>
        <w:tc>
          <w:tcPr>
            <w:tcW w:w="1780" w:type="dxa"/>
            <w:vAlign w:val="bottom"/>
            <w:tcBorders>
              <w:right w:val="single" w:sz="8" w:color="00B05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00" w:type="dxa"/>
            <w:vAlign w:val="bottom"/>
          </w:tcPr>
          <w:p>
            <w:pPr>
              <w:jc w:val="center"/>
              <w:spacing w:after="0"/>
              <w:rPr>
                <w:sz w:val="20"/>
                <w:szCs w:val="20"/>
                <w:color w:val="auto"/>
              </w:rPr>
            </w:pPr>
            <w:r>
              <w:rPr>
                <w:rFonts w:ascii="Verdana" w:cs="Verdana" w:eastAsia="Verdana" w:hAnsi="Verdana"/>
                <w:sz w:val="13"/>
                <w:szCs w:val="13"/>
                <w:b w:val="1"/>
                <w:bCs w:val="1"/>
                <w:color w:val="auto"/>
                <w:w w:val="97"/>
              </w:rPr>
              <w:t>(Part 1 + Part 2)</w:t>
            </w:r>
          </w:p>
        </w:tc>
        <w:tc>
          <w:tcPr>
            <w:tcW w:w="184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8"/>
              </w:rPr>
              <w:t>0.68</w:t>
            </w:r>
          </w:p>
        </w:tc>
        <w:tc>
          <w:tcPr>
            <w:tcW w:w="1760" w:type="dxa"/>
            <w:vAlign w:val="bottom"/>
          </w:tcPr>
          <w:p>
            <w:pPr>
              <w:jc w:val="center"/>
              <w:spacing w:after="0"/>
              <w:rPr>
                <w:sz w:val="20"/>
                <w:szCs w:val="20"/>
                <w:color w:val="auto"/>
              </w:rPr>
            </w:pPr>
            <w:r>
              <w:rPr>
                <w:rFonts w:ascii="Verdana" w:cs="Verdana" w:eastAsia="Verdana" w:hAnsi="Verdana"/>
                <w:sz w:val="13"/>
                <w:szCs w:val="13"/>
                <w:b w:val="1"/>
                <w:bCs w:val="1"/>
                <w:color w:val="auto"/>
                <w:w w:val="98"/>
              </w:rPr>
              <w:t>1.09</w:t>
            </w:r>
          </w:p>
        </w:tc>
        <w:tc>
          <w:tcPr>
            <w:tcW w:w="1720" w:type="dxa"/>
            <w:vAlign w:val="bottom"/>
            <w:tcBorders>
              <w:right w:val="single" w:sz="8" w:color="00B050"/>
            </w:tcBorders>
          </w:tcPr>
          <w:p>
            <w:pPr>
              <w:jc w:val="center"/>
              <w:spacing w:after="0"/>
              <w:rPr>
                <w:sz w:val="20"/>
                <w:szCs w:val="20"/>
                <w:color w:val="auto"/>
              </w:rPr>
            </w:pPr>
            <w:r>
              <w:rPr>
                <w:rFonts w:ascii="Verdana" w:cs="Verdana" w:eastAsia="Verdana" w:hAnsi="Verdana"/>
                <w:sz w:val="13"/>
                <w:szCs w:val="13"/>
                <w:b w:val="1"/>
                <w:bCs w:val="1"/>
                <w:color w:val="auto"/>
                <w:w w:val="92"/>
              </w:rPr>
              <w:t>1.37</w:t>
            </w:r>
          </w:p>
        </w:tc>
        <w:tc>
          <w:tcPr>
            <w:tcW w:w="1720" w:type="dxa"/>
            <w:vAlign w:val="bottom"/>
          </w:tcPr>
          <w:p>
            <w:pPr>
              <w:jc w:val="center"/>
              <w:ind w:left="57"/>
              <w:spacing w:after="0"/>
              <w:rPr>
                <w:sz w:val="20"/>
                <w:szCs w:val="20"/>
                <w:color w:val="auto"/>
              </w:rPr>
            </w:pPr>
            <w:r>
              <w:rPr>
                <w:rFonts w:ascii="Verdana" w:cs="Verdana" w:eastAsia="Verdana" w:hAnsi="Verdana"/>
                <w:sz w:val="13"/>
                <w:szCs w:val="13"/>
                <w:b w:val="1"/>
                <w:bCs w:val="1"/>
                <w:color w:val="auto"/>
                <w:w w:val="98"/>
              </w:rPr>
              <w:t>1.26</w:t>
            </w:r>
          </w:p>
        </w:tc>
        <w:tc>
          <w:tcPr>
            <w:tcW w:w="1780" w:type="dxa"/>
            <w:vAlign w:val="bottom"/>
            <w:tcBorders>
              <w:right w:val="single" w:sz="8" w:color="00B050"/>
            </w:tcBorders>
          </w:tcPr>
          <w:p>
            <w:pPr>
              <w:jc w:val="center"/>
              <w:spacing w:after="0"/>
              <w:rPr>
                <w:sz w:val="20"/>
                <w:szCs w:val="20"/>
                <w:color w:val="auto"/>
              </w:rPr>
            </w:pPr>
            <w:r>
              <w:rPr>
                <w:rFonts w:ascii="Verdana" w:cs="Verdana" w:eastAsia="Verdana" w:hAnsi="Verdana"/>
                <w:sz w:val="13"/>
                <w:szCs w:val="13"/>
                <w:b w:val="1"/>
                <w:bCs w:val="1"/>
                <w:color w:val="auto"/>
                <w:w w:val="96"/>
              </w:rPr>
              <w:t>0.70 – 1.40</w:t>
            </w:r>
          </w:p>
        </w:tc>
        <w:tc>
          <w:tcPr>
            <w:tcW w:w="0" w:type="dxa"/>
            <w:vAlign w:val="bottom"/>
          </w:tcPr>
          <w:p>
            <w:pPr>
              <w:spacing w:after="0"/>
              <w:rPr>
                <w:sz w:val="1"/>
                <w:szCs w:val="1"/>
                <w:color w:val="auto"/>
              </w:rPr>
            </w:pPr>
          </w:p>
        </w:tc>
      </w:tr>
      <w:tr>
        <w:trPr>
          <w:trHeight w:val="97"/>
        </w:trPr>
        <w:tc>
          <w:tcPr>
            <w:tcW w:w="2200" w:type="dxa"/>
            <w:vAlign w:val="bottom"/>
            <w:tcBorders>
              <w:bottom w:val="single" w:sz="8" w:color="BFBFBF"/>
            </w:tcBorders>
          </w:tcPr>
          <w:p>
            <w:pPr>
              <w:spacing w:after="0"/>
              <w:rPr>
                <w:sz w:val="8"/>
                <w:szCs w:val="8"/>
                <w:color w:val="auto"/>
              </w:rPr>
            </w:pPr>
          </w:p>
        </w:tc>
        <w:tc>
          <w:tcPr>
            <w:tcW w:w="1840" w:type="dxa"/>
            <w:vAlign w:val="bottom"/>
            <w:tcBorders>
              <w:bottom w:val="single" w:sz="8" w:color="BFBFBF"/>
            </w:tcBorders>
          </w:tcPr>
          <w:p>
            <w:pPr>
              <w:spacing w:after="0"/>
              <w:rPr>
                <w:sz w:val="8"/>
                <w:szCs w:val="8"/>
                <w:color w:val="auto"/>
              </w:rPr>
            </w:pPr>
          </w:p>
        </w:tc>
        <w:tc>
          <w:tcPr>
            <w:tcW w:w="1760" w:type="dxa"/>
            <w:vAlign w:val="bottom"/>
            <w:tcBorders>
              <w:bottom w:val="single" w:sz="8" w:color="BFBFBF"/>
            </w:tcBorders>
          </w:tcPr>
          <w:p>
            <w:pPr>
              <w:spacing w:after="0"/>
              <w:rPr>
                <w:sz w:val="8"/>
                <w:szCs w:val="8"/>
                <w:color w:val="auto"/>
              </w:rPr>
            </w:pPr>
          </w:p>
        </w:tc>
        <w:tc>
          <w:tcPr>
            <w:tcW w:w="1720" w:type="dxa"/>
            <w:vAlign w:val="bottom"/>
            <w:tcBorders>
              <w:bottom w:val="single" w:sz="8" w:color="BFBFBF"/>
              <w:right w:val="single" w:sz="8" w:color="00B050"/>
            </w:tcBorders>
          </w:tcPr>
          <w:p>
            <w:pPr>
              <w:spacing w:after="0"/>
              <w:rPr>
                <w:sz w:val="8"/>
                <w:szCs w:val="8"/>
                <w:color w:val="auto"/>
              </w:rPr>
            </w:pPr>
          </w:p>
        </w:tc>
        <w:tc>
          <w:tcPr>
            <w:tcW w:w="1720" w:type="dxa"/>
            <w:vAlign w:val="bottom"/>
            <w:tcBorders>
              <w:bottom w:val="single" w:sz="8" w:color="BFBFBF"/>
            </w:tcBorders>
          </w:tcPr>
          <w:p>
            <w:pPr>
              <w:spacing w:after="0"/>
              <w:rPr>
                <w:sz w:val="8"/>
                <w:szCs w:val="8"/>
                <w:color w:val="auto"/>
              </w:rPr>
            </w:pPr>
          </w:p>
        </w:tc>
        <w:tc>
          <w:tcPr>
            <w:tcW w:w="1780" w:type="dxa"/>
            <w:vAlign w:val="bottom"/>
            <w:tcBorders>
              <w:bottom w:val="single" w:sz="8" w:color="BFBFBF"/>
              <w:right w:val="single" w:sz="8" w:color="00B050"/>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200" w:type="dxa"/>
            <w:vAlign w:val="bottom"/>
          </w:tcPr>
          <w:p>
            <w:pPr>
              <w:jc w:val="center"/>
              <w:spacing w:after="0"/>
              <w:rPr>
                <w:sz w:val="20"/>
                <w:szCs w:val="20"/>
                <w:color w:val="auto"/>
              </w:rPr>
            </w:pPr>
            <w:r>
              <w:rPr>
                <w:rFonts w:ascii="Verdana" w:cs="Verdana" w:eastAsia="Verdana" w:hAnsi="Verdana"/>
                <w:sz w:val="13"/>
                <w:szCs w:val="13"/>
                <w:b w:val="1"/>
                <w:bCs w:val="1"/>
                <w:color w:val="auto"/>
                <w:w w:val="97"/>
              </w:rPr>
              <w:t>Part 2 Only</w:t>
            </w:r>
          </w:p>
        </w:tc>
        <w:tc>
          <w:tcPr>
            <w:tcW w:w="1840" w:type="dxa"/>
            <w:vAlign w:val="bottom"/>
          </w:tcPr>
          <w:p>
            <w:pPr>
              <w:jc w:val="center"/>
              <w:ind w:left="17"/>
              <w:spacing w:after="0"/>
              <w:rPr>
                <w:sz w:val="20"/>
                <w:szCs w:val="20"/>
                <w:color w:val="auto"/>
              </w:rPr>
            </w:pPr>
            <w:r>
              <w:rPr>
                <w:rFonts w:ascii="Verdana" w:cs="Verdana" w:eastAsia="Verdana" w:hAnsi="Verdana"/>
                <w:sz w:val="13"/>
                <w:szCs w:val="13"/>
                <w:b w:val="1"/>
                <w:bCs w:val="1"/>
                <w:color w:val="auto"/>
                <w:w w:val="91"/>
              </w:rPr>
              <w:t>—</w:t>
            </w:r>
          </w:p>
        </w:tc>
        <w:tc>
          <w:tcPr>
            <w:tcW w:w="1760" w:type="dxa"/>
            <w:vAlign w:val="bottom"/>
          </w:tcPr>
          <w:p>
            <w:pPr>
              <w:jc w:val="center"/>
              <w:spacing w:after="0"/>
              <w:rPr>
                <w:sz w:val="20"/>
                <w:szCs w:val="20"/>
                <w:color w:val="auto"/>
              </w:rPr>
            </w:pPr>
            <w:r>
              <w:rPr>
                <w:rFonts w:ascii="Verdana" w:cs="Verdana" w:eastAsia="Verdana" w:hAnsi="Verdana"/>
                <w:sz w:val="13"/>
                <w:szCs w:val="13"/>
                <w:b w:val="1"/>
                <w:bCs w:val="1"/>
                <w:color w:val="auto"/>
                <w:w w:val="98"/>
              </w:rPr>
              <w:t>1.52</w:t>
            </w:r>
          </w:p>
        </w:tc>
        <w:tc>
          <w:tcPr>
            <w:tcW w:w="1720" w:type="dxa"/>
            <w:vAlign w:val="bottom"/>
            <w:tcBorders>
              <w:right w:val="single" w:sz="8" w:color="00B050"/>
            </w:tcBorders>
          </w:tcPr>
          <w:p>
            <w:pPr>
              <w:jc w:val="center"/>
              <w:spacing w:after="0"/>
              <w:rPr>
                <w:sz w:val="20"/>
                <w:szCs w:val="20"/>
                <w:color w:val="auto"/>
              </w:rPr>
            </w:pPr>
            <w:r>
              <w:rPr>
                <w:rFonts w:ascii="Verdana" w:cs="Verdana" w:eastAsia="Verdana" w:hAnsi="Verdana"/>
                <w:sz w:val="13"/>
                <w:szCs w:val="13"/>
                <w:b w:val="1"/>
                <w:bCs w:val="1"/>
                <w:color w:val="auto"/>
                <w:w w:val="92"/>
              </w:rPr>
              <w:t>0.69</w:t>
            </w:r>
          </w:p>
        </w:tc>
        <w:tc>
          <w:tcPr>
            <w:tcW w:w="1720" w:type="dxa"/>
            <w:vAlign w:val="bottom"/>
          </w:tcPr>
          <w:p>
            <w:pPr>
              <w:jc w:val="center"/>
              <w:ind w:left="57"/>
              <w:spacing w:after="0"/>
              <w:rPr>
                <w:sz w:val="20"/>
                <w:szCs w:val="20"/>
                <w:color w:val="auto"/>
              </w:rPr>
            </w:pPr>
            <w:r>
              <w:rPr>
                <w:rFonts w:ascii="Verdana" w:cs="Verdana" w:eastAsia="Verdana" w:hAnsi="Verdana"/>
                <w:sz w:val="13"/>
                <w:szCs w:val="13"/>
                <w:b w:val="1"/>
                <w:bCs w:val="1"/>
                <w:color w:val="auto"/>
                <w:w w:val="98"/>
              </w:rPr>
              <w:t>0.95</w:t>
            </w:r>
          </w:p>
        </w:tc>
        <w:tc>
          <w:tcPr>
            <w:tcW w:w="1780" w:type="dxa"/>
            <w:vAlign w:val="bottom"/>
            <w:tcBorders>
              <w:right w:val="single" w:sz="8" w:color="00B050"/>
            </w:tcBorders>
          </w:tcPr>
          <w:p>
            <w:pPr>
              <w:jc w:val="center"/>
              <w:spacing w:after="0"/>
              <w:rPr>
                <w:sz w:val="20"/>
                <w:szCs w:val="20"/>
                <w:color w:val="auto"/>
              </w:rPr>
            </w:pPr>
            <w:r>
              <w:rPr>
                <w:rFonts w:ascii="Verdana" w:cs="Verdana" w:eastAsia="Verdana" w:hAnsi="Verdana"/>
                <w:sz w:val="13"/>
                <w:szCs w:val="13"/>
                <w:b w:val="1"/>
                <w:bCs w:val="1"/>
                <w:color w:val="auto"/>
                <w:w w:val="96"/>
              </w:rPr>
              <w:t>0.70 – 1.40</w:t>
            </w:r>
          </w:p>
        </w:tc>
        <w:tc>
          <w:tcPr>
            <w:tcW w:w="0" w:type="dxa"/>
            <w:vAlign w:val="bottom"/>
          </w:tcPr>
          <w:p>
            <w:pPr>
              <w:spacing w:after="0"/>
              <w:rPr>
                <w:sz w:val="1"/>
                <w:szCs w:val="1"/>
                <w:color w:val="auto"/>
              </w:rPr>
            </w:pPr>
          </w:p>
        </w:tc>
      </w:tr>
      <w:tr>
        <w:trPr>
          <w:trHeight w:val="91"/>
        </w:trPr>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720" w:type="dxa"/>
            <w:vAlign w:val="bottom"/>
            <w:tcBorders>
              <w:right w:val="single" w:sz="8" w:color="00B050"/>
            </w:tcBorders>
          </w:tcPr>
          <w:p>
            <w:pPr>
              <w:spacing w:after="0"/>
              <w:rPr>
                <w:sz w:val="7"/>
                <w:szCs w:val="7"/>
                <w:color w:val="auto"/>
              </w:rPr>
            </w:pPr>
          </w:p>
        </w:tc>
        <w:tc>
          <w:tcPr>
            <w:tcW w:w="1720" w:type="dxa"/>
            <w:vAlign w:val="bottom"/>
            <w:tcBorders>
              <w:bottom w:val="single" w:sz="8" w:color="00B050"/>
            </w:tcBorders>
          </w:tcPr>
          <w:p>
            <w:pPr>
              <w:spacing w:after="0"/>
              <w:rPr>
                <w:sz w:val="7"/>
                <w:szCs w:val="7"/>
                <w:color w:val="auto"/>
              </w:rPr>
            </w:pPr>
          </w:p>
        </w:tc>
        <w:tc>
          <w:tcPr>
            <w:tcW w:w="1780" w:type="dxa"/>
            <w:vAlign w:val="bottom"/>
            <w:tcBorders>
              <w:bottom w:val="single" w:sz="8" w:color="00B050"/>
              <w:right w:val="single" w:sz="8" w:color="00B05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Part 2 strengthened confidence in obefazimod’s benefit-risk profile ahead of NDA submission</w:t>
      </w:r>
    </w:p>
    <w:p>
      <w:pPr>
        <w:spacing w:after="0" w:line="216" w:lineRule="exact"/>
        <w:rPr>
          <w:sz w:val="20"/>
          <w:szCs w:val="20"/>
          <w:color w:val="auto"/>
        </w:rPr>
      </w:pPr>
    </w:p>
    <w:p>
      <w:pPr>
        <w:ind w:right="360"/>
        <w:spacing w:after="0" w:line="246" w:lineRule="auto"/>
        <w:rPr>
          <w:sz w:val="20"/>
          <w:szCs w:val="20"/>
          <w:color w:val="auto"/>
        </w:rPr>
      </w:pPr>
      <w:r>
        <w:rPr>
          <w:rFonts w:ascii="Verdana" w:cs="Verdana" w:eastAsia="Verdana" w:hAnsi="Verdana"/>
          <w:sz w:val="20"/>
          <w:szCs w:val="20"/>
          <w:color w:val="auto"/>
        </w:rPr>
        <w:t>The overall safety results observed in Part 2 were consistent with those previously observed in the broader obefazimod clinical development program. No new safety pattern emerged with the additional cumulative exposure provided by Part 2.</w:t>
      </w:r>
    </w:p>
    <w:p>
      <w:pPr>
        <w:spacing w:after="0" w:line="198" w:lineRule="exact"/>
        <w:rPr>
          <w:sz w:val="20"/>
          <w:szCs w:val="20"/>
          <w:color w:val="auto"/>
        </w:rPr>
      </w:pPr>
    </w:p>
    <w:p>
      <w:pPr>
        <w:ind w:right="200"/>
        <w:spacing w:after="0" w:line="253" w:lineRule="auto"/>
        <w:rPr>
          <w:sz w:val="20"/>
          <w:szCs w:val="20"/>
          <w:color w:val="auto"/>
        </w:rPr>
      </w:pPr>
      <w:r>
        <w:rPr>
          <w:rFonts w:ascii="Verdana" w:cs="Verdana" w:eastAsia="Verdana" w:hAnsi="Verdana"/>
          <w:sz w:val="20"/>
          <w:szCs w:val="20"/>
          <w:color w:val="auto"/>
        </w:rPr>
        <w:t>Detailed exposure-adjusted analyses by trial, dose, cumulative patient-years, and patient characteristics will be presented during today’s investor webcast.</w:t>
      </w:r>
    </w:p>
    <w:p>
      <w:pPr>
        <w:spacing w:after="0" w:line="190" w:lineRule="exact"/>
        <w:rPr>
          <w:sz w:val="20"/>
          <w:szCs w:val="20"/>
          <w:color w:val="auto"/>
        </w:rPr>
      </w:pPr>
    </w:p>
    <w:p>
      <w:pPr>
        <w:ind w:right="80"/>
        <w:spacing w:after="0" w:line="241" w:lineRule="auto"/>
        <w:rPr>
          <w:sz w:val="20"/>
          <w:szCs w:val="20"/>
          <w:color w:val="auto"/>
        </w:rPr>
      </w:pPr>
      <w:r>
        <w:rPr>
          <w:rFonts w:ascii="Verdana" w:cs="Verdana" w:eastAsia="Verdana" w:hAnsi="Verdana"/>
          <w:sz w:val="20"/>
          <w:szCs w:val="20"/>
          <w:b w:val="1"/>
          <w:bCs w:val="1"/>
          <w:color w:val="auto"/>
        </w:rPr>
        <w:t>Remo Pannacione, M.D., Professor of Medicine and Director of the IBD Clinic at the University of Calgary stated</w:t>
      </w:r>
      <w:r>
        <w:rPr>
          <w:rFonts w:ascii="Verdana" w:cs="Verdana" w:eastAsia="Verdana" w:hAnsi="Verdana"/>
          <w:sz w:val="20"/>
          <w:szCs w:val="20"/>
          <w:b w:val="1"/>
          <w:bCs w:val="1"/>
          <w:i w:val="1"/>
          <w:iCs w:val="1"/>
          <w:color w:val="auto"/>
        </w:rPr>
        <w:t>:</w:t>
      </w:r>
      <w:r>
        <w:rPr>
          <w:rFonts w:ascii="Verdana" w:cs="Verdana" w:eastAsia="Verdana" w:hAnsi="Verdana"/>
          <w:sz w:val="20"/>
          <w:szCs w:val="20"/>
          <w:b w:val="1"/>
          <w:bCs w:val="1"/>
          <w:color w:val="auto"/>
        </w:rPr>
        <w:t xml:space="preserve"> </w:t>
      </w:r>
      <w:r>
        <w:rPr>
          <w:rFonts w:ascii="Verdana" w:cs="Verdana" w:eastAsia="Verdana" w:hAnsi="Verdana"/>
          <w:sz w:val="20"/>
          <w:szCs w:val="20"/>
          <w:i w:val="1"/>
          <w:iCs w:val="1"/>
          <w:color w:val="auto"/>
        </w:rPr>
        <w:t>“The ABTECT Maintenance Trial delivered compelling evidence supporting the clinical</w:t>
      </w:r>
      <w:r>
        <w:rPr>
          <w:rFonts w:ascii="Verdana" w:cs="Verdana" w:eastAsia="Verdana" w:hAnsi="Verdana"/>
          <w:sz w:val="20"/>
          <w:szCs w:val="20"/>
          <w:b w:val="1"/>
          <w:bCs w:val="1"/>
          <w:color w:val="auto"/>
        </w:rPr>
        <w:t xml:space="preserve"> </w:t>
      </w:r>
      <w:r>
        <w:rPr>
          <w:rFonts w:ascii="Verdana" w:cs="Verdana" w:eastAsia="Verdana" w:hAnsi="Verdana"/>
          <w:sz w:val="20"/>
          <w:szCs w:val="20"/>
          <w:i w:val="1"/>
          <w:iCs w:val="1"/>
          <w:color w:val="auto"/>
        </w:rPr>
        <w:t>potential of obefazimod in ulcerative colitis. The robust efficacy results observed in both induction responders (Part 1) and induction non-responders (Part 2) demonstrate a consistent treatment effect across clinically important patient populations, while the expanding long-term safety dataset continues to provide reassurance, with observed rates of malignancies and non-melanoma skin cancers remaining consistent with expected background rates in ulcerative colitis. Collectively, these findings support a highly favorable benefit-risk profile and strengthen my confidence that obefazimod, if approved, has the potential to become an important new therapeutic option with the ability to meaningfully impact the treatment paradigm for patients with ulcerative colitis.”</w:t>
      </w:r>
    </w:p>
    <w:p>
      <w:pPr>
        <w:sectPr>
          <w:pgSz w:w="11900" w:h="16838" w:orient="portrait"/>
          <w:cols w:equalWidth="0" w:num="1">
            <w:col w:w="11020"/>
          </w:cols>
          <w:pgMar w:left="440" w:top="1142" w:right="439" w:bottom="1440" w:gutter="0" w:footer="0" w:header="0"/>
          <w:type w:val="continuous"/>
        </w:sectPr>
      </w:pPr>
    </w:p>
    <w:bookmarkStart w:id="11" w:name="page12"/>
    <w:bookmarkEnd w:id="11"/>
    <w:p>
      <w:pPr>
        <w:ind w:left="4"/>
        <w:spacing w:after="0"/>
        <w:rPr>
          <w:sz w:val="20"/>
          <w:szCs w:val="20"/>
          <w:color w:val="auto"/>
        </w:rPr>
      </w:pPr>
      <w:r>
        <w:rPr>
          <w:rFonts w:ascii="Verdana" w:cs="Verdana" w:eastAsia="Verdana" w:hAnsi="Verdana"/>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143125"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77190"/>
                    </a:xfrm>
                    <a:prstGeom prst="rect">
                      <a:avLst/>
                    </a:prstGeom>
                    <a:noFill/>
                  </pic:spPr>
                </pic:pic>
              </a:graphicData>
            </a:graphic>
          </wp:anchor>
        </w:drawing>
        <w:t>Today’s Investor Webcast</w:t>
      </w:r>
    </w:p>
    <w:p>
      <w:pPr>
        <w:spacing w:after="0" w:line="108" w:lineRule="exact"/>
        <w:rPr>
          <w:sz w:val="20"/>
          <w:szCs w:val="20"/>
          <w:color w:val="auto"/>
        </w:rPr>
      </w:pPr>
    </w:p>
    <w:p>
      <w:pPr>
        <w:jc w:val="both"/>
        <w:ind w:left="4" w:right="380"/>
        <w:spacing w:after="0" w:line="246" w:lineRule="auto"/>
        <w:rPr>
          <w:sz w:val="20"/>
          <w:szCs w:val="20"/>
          <w:color w:val="auto"/>
        </w:rPr>
      </w:pPr>
      <w:r>
        <w:rPr>
          <w:rFonts w:ascii="Verdana" w:cs="Verdana" w:eastAsia="Verdana" w:hAnsi="Verdana"/>
          <w:sz w:val="20"/>
          <w:szCs w:val="20"/>
          <w:color w:val="auto"/>
        </w:rPr>
        <w:t xml:space="preserve">Abivax management will host a webcast and conference call today at 4:30 p.m. EDT (10:30 p.m. CEST) to discuss the ABTECT Maintenance Part 2 results. To participate, please use the following dial-in or webcast link: </w:t>
      </w:r>
      <w:r>
        <w:rPr>
          <w:rFonts w:ascii="Verdana" w:cs="Verdana" w:eastAsia="Verdana" w:hAnsi="Verdana"/>
          <w:sz w:val="20"/>
          <w:szCs w:val="20"/>
          <w:u w:val="single" w:color="auto"/>
          <w:color w:val="467886"/>
        </w:rPr>
        <w:t>https://edge.media-server.com/mmc/p/o5thz2vd</w:t>
      </w:r>
    </w:p>
    <w:p>
      <w:pPr>
        <w:spacing w:after="0" w:line="198" w:lineRule="exact"/>
        <w:rPr>
          <w:sz w:val="20"/>
          <w:szCs w:val="20"/>
          <w:color w:val="auto"/>
        </w:rPr>
      </w:pPr>
    </w:p>
    <w:p>
      <w:pPr>
        <w:ind w:left="4"/>
        <w:spacing w:after="0"/>
        <w:rPr>
          <w:sz w:val="20"/>
          <w:szCs w:val="20"/>
          <w:color w:val="auto"/>
        </w:rPr>
      </w:pPr>
      <w:r>
        <w:rPr>
          <w:rFonts w:ascii="Verdana" w:cs="Verdana" w:eastAsia="Verdana" w:hAnsi="Verdana"/>
          <w:sz w:val="20"/>
          <w:szCs w:val="20"/>
          <w:b w:val="1"/>
          <w:bCs w:val="1"/>
          <w:color w:val="auto"/>
        </w:rPr>
        <w:t>Regulatory Path Forward</w:t>
      </w:r>
    </w:p>
    <w:p>
      <w:pPr>
        <w:spacing w:after="0" w:line="216" w:lineRule="exact"/>
        <w:rPr>
          <w:sz w:val="20"/>
          <w:szCs w:val="20"/>
          <w:color w:val="auto"/>
        </w:rPr>
      </w:pPr>
    </w:p>
    <w:p>
      <w:pPr>
        <w:ind w:left="4" w:right="120"/>
        <w:spacing w:after="0" w:line="246" w:lineRule="auto"/>
        <w:rPr>
          <w:sz w:val="20"/>
          <w:szCs w:val="20"/>
          <w:color w:val="auto"/>
        </w:rPr>
      </w:pPr>
      <w:r>
        <w:rPr>
          <w:rFonts w:ascii="Verdana" w:cs="Verdana" w:eastAsia="Verdana" w:hAnsi="Verdana"/>
          <w:sz w:val="20"/>
          <w:szCs w:val="20"/>
          <w:color w:val="auto"/>
        </w:rPr>
        <w:t>The ABTECT Maintenance Part 2 results expand the integrated clinical dataset supporting the planned New Drug Application (“NDA”) for obefazimod in UC. The Company remains on track to submit its NDA to the U.S. Food and Drug Administration in the fourth quarter of 2026.</w:t>
      </w:r>
    </w:p>
    <w:p>
      <w:pPr>
        <w:spacing w:after="0" w:line="198" w:lineRule="exact"/>
        <w:rPr>
          <w:sz w:val="20"/>
          <w:szCs w:val="20"/>
          <w:color w:val="auto"/>
        </w:rPr>
      </w:pPr>
    </w:p>
    <w:p>
      <w:pPr>
        <w:ind w:left="4"/>
        <w:spacing w:after="0"/>
        <w:rPr>
          <w:sz w:val="20"/>
          <w:szCs w:val="20"/>
          <w:color w:val="auto"/>
        </w:rPr>
      </w:pPr>
      <w:r>
        <w:rPr>
          <w:rFonts w:ascii="Verdana" w:cs="Verdana" w:eastAsia="Verdana" w:hAnsi="Verdana"/>
          <w:sz w:val="20"/>
          <w:szCs w:val="20"/>
          <w:b w:val="1"/>
          <w:bCs w:val="1"/>
          <w:color w:val="auto"/>
        </w:rPr>
        <w:t>Next Anticipated Key Milestones</w:t>
      </w:r>
    </w:p>
    <w:p>
      <w:pPr>
        <w:spacing w:after="0" w:line="243" w:lineRule="exact"/>
        <w:rPr>
          <w:sz w:val="20"/>
          <w:szCs w:val="20"/>
          <w:color w:val="auto"/>
        </w:rPr>
      </w:pPr>
    </w:p>
    <w:p>
      <w:pPr>
        <w:ind w:left="1084" w:hanging="436"/>
        <w:spacing w:after="0"/>
        <w:tabs>
          <w:tab w:leader="none" w:pos="1084" w:val="left"/>
        </w:tabs>
        <w:numPr>
          <w:ilvl w:val="0"/>
          <w:numId w:val="5"/>
        </w:numPr>
        <w:rPr>
          <w:rFonts w:ascii="Verdana" w:cs="Verdana" w:eastAsia="Verdana" w:hAnsi="Verdana"/>
          <w:sz w:val="20"/>
          <w:szCs w:val="20"/>
          <w:color w:val="auto"/>
        </w:rPr>
      </w:pPr>
      <w:r>
        <w:rPr>
          <w:rFonts w:ascii="Verdana" w:cs="Verdana" w:eastAsia="Verdana" w:hAnsi="Verdana"/>
          <w:sz w:val="20"/>
          <w:szCs w:val="20"/>
          <w:color w:val="auto"/>
        </w:rPr>
        <w:t>September 21, 2026 – Half-year 2026 financial results</w:t>
      </w:r>
    </w:p>
    <w:p>
      <w:pPr>
        <w:ind w:left="1084" w:hanging="436"/>
        <w:spacing w:after="0"/>
        <w:tabs>
          <w:tab w:leader="none" w:pos="1084" w:val="left"/>
        </w:tabs>
        <w:numPr>
          <w:ilvl w:val="0"/>
          <w:numId w:val="5"/>
        </w:numPr>
        <w:rPr>
          <w:rFonts w:ascii="Verdana" w:cs="Verdana" w:eastAsia="Verdana" w:hAnsi="Verdana"/>
          <w:sz w:val="20"/>
          <w:szCs w:val="20"/>
          <w:color w:val="auto"/>
        </w:rPr>
      </w:pPr>
      <w:r>
        <w:rPr>
          <w:rFonts w:ascii="Verdana" w:cs="Verdana" w:eastAsia="Verdana" w:hAnsi="Verdana"/>
          <w:sz w:val="20"/>
          <w:szCs w:val="20"/>
          <w:color w:val="auto"/>
        </w:rPr>
        <w:t>Fourth Quarter 2026 – Planned NDA submission for obefazimod in UC</w:t>
      </w:r>
    </w:p>
    <w:p>
      <w:pPr>
        <w:ind w:left="1084" w:right="220" w:hanging="436"/>
        <w:spacing w:after="0" w:line="253" w:lineRule="auto"/>
        <w:tabs>
          <w:tab w:leader="none" w:pos="1084" w:val="left"/>
        </w:tabs>
        <w:numPr>
          <w:ilvl w:val="0"/>
          <w:numId w:val="5"/>
        </w:numPr>
        <w:rPr>
          <w:rFonts w:ascii="Verdana" w:cs="Verdana" w:eastAsia="Verdana" w:hAnsi="Verdana"/>
          <w:sz w:val="20"/>
          <w:szCs w:val="20"/>
          <w:color w:val="auto"/>
        </w:rPr>
      </w:pPr>
      <w:r>
        <w:rPr>
          <w:rFonts w:ascii="Verdana" w:cs="Verdana" w:eastAsia="Verdana" w:hAnsi="Verdana"/>
          <w:sz w:val="20"/>
          <w:szCs w:val="20"/>
          <w:color w:val="auto"/>
        </w:rPr>
        <w:t>Mid-2027 – Topline results from the Phase 2b ENHANCE-CD induction trial evaluating obefazimod in Crohn’s disease</w:t>
      </w:r>
    </w:p>
    <w:p>
      <w:pPr>
        <w:spacing w:after="0" w:line="190" w:lineRule="exact"/>
        <w:rPr>
          <w:sz w:val="20"/>
          <w:szCs w:val="20"/>
          <w:color w:val="auto"/>
        </w:rPr>
      </w:pPr>
    </w:p>
    <w:p>
      <w:pPr>
        <w:ind w:left="4"/>
        <w:spacing w:after="0"/>
        <w:rPr>
          <w:sz w:val="20"/>
          <w:szCs w:val="20"/>
          <w:color w:val="auto"/>
        </w:rPr>
      </w:pPr>
      <w:r>
        <w:rPr>
          <w:rFonts w:ascii="Verdana" w:cs="Verdana" w:eastAsia="Verdana" w:hAnsi="Verdana"/>
          <w:sz w:val="20"/>
          <w:szCs w:val="20"/>
          <w:b w:val="1"/>
          <w:bCs w:val="1"/>
          <w:color w:val="auto"/>
        </w:rPr>
        <w:t>UC Background Incidence Rate Sources</w:t>
      </w:r>
    </w:p>
    <w:p>
      <w:pPr>
        <w:spacing w:after="0" w:line="243" w:lineRule="exact"/>
        <w:rPr>
          <w:sz w:val="20"/>
          <w:szCs w:val="20"/>
          <w:color w:val="auto"/>
        </w:rPr>
      </w:pPr>
    </w:p>
    <w:p>
      <w:pPr>
        <w:ind w:left="544" w:right="500" w:hanging="544"/>
        <w:spacing w:after="0" w:line="239" w:lineRule="auto"/>
        <w:tabs>
          <w:tab w:leader="none" w:pos="544" w:val="left"/>
        </w:tabs>
        <w:numPr>
          <w:ilvl w:val="0"/>
          <w:numId w:val="6"/>
        </w:numPr>
        <w:rPr>
          <w:rFonts w:ascii="Verdana" w:cs="Verdana" w:eastAsia="Verdana" w:hAnsi="Verdana"/>
          <w:sz w:val="20"/>
          <w:szCs w:val="20"/>
          <w:color w:val="auto"/>
        </w:rPr>
      </w:pPr>
      <w:r>
        <w:rPr>
          <w:rFonts w:ascii="Verdana" w:cs="Verdana" w:eastAsia="Verdana" w:hAnsi="Verdana"/>
          <w:sz w:val="20"/>
          <w:szCs w:val="20"/>
          <w:color w:val="auto"/>
        </w:rPr>
        <w:t xml:space="preserve">Long et al. </w:t>
      </w:r>
      <w:r>
        <w:rPr>
          <w:rFonts w:ascii="Verdana" w:cs="Verdana" w:eastAsia="Verdana" w:hAnsi="Verdana"/>
          <w:sz w:val="20"/>
          <w:szCs w:val="20"/>
          <w:i w:val="1"/>
          <w:iCs w:val="1"/>
          <w:color w:val="auto"/>
        </w:rPr>
        <w:t>Gastroenterology</w:t>
      </w:r>
      <w:r>
        <w:rPr>
          <w:rFonts w:ascii="Verdana" w:cs="Verdana" w:eastAsia="Verdana" w:hAnsi="Verdana"/>
          <w:sz w:val="20"/>
          <w:szCs w:val="20"/>
          <w:color w:val="auto"/>
        </w:rPr>
        <w:t xml:space="preserve">. 2012; Bencardino et al. </w:t>
      </w:r>
      <w:r>
        <w:rPr>
          <w:rFonts w:ascii="Verdana" w:cs="Verdana" w:eastAsia="Verdana" w:hAnsi="Verdana"/>
          <w:sz w:val="20"/>
          <w:szCs w:val="20"/>
          <w:i w:val="1"/>
          <w:iCs w:val="1"/>
          <w:color w:val="auto"/>
        </w:rPr>
        <w:t>Cancers (Basel)</w:t>
      </w:r>
      <w:r>
        <w:rPr>
          <w:rFonts w:ascii="Verdana" w:cs="Verdana" w:eastAsia="Verdana" w:hAnsi="Verdana"/>
          <w:sz w:val="20"/>
          <w:szCs w:val="20"/>
          <w:color w:val="auto"/>
        </w:rPr>
        <w:t xml:space="preserve">. 2025; Beaugerie et al. </w:t>
      </w:r>
      <w:r>
        <w:rPr>
          <w:rFonts w:ascii="Verdana" w:cs="Verdana" w:eastAsia="Verdana" w:hAnsi="Verdana"/>
          <w:sz w:val="20"/>
          <w:szCs w:val="20"/>
          <w:i w:val="1"/>
          <w:iCs w:val="1"/>
          <w:color w:val="auto"/>
        </w:rPr>
        <w:t>The</w:t>
      </w:r>
      <w:r>
        <w:rPr>
          <w:rFonts w:ascii="Verdana" w:cs="Verdana" w:eastAsia="Verdana" w:hAnsi="Verdana"/>
          <w:sz w:val="20"/>
          <w:szCs w:val="20"/>
          <w:color w:val="auto"/>
        </w:rPr>
        <w:t xml:space="preserve"> </w:t>
      </w:r>
      <w:r>
        <w:rPr>
          <w:rFonts w:ascii="Verdana" w:cs="Verdana" w:eastAsia="Verdana" w:hAnsi="Verdana"/>
          <w:sz w:val="20"/>
          <w:szCs w:val="20"/>
          <w:i w:val="1"/>
          <w:iCs w:val="1"/>
          <w:color w:val="auto"/>
        </w:rPr>
        <w:t>Lancet</w:t>
      </w:r>
      <w:r>
        <w:rPr>
          <w:rFonts w:ascii="Verdana" w:cs="Verdana" w:eastAsia="Verdana" w:hAnsi="Verdana"/>
          <w:sz w:val="20"/>
          <w:szCs w:val="20"/>
          <w:color w:val="auto"/>
        </w:rPr>
        <w:t>. 2009; Kaneko et al.</w:t>
      </w:r>
      <w:r>
        <w:rPr>
          <w:rFonts w:ascii="Verdana" w:cs="Verdana" w:eastAsia="Verdana" w:hAnsi="Verdana"/>
          <w:sz w:val="20"/>
          <w:szCs w:val="20"/>
          <w:i w:val="1"/>
          <w:iCs w:val="1"/>
          <w:color w:val="auto"/>
        </w:rPr>
        <w:t xml:space="preserve"> Journal of Clinical Medicine</w:t>
      </w:r>
      <w:r>
        <w:rPr>
          <w:rFonts w:ascii="Verdana" w:cs="Verdana" w:eastAsia="Verdana" w:hAnsi="Verdana"/>
          <w:sz w:val="20"/>
          <w:szCs w:val="20"/>
          <w:color w:val="auto"/>
        </w:rPr>
        <w:t>. 2024, Lemaitre et al.</w:t>
      </w:r>
      <w:r>
        <w:rPr>
          <w:rFonts w:ascii="Verdana" w:cs="Verdana" w:eastAsia="Verdana" w:hAnsi="Verdana"/>
          <w:sz w:val="20"/>
          <w:szCs w:val="20"/>
          <w:i w:val="1"/>
          <w:iCs w:val="1"/>
          <w:color w:val="auto"/>
        </w:rPr>
        <w:t xml:space="preserve"> JAMA</w:t>
      </w:r>
      <w:r>
        <w:rPr>
          <w:rFonts w:ascii="Verdana" w:cs="Verdana" w:eastAsia="Verdana" w:hAnsi="Verdana"/>
          <w:sz w:val="20"/>
          <w:szCs w:val="20"/>
          <w:color w:val="auto"/>
        </w:rPr>
        <w:t>. 2017, National</w:t>
      </w:r>
      <w:r>
        <w:rPr>
          <w:rFonts w:ascii="Verdana" w:cs="Verdana" w:eastAsia="Verdana" w:hAnsi="Verdana"/>
          <w:sz w:val="20"/>
          <w:szCs w:val="20"/>
          <w:i w:val="1"/>
          <w:iCs w:val="1"/>
          <w:color w:val="auto"/>
        </w:rPr>
        <w:t xml:space="preserve"> </w:t>
      </w:r>
      <w:r>
        <w:rPr>
          <w:rFonts w:ascii="Verdana" w:cs="Verdana" w:eastAsia="Verdana" w:hAnsi="Verdana"/>
          <w:sz w:val="20"/>
          <w:szCs w:val="20"/>
          <w:color w:val="auto"/>
        </w:rPr>
        <w:t xml:space="preserve">Cancer Institute. </w:t>
      </w:r>
      <w:r>
        <w:rPr>
          <w:rFonts w:ascii="Verdana" w:cs="Verdana" w:eastAsia="Verdana" w:hAnsi="Verdana"/>
          <w:sz w:val="20"/>
          <w:szCs w:val="20"/>
          <w:i w:val="1"/>
          <w:iCs w:val="1"/>
          <w:color w:val="auto"/>
        </w:rPr>
        <w:t>SEER Statistics</w:t>
      </w:r>
      <w:r>
        <w:rPr>
          <w:rFonts w:ascii="Verdana" w:cs="Verdana" w:eastAsia="Verdana" w:hAnsi="Verdana"/>
          <w:sz w:val="20"/>
          <w:szCs w:val="20"/>
          <w:color w:val="auto"/>
        </w:rPr>
        <w:t>.</w:t>
      </w:r>
    </w:p>
    <w:p>
      <w:pPr>
        <w:spacing w:after="0" w:line="2" w:lineRule="exact"/>
        <w:rPr>
          <w:rFonts w:ascii="Verdana" w:cs="Verdana" w:eastAsia="Verdana" w:hAnsi="Verdana"/>
          <w:sz w:val="20"/>
          <w:szCs w:val="20"/>
          <w:color w:val="auto"/>
        </w:rPr>
      </w:pPr>
    </w:p>
    <w:p>
      <w:pPr>
        <w:ind w:left="544" w:right="500" w:hanging="544"/>
        <w:spacing w:after="0" w:line="253" w:lineRule="auto"/>
        <w:tabs>
          <w:tab w:leader="none" w:pos="544" w:val="left"/>
        </w:tabs>
        <w:numPr>
          <w:ilvl w:val="0"/>
          <w:numId w:val="6"/>
        </w:numPr>
        <w:rPr>
          <w:rFonts w:ascii="Verdana" w:cs="Verdana" w:eastAsia="Verdana" w:hAnsi="Verdana"/>
          <w:sz w:val="20"/>
          <w:szCs w:val="20"/>
          <w:color w:val="auto"/>
        </w:rPr>
      </w:pPr>
      <w:r>
        <w:rPr>
          <w:rFonts w:ascii="Verdana" w:cs="Verdana" w:eastAsia="Verdana" w:hAnsi="Verdana"/>
          <w:sz w:val="20"/>
          <w:szCs w:val="20"/>
          <w:color w:val="auto"/>
        </w:rPr>
        <w:t xml:space="preserve">Long et al. </w:t>
      </w:r>
      <w:r>
        <w:rPr>
          <w:rFonts w:ascii="Verdana" w:cs="Verdana" w:eastAsia="Verdana" w:hAnsi="Verdana"/>
          <w:sz w:val="20"/>
          <w:szCs w:val="20"/>
          <w:i w:val="1"/>
          <w:iCs w:val="1"/>
          <w:color w:val="auto"/>
        </w:rPr>
        <w:t>Gastroenterology</w:t>
      </w:r>
      <w:r>
        <w:rPr>
          <w:rFonts w:ascii="Verdana" w:cs="Verdana" w:eastAsia="Verdana" w:hAnsi="Verdana"/>
          <w:sz w:val="20"/>
          <w:szCs w:val="20"/>
          <w:color w:val="auto"/>
        </w:rPr>
        <w:t xml:space="preserve">. 2012; Bencardino et al. </w:t>
      </w:r>
      <w:r>
        <w:rPr>
          <w:rFonts w:ascii="Verdana" w:cs="Verdana" w:eastAsia="Verdana" w:hAnsi="Verdana"/>
          <w:sz w:val="20"/>
          <w:szCs w:val="20"/>
          <w:i w:val="1"/>
          <w:iCs w:val="1"/>
          <w:color w:val="auto"/>
        </w:rPr>
        <w:t>Cancers (Basel)</w:t>
      </w:r>
      <w:r>
        <w:rPr>
          <w:rFonts w:ascii="Verdana" w:cs="Verdana" w:eastAsia="Verdana" w:hAnsi="Verdana"/>
          <w:sz w:val="20"/>
          <w:szCs w:val="20"/>
          <w:color w:val="auto"/>
        </w:rPr>
        <w:t xml:space="preserve">. 2025; Abbas et al. </w:t>
      </w:r>
      <w:r>
        <w:rPr>
          <w:rFonts w:ascii="Verdana" w:cs="Verdana" w:eastAsia="Verdana" w:hAnsi="Verdana"/>
          <w:sz w:val="20"/>
          <w:szCs w:val="20"/>
          <w:i w:val="1"/>
          <w:iCs w:val="1"/>
          <w:color w:val="auto"/>
        </w:rPr>
        <w:t>American</w:t>
      </w:r>
      <w:r>
        <w:rPr>
          <w:rFonts w:ascii="Verdana" w:cs="Verdana" w:eastAsia="Verdana" w:hAnsi="Verdana"/>
          <w:sz w:val="20"/>
          <w:szCs w:val="20"/>
          <w:color w:val="auto"/>
        </w:rPr>
        <w:t xml:space="preserve"> </w:t>
      </w:r>
      <w:r>
        <w:rPr>
          <w:rFonts w:ascii="Verdana" w:cs="Verdana" w:eastAsia="Verdana" w:hAnsi="Verdana"/>
          <w:sz w:val="20"/>
          <w:szCs w:val="20"/>
          <w:i w:val="1"/>
          <w:iCs w:val="1"/>
          <w:color w:val="auto"/>
        </w:rPr>
        <w:t>Journal of Gastroenterology</w:t>
      </w:r>
      <w:r>
        <w:rPr>
          <w:rFonts w:ascii="Verdana" w:cs="Verdana" w:eastAsia="Verdana" w:hAnsi="Verdana"/>
          <w:sz w:val="20"/>
          <w:szCs w:val="20"/>
          <w:color w:val="auto"/>
        </w:rPr>
        <w:t>. 2014.</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Verdana" w:cs="Verdana" w:eastAsia="Verdana" w:hAnsi="Verdana"/>
          <w:sz w:val="20"/>
          <w:szCs w:val="20"/>
          <w:b w:val="1"/>
          <w:bCs w:val="1"/>
          <w:color w:val="auto"/>
        </w:rPr>
        <w:t>About Abivax</w:t>
      </w:r>
    </w:p>
    <w:p>
      <w:pPr>
        <w:spacing w:after="0" w:line="216" w:lineRule="exact"/>
        <w:rPr>
          <w:sz w:val="20"/>
          <w:szCs w:val="20"/>
          <w:color w:val="auto"/>
        </w:rPr>
      </w:pPr>
    </w:p>
    <w:p>
      <w:pPr>
        <w:jc w:val="both"/>
        <w:ind w:left="4"/>
        <w:spacing w:after="0" w:line="244" w:lineRule="auto"/>
        <w:rPr>
          <w:sz w:val="20"/>
          <w:szCs w:val="20"/>
          <w:color w:val="auto"/>
        </w:rPr>
      </w:pPr>
      <w:r>
        <w:rPr>
          <w:rFonts w:ascii="Verdana" w:cs="Verdana" w:eastAsia="Verdana" w:hAnsi="Verdana"/>
          <w:sz w:val="20"/>
          <w:szCs w:val="20"/>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pacing w:after="0" w:line="199" w:lineRule="exact"/>
        <w:rPr>
          <w:sz w:val="20"/>
          <w:szCs w:val="20"/>
          <w:color w:val="auto"/>
        </w:rPr>
      </w:pPr>
    </w:p>
    <w:p>
      <w:pPr>
        <w:ind w:left="4"/>
        <w:spacing w:after="0"/>
        <w:rPr>
          <w:sz w:val="20"/>
          <w:szCs w:val="20"/>
          <w:color w:val="auto"/>
        </w:rPr>
      </w:pPr>
      <w:r>
        <w:rPr>
          <w:rFonts w:ascii="Verdana" w:cs="Verdana" w:eastAsia="Verdana" w:hAnsi="Verdana"/>
          <w:sz w:val="20"/>
          <w:szCs w:val="20"/>
          <w:b w:val="1"/>
          <w:bCs w:val="1"/>
          <w:color w:val="auto"/>
        </w:rPr>
        <w:t>Contact:</w:t>
      </w:r>
    </w:p>
    <w:p>
      <w:pPr>
        <w:ind w:left="4"/>
        <w:spacing w:after="0"/>
        <w:rPr>
          <w:sz w:val="20"/>
          <w:szCs w:val="20"/>
          <w:color w:val="auto"/>
        </w:rPr>
      </w:pPr>
      <w:r>
        <w:rPr>
          <w:rFonts w:ascii="Verdana" w:cs="Verdana" w:eastAsia="Verdana" w:hAnsi="Verdana"/>
          <w:sz w:val="20"/>
          <w:szCs w:val="20"/>
          <w:color w:val="auto"/>
        </w:rPr>
        <w:t>Patrick Malloy</w:t>
      </w:r>
    </w:p>
    <w:p>
      <w:pPr>
        <w:ind w:left="4"/>
        <w:spacing w:after="0"/>
        <w:rPr>
          <w:sz w:val="20"/>
          <w:szCs w:val="20"/>
          <w:color w:val="auto"/>
        </w:rPr>
      </w:pPr>
      <w:r>
        <w:rPr>
          <w:rFonts w:ascii="Verdana" w:cs="Verdana" w:eastAsia="Verdana" w:hAnsi="Verdana"/>
          <w:sz w:val="20"/>
          <w:szCs w:val="20"/>
          <w:color w:val="auto"/>
        </w:rPr>
        <w:t>SVP, Investor Relations</w:t>
      </w:r>
    </w:p>
    <w:p>
      <w:pPr>
        <w:ind w:left="4"/>
        <w:spacing w:after="0"/>
        <w:rPr>
          <w:sz w:val="20"/>
          <w:szCs w:val="20"/>
          <w:color w:val="auto"/>
        </w:rPr>
      </w:pPr>
      <w:r>
        <w:rPr>
          <w:rFonts w:ascii="Verdana" w:cs="Verdana" w:eastAsia="Verdana" w:hAnsi="Verdana"/>
          <w:sz w:val="20"/>
          <w:szCs w:val="20"/>
          <w:color w:val="auto"/>
        </w:rPr>
        <w:t>Abivax SA</w:t>
      </w:r>
    </w:p>
    <w:p>
      <w:pPr>
        <w:ind w:left="4"/>
        <w:spacing w:after="0"/>
        <w:rPr>
          <w:sz w:val="20"/>
          <w:szCs w:val="20"/>
          <w:color w:val="auto"/>
        </w:rPr>
      </w:pPr>
      <w:r>
        <w:rPr>
          <w:rFonts w:ascii="Verdana" w:cs="Verdana" w:eastAsia="Verdana" w:hAnsi="Verdana"/>
          <w:sz w:val="20"/>
          <w:szCs w:val="20"/>
          <w:u w:val="single" w:color="auto"/>
          <w:color w:val="0000FF"/>
        </w:rPr>
        <w:t>patrick.malloy@abivax.com</w:t>
      </w:r>
    </w:p>
    <w:p>
      <w:pPr>
        <w:spacing w:after="0" w:line="200" w:lineRule="exact"/>
        <w:rPr>
          <w:sz w:val="20"/>
          <w:szCs w:val="20"/>
          <w:color w:val="auto"/>
        </w:rPr>
      </w:pPr>
    </w:p>
    <w:p>
      <w:pPr>
        <w:spacing w:after="0" w:line="232" w:lineRule="exact"/>
        <w:rPr>
          <w:sz w:val="20"/>
          <w:szCs w:val="20"/>
          <w:color w:val="auto"/>
        </w:rPr>
      </w:pPr>
    </w:p>
    <w:p>
      <w:pPr>
        <w:ind w:left="4"/>
        <w:spacing w:after="0"/>
        <w:rPr>
          <w:sz w:val="20"/>
          <w:szCs w:val="20"/>
          <w:color w:val="auto"/>
        </w:rPr>
      </w:pPr>
      <w:r>
        <w:rPr>
          <w:rFonts w:ascii="Verdana" w:cs="Verdana" w:eastAsia="Verdana" w:hAnsi="Verdana"/>
          <w:sz w:val="20"/>
          <w:szCs w:val="20"/>
          <w:b w:val="1"/>
          <w:bCs w:val="1"/>
          <w:color w:val="auto"/>
        </w:rPr>
        <w:t>Media Contact:</w:t>
      </w:r>
    </w:p>
    <w:p>
      <w:pPr>
        <w:ind w:left="4"/>
        <w:spacing w:after="0"/>
        <w:rPr>
          <w:sz w:val="20"/>
          <w:szCs w:val="20"/>
          <w:color w:val="auto"/>
        </w:rPr>
      </w:pPr>
      <w:r>
        <w:rPr>
          <w:rFonts w:ascii="Verdana" w:cs="Verdana" w:eastAsia="Verdana" w:hAnsi="Verdana"/>
          <w:sz w:val="20"/>
          <w:szCs w:val="20"/>
          <w:b w:val="1"/>
          <w:bCs w:val="1"/>
          <w:color w:val="auto"/>
        </w:rPr>
        <w:t>LifeSci Communications</w:t>
      </w:r>
    </w:p>
    <w:p>
      <w:pPr>
        <w:ind w:left="4"/>
        <w:spacing w:after="0"/>
        <w:rPr>
          <w:sz w:val="20"/>
          <w:szCs w:val="20"/>
          <w:color w:val="auto"/>
        </w:rPr>
      </w:pPr>
      <w:r>
        <w:rPr>
          <w:rFonts w:ascii="Verdana" w:cs="Verdana" w:eastAsia="Verdana" w:hAnsi="Verdana"/>
          <w:sz w:val="20"/>
          <w:szCs w:val="20"/>
          <w:color w:val="auto"/>
        </w:rPr>
        <w:t>Karissa Baltz, Ph.D.</w:t>
      </w:r>
    </w:p>
    <w:p>
      <w:pPr>
        <w:ind w:left="4"/>
        <w:spacing w:after="0"/>
        <w:rPr>
          <w:sz w:val="20"/>
          <w:szCs w:val="20"/>
          <w:color w:val="auto"/>
        </w:rPr>
      </w:pPr>
      <w:r>
        <w:rPr>
          <w:rFonts w:ascii="Verdana" w:cs="Verdana" w:eastAsia="Verdana" w:hAnsi="Verdana"/>
          <w:sz w:val="20"/>
          <w:szCs w:val="20"/>
          <w:color w:val="auto"/>
        </w:rPr>
        <w:t>Associate Director</w:t>
      </w:r>
    </w:p>
    <w:p>
      <w:pPr>
        <w:ind w:left="4"/>
        <w:spacing w:after="0"/>
        <w:rPr>
          <w:sz w:val="20"/>
          <w:szCs w:val="20"/>
          <w:color w:val="auto"/>
        </w:rPr>
      </w:pPr>
      <w:r>
        <w:rPr>
          <w:rFonts w:ascii="Verdana" w:cs="Verdana" w:eastAsia="Verdana" w:hAnsi="Verdana"/>
          <w:sz w:val="20"/>
          <w:szCs w:val="20"/>
          <w:u w:val="single" w:color="auto"/>
          <w:color w:val="0000FF"/>
        </w:rPr>
        <w:t>LSC_ABIVAX@lifescicomms.com</w:t>
      </w:r>
    </w:p>
    <w:p>
      <w:pPr>
        <w:sectPr>
          <w:pgSz w:w="11900" w:h="16838" w:orient="portrait"/>
          <w:cols w:equalWidth="0" w:num="1">
            <w:col w:w="11004"/>
          </w:cols>
          <w:pgMar w:left="436" w:top="1034" w:right="459" w:bottom="1440" w:gutter="0" w:footer="0" w:header="0"/>
        </w:sectPr>
      </w:pPr>
    </w:p>
    <w:bookmarkStart w:id="12" w:name="page13"/>
    <w:bookmarkEnd w:id="12"/>
    <w:p>
      <w:pPr>
        <w:spacing w:after="0"/>
        <w:rPr>
          <w:sz w:val="20"/>
          <w:szCs w:val="20"/>
          <w:color w:val="auto"/>
        </w:rPr>
      </w:pPr>
      <w:r>
        <w:rPr>
          <w:rFonts w:ascii="Verdana" w:cs="Verdana" w:eastAsia="Verdana" w:hAnsi="Verdana"/>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143125" cy="377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143125" cy="377190"/>
                    </a:xfrm>
                    <a:prstGeom prst="rect">
                      <a:avLst/>
                    </a:prstGeom>
                    <a:noFill/>
                  </pic:spPr>
                </pic:pic>
              </a:graphicData>
            </a:graphic>
          </wp:anchor>
        </w:drawing>
        <w:t>FORWARD-LOOKING STATEMENTS</w:t>
      </w:r>
    </w:p>
    <w:p>
      <w:pPr>
        <w:spacing w:after="0" w:line="212" w:lineRule="exact"/>
        <w:rPr>
          <w:sz w:val="20"/>
          <w:szCs w:val="20"/>
          <w:color w:val="auto"/>
        </w:rPr>
      </w:pPr>
    </w:p>
    <w:p>
      <w:pPr>
        <w:spacing w:after="0" w:line="250" w:lineRule="auto"/>
        <w:rPr>
          <w:sz w:val="20"/>
          <w:szCs w:val="20"/>
          <w:color w:val="auto"/>
        </w:rPr>
      </w:pPr>
      <w:r>
        <w:rPr>
          <w:rFonts w:ascii="Verdana" w:cs="Verdana" w:eastAsia="Verdana" w:hAnsi="Verdana"/>
          <w:sz w:val="16"/>
          <w:szCs w:val="16"/>
          <w:i w:val="1"/>
          <w:iCs w:val="1"/>
          <w:color w:val="auto"/>
        </w:rPr>
        <w:t>This press release contains forward-looking statements, forecasts and estimates, including those relating to the Company’s business. Words such as “anticipate,” “expect,” “on track,” “potential,” “will” and variations of such words and similar expressions are intended to identify forward-looking statements. These forward-looking statements include statements concerning the potential therapeutic benefit of obefazimod and obefazimod’s potential to redefine treatment expectations, the expected timing for completion of the Phase 2b ENHANCE-CD induction trial of obefazimod and the availability and timing of results therefrom, the timing of regulatory filings including an NDA submission for obefazimod in UC, the timing for reporting Abivax’s half year 2026 financial results,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(Document d’Enregistrement Universel) and in its Annual Report on Form 20-F for the fiscal year ended December 31, 2025 filed with the U.S. Securities and Exchange Commission on March 23, 2026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 constitute an advertisement. This press release is for information purposes only, and the information contained herein does not constitute either an offer to sell or the solicitation of an offer to purchase or subscribe for securities of the Company in any jurisdiction. 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herein are subject to change without notice. The distribution of this document may be restricted by law in certain jurisdictions. Persons into whose possession this document comes are required to inform themselves about and to observe any such restrictions.</w:t>
      </w:r>
    </w:p>
    <w:sectPr>
      <w:pgSz w:w="11900" w:h="16838" w:orient="portrait"/>
      <w:cols w:equalWidth="0" w:num="1">
        <w:col w:w="11000"/>
      </w:cols>
      <w:pgMar w:left="440" w:top="103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2026-06-29T17:27:50Z</dcterms:created>
  <dcterms:modified xsi:type="dcterms:W3CDTF">2026-06-29T17:27:50Z</dcterms:modified>
</cp:coreProperties>
</file>