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40" w:right="8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001-41842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Abivax SA</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+33 (0) 1 53 83 08 41</w:t>
      </w:r>
    </w:p>
    <w:p>
      <w:pPr>
        <w:spacing w:after="0" w:line="2" w:lineRule="exact"/>
        <w:rPr>
          <w:sz w:val="24"/>
          <w:szCs w:val="24"/>
          <w:color w:val="auto"/>
        </w:rPr>
      </w:pPr>
    </w:p>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Underwriting Agreement</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30, 2026, Abivax SA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Leerink Partners LLC, Morgan Stanley &amp; Co. LLC, Piper Sandler &amp; Co. and Guggenheim Securities, LLC, as representatives of the several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in connection with the issuance and sale by the Company in a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6,400,000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one ordinary share of the Company, nominal value €0.01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at a public offering price of $125.00 per ADS. Net proceeds to the Company from the Offering, after deducting the underwriting discounts and commissions and estimated offering expenses payable by the Company, are expected to be approximately $759.8 million (€666.8 million).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Offering was made pursuant to the Company’s automatic shelf registration statement on Form F-3 (File No. 333-288884)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July 23, 2025 and effective upon filing, as amended by a post-effective amendment filed with the SEC on June 30, 2026, as supplemented by a preliminary prospectus supplement dated June 30, 2026, filed with the SEC on June 30, 2026, and a final prospectus supplement dated June 30, 2026 filed with the SEC on July 2, 2026. The Offering is expected to close on July 6, 2026, subject to customary closing conditions.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and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does not purport to be a complete description of the rights and obligations of the parties thereunder, and is qualified in its entirety by reference to the full text of the Underwriting Agreement, which is filed herewith as Exhibit 1.1 and incorporated by reference herein.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legal opinion of Orrick Herrington &amp; Sutcliffe (Europe) LLP relating to the legality of the issuance and sale of the Ordinary Shares underlying the ADSs offered in the Offering is filed herewith as Exhibit 5.1 and incorporated by reference herein.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including the information contained in Exhibits 1.1, 5.1 and 23.1, shall be deemed to be incorporated by reference into the Company’s Registration Statements on Form F-3 (File Nos. 333-288884 and 333-283336) and Form S-8 (File Nos. 333-286069 and 333-294544) and to be part thereof from the date on which this Report is filed, to the extent not superseded by documents or reports subsequently filed.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6" w:lineRule="exact"/>
        <w:rPr>
          <w:sz w:val="20"/>
          <w:szCs w:val="20"/>
          <w:color w:val="auto"/>
        </w:rPr>
      </w:pPr>
    </w:p>
    <w:p>
      <w:pPr>
        <w:ind w:left="660" w:right="48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as of June 30, 2025, among the Company and Leerink Partners LLC, Morgan Stanley &amp; Co. LLC, Piper Sandler &amp; Co. and Guggenheim Securities, LLC, as representatives of the several Underwriters named therein</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Orrick Herrington &amp; Sutcliffe (Europe) LLP, French counsel to the Company</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Orrick Herrington &amp; Sutcliffe (Europe) LLP (included in Exhibit 5.1)</w:t>
      </w:r>
    </w:p>
    <w:p>
      <w:pPr>
        <w:sectPr>
          <w:pgSz w:w="11900" w:h="16838" w:orient="portrait"/>
          <w:cols w:equalWidth="0" w:num="1">
            <w:col w:w="10960"/>
          </w:cols>
          <w:pgMar w:left="440" w:top="268"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Statements in this Report on Form 6-K that are not strictly historical in nature, including statements regarding the Company’s expectations with respect to the closing of the Offering and the receipt of gross proceeds, are forward-looking statements. These statements are only predictions based on current information and expectations and involve a number of risks and uncertainties. Actual events or results may differ materially from those projected in any of such statements due to various factors, including market risks and uncertainties and risks relating to the satisfaction of customary closing conditions for an offering of securities. Given these uncertainties, the reader is advised not to place any undue reliance on such forward-looking statements. These forward-looking statements speak only as of the date of this report. The Company undertakes no obligation to publicly update or revise the information in this report, including any forward-looking statements, except as may be required by law.</w:t>
      </w:r>
    </w:p>
    <w:p>
      <w:pPr>
        <w:sectPr>
          <w:pgSz w:w="11900" w:h="16838" w:orient="portrait"/>
          <w:cols w:equalWidth="0" w:num="1">
            <w:col w:w="10940"/>
          </w:cols>
          <w:pgMar w:left="440" w:top="268" w:right="51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July 02, 2026</w:t>
      </w:r>
      <w:r>
        <w:rPr>
          <w:sz w:val="20"/>
          <w:szCs w:val="20"/>
          <w:color w:val="auto"/>
        </w:rPr>
        <w:tab/>
      </w:r>
      <w:r>
        <w:rPr>
          <w:rFonts w:ascii="Times New Roman" w:cs="Times New Roman" w:eastAsia="Times New Roman" w:hAnsi="Times New Roman"/>
          <w:sz w:val="18"/>
          <w:szCs w:val="18"/>
          <w:color w:val="auto"/>
        </w:rPr>
        <w:t>/s/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Marc de Garidel</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66"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6,400,000 American Depositary Shares,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Each Representing One Ordinary Share</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(Nominal Value €0.01 per Share)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June 30, 2026 (11:00 PM ET time)</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July 1, 2026 (5:00 AM CET time)</w:t>
      </w:r>
    </w:p>
    <w:p>
      <w:pPr>
        <w:sectPr>
          <w:pgSz w:w="11900" w:h="16838" w:orient="portrait"/>
          <w:cols w:equalWidth="0" w:num="1">
            <w:col w:w="10020"/>
          </w:cols>
          <w:pgMar w:left="1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30, 2026 (11:00 PM ET time)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 2026 (5:00 AM CET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several Underwriters listed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1301 Avenue of the Americas</w:t>
      </w:r>
    </w:p>
    <w:p>
      <w:pPr>
        <w:ind w:left="220"/>
        <w:spacing w:after="0" w:line="181"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jc w:val="both"/>
        <w:ind w:left="220" w:right="9220" w:hanging="4"/>
        <w:spacing w:after="0" w:line="290" w:lineRule="auto"/>
        <w:tabs>
          <w:tab w:leader="none" w:pos="5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Madison Avenue New York, NY 10017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Abivax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the French Republic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6,400,000 of its ordinary shares, nominal value of €0.01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be delivered in the form of an aggregate of 6,400,000 American Depositary Shares, each representing one Ordinary Share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Company also proposes to issue and sell to the several Underwriters not more than an additional 960,000 Ordinary Shares, to be delivered in the form of an aggregate of 960,000 American Depositary Shares, each representing one Ordinary Share (the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if and to the extent that Leerink Partners LLC, Morgan Stanley &amp; Co. LLC, Piper Sandler &amp; Co. and Guggenheim Securities, LLC, as representatives of the offering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shall have determined to exercise, on behalf of the Underwriters, the right to purchase such Additional Securities granted to the Underwriters, acting severally and not jointly, in Section 2 hereof. The Firm Securities and all or any part of the Additional Securities are hereinafter collectively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public offering of the Securities is referred to as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Unless the context otherwise requires, each reference to the Firm Securities, the Additional Securities or the Securities herein also includes the Ordinary Shares underlying the ADSs (the “</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6" w:name="page7"/>
    <w:bookmarkEnd w:id="6"/>
    <w:p>
      <w:pPr>
        <w:ind w:firstLine="440"/>
        <w:spacing w:after="0" w:line="22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will be issued by way of a capital increase without preferential subscription rights for existing shareholders under the provisions of Article L. 225-136 of the French Commercial Code, pursuant to the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resolution of the Company’s combined general shareholders’ meeting held on May 11, 2026.</w:t>
      </w:r>
    </w:p>
    <w:p>
      <w:pPr>
        <w:spacing w:after="0" w:line="195" w:lineRule="exact"/>
        <w:rPr>
          <w:sz w:val="20"/>
          <w:szCs w:val="20"/>
          <w:color w:val="auto"/>
        </w:rPr>
      </w:pPr>
    </w:p>
    <w:p>
      <w:pPr>
        <w:jc w:val="both"/>
        <w:ind w:right="420" w:firstLine="440"/>
        <w:spacing w:after="0" w:line="268" w:lineRule="auto"/>
        <w:rPr>
          <w:sz w:val="20"/>
          <w:szCs w:val="20"/>
          <w:color w:val="auto"/>
        </w:rPr>
      </w:pPr>
      <w:r>
        <w:rPr>
          <w:rFonts w:ascii="Times New Roman" w:cs="Times New Roman" w:eastAsia="Times New Roman" w:hAnsi="Times New Roman"/>
          <w:sz w:val="18"/>
          <w:szCs w:val="18"/>
          <w:color w:val="auto"/>
        </w:rPr>
        <w:t>The Underlying Shares are to be deposited pursuant to a deposit agreement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October 24, 2023, among the Company, Citibank, N.A., as the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holders and beneficial holders, from time to time, of the American Depositary Receipts (the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issued by the Depositary and evidencing the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F-3 (File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333-288884), including a prospectus, relating to the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Securities, to be issued from time to time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The registration statement as amended to the date of this Agreement, including the information (if any) deemed to be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at the time of effectiveness pursuant to Rule 430B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related prospectus covering the Shelf Securities, dated June 30, 2026 in the form first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confirm sales of the Securities (or in the form first made available to the Underwriters by the Company to meet requests of purchasers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173 under the Securities Act)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specifically relating to the Securities in the form first used to confirm sales of Securities (or in the form first made available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by the Company to meet requests of purchasers pursuant to Rule 173 under the Securities Act), is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The Company has filed with the Commission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F-6 (File No. 333-274845) relating to the ADSs (such registration statement on Form F-6, including all exhibits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through the time such registration statement becomes effective, being hereinafter referred to as the “</w:t>
      </w:r>
      <w:r>
        <w:rPr>
          <w:rFonts w:ascii="Times New Roman" w:cs="Times New Roman" w:eastAsia="Times New Roman" w:hAnsi="Times New Roman"/>
          <w:sz w:val="18"/>
          <w:szCs w:val="18"/>
          <w:b w:val="1"/>
          <w:bCs w:val="1"/>
          <w:color w:val="auto"/>
        </w:rPr>
        <w:t>ADS Registration Statement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The Company has (i) prepared and filed with the French Financial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a French-language universal registration document (</w:t>
      </w:r>
      <w:r>
        <w:rPr>
          <w:rFonts w:ascii="Times New Roman" w:cs="Times New Roman" w:eastAsia="Times New Roman" w:hAnsi="Times New Roman"/>
          <w:sz w:val="18"/>
          <w:szCs w:val="18"/>
          <w:i w:val="1"/>
          <w:iCs w:val="1"/>
          <w:color w:val="auto"/>
        </w:rPr>
        <w:t>Document d’Enregistrement Universel</w:t>
      </w:r>
      <w:r>
        <w:rPr>
          <w:rFonts w:ascii="Times New Roman" w:cs="Times New Roman" w:eastAsia="Times New Roman" w:hAnsi="Times New Roman"/>
          <w:sz w:val="18"/>
          <w:szCs w:val="18"/>
          <w:color w:val="auto"/>
        </w:rPr>
        <w:t>) under number D. 26-0133 on March 23, 2026 (the “</w:t>
      </w:r>
      <w:r>
        <w:rPr>
          <w:rFonts w:ascii="Times New Roman" w:cs="Times New Roman" w:eastAsia="Times New Roman" w:hAnsi="Times New Roman"/>
          <w:sz w:val="18"/>
          <w:szCs w:val="18"/>
          <w:b w:val="1"/>
          <w:bCs w:val="1"/>
          <w:color w:val="auto"/>
        </w:rPr>
        <w:t>Universal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Document</w:t>
      </w:r>
      <w:r>
        <w:rPr>
          <w:rFonts w:ascii="Times New Roman" w:cs="Times New Roman" w:eastAsia="Times New Roman" w:hAnsi="Times New Roman"/>
          <w:sz w:val="18"/>
          <w:szCs w:val="18"/>
          <w:color w:val="auto"/>
        </w:rPr>
        <w:t>”) and (ii) prepared and published on May 22, 2026 French-language unaudited interim condensed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as of March 31, 2026 (the “</w:t>
      </w:r>
      <w:r>
        <w:rPr>
          <w:rFonts w:ascii="Times New Roman" w:cs="Times New Roman" w:eastAsia="Times New Roman" w:hAnsi="Times New Roman"/>
          <w:sz w:val="18"/>
          <w:szCs w:val="18"/>
          <w:b w:val="1"/>
          <w:bCs w:val="1"/>
          <w:color w:val="auto"/>
        </w:rPr>
        <w:t>Unaudited Interim Condensed Consolidated Financial Statements</w:t>
      </w:r>
      <w:r>
        <w:rPr>
          <w:rFonts w:ascii="Times New Roman" w:cs="Times New Roman" w:eastAsia="Times New Roman" w:hAnsi="Times New Roman"/>
          <w:sz w:val="18"/>
          <w:szCs w:val="18"/>
          <w:color w:val="auto"/>
        </w:rPr>
        <w:t>”, together with the Universal Registration Document, the “</w:t>
      </w:r>
      <w:r>
        <w:rPr>
          <w:rFonts w:ascii="Times New Roman" w:cs="Times New Roman" w:eastAsia="Times New Roman" w:hAnsi="Times New Roman"/>
          <w:sz w:val="18"/>
          <w:szCs w:val="18"/>
          <w:b w:val="1"/>
          <w:bCs w:val="1"/>
          <w:color w:val="auto"/>
        </w:rPr>
        <w:t>Information Documents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7" w:name="page8"/>
    <w:bookmarkEnd w:id="7"/>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also published or, will prepare, as the case may be, in French and English, (i) a press release on June 30, 2026 announcing the main terms and conditions of the Offering (the “</w:t>
      </w:r>
      <w:r>
        <w:rPr>
          <w:rFonts w:ascii="Times New Roman" w:cs="Times New Roman" w:eastAsia="Times New Roman" w:hAnsi="Times New Roman"/>
          <w:sz w:val="18"/>
          <w:szCs w:val="18"/>
          <w:b w:val="1"/>
          <w:bCs w:val="1"/>
          <w:color w:val="auto"/>
        </w:rPr>
        <w:t>Launch Press Release</w:t>
      </w:r>
      <w:r>
        <w:rPr>
          <w:rFonts w:ascii="Times New Roman" w:cs="Times New Roman" w:eastAsia="Times New Roman" w:hAnsi="Times New Roman"/>
          <w:sz w:val="18"/>
          <w:szCs w:val="18"/>
          <w:color w:val="auto"/>
        </w:rPr>
        <w:t>”) and (ii) a press release to be issued by the Company immediately after the execution of this Agreement setting forth, in particular, the Public Offering Price (as such term is defined in Section 2 below) and, as the case may be, the press release to be published upon issuance and sale of any Additional Securities by the Company, (the “</w:t>
      </w:r>
      <w:r>
        <w:rPr>
          <w:rFonts w:ascii="Times New Roman" w:cs="Times New Roman" w:eastAsia="Times New Roman" w:hAnsi="Times New Roman"/>
          <w:sz w:val="18"/>
          <w:szCs w:val="18"/>
          <w:b w:val="1"/>
          <w:bCs w:val="1"/>
          <w:color w:val="auto"/>
        </w:rPr>
        <w:t>Pricing Press Release</w:t>
      </w:r>
      <w:r>
        <w:rPr>
          <w:rFonts w:ascii="Times New Roman" w:cs="Times New Roman" w:eastAsia="Times New Roman" w:hAnsi="Times New Roman"/>
          <w:sz w:val="18"/>
          <w:szCs w:val="18"/>
          <w:color w:val="auto"/>
        </w:rPr>
        <w:t>,” together with the Launch Press Release, the “</w:t>
      </w:r>
      <w:r>
        <w:rPr>
          <w:rFonts w:ascii="Times New Roman" w:cs="Times New Roman" w:eastAsia="Times New Roman" w:hAnsi="Times New Roman"/>
          <w:sz w:val="18"/>
          <w:szCs w:val="18"/>
          <w:b w:val="1"/>
          <w:bCs w:val="1"/>
          <w:color w:val="auto"/>
        </w:rPr>
        <w:t>Press Releases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Universal Registration Document, the Unaudited Interim Condensed Consolidated Financial Statements, the Press Releases, and any amendments or supplements thereto, and the documents that are or will be incorporated by reference therein are each hereinafter referred to as a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Public Documents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Greenshoe Press Release</w:t>
      </w:r>
      <w:r>
        <w:rPr>
          <w:rFonts w:ascii="Times New Roman" w:cs="Times New Roman" w:eastAsia="Times New Roman" w:hAnsi="Times New Roman"/>
          <w:sz w:val="18"/>
          <w:szCs w:val="18"/>
          <w:color w:val="auto"/>
        </w:rPr>
        <w:t>” means a press release issued by the Company in connection with the Option Closing Date (as defined in Section 2).</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documents and pricing information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road show” as defined in Rule 433(h)(5) under the Securities Act that has been made available without restriction to any person. As used herein, the terms “Registration Statement,” “ADS Registration Statement,” “Basic Prospectus,” “preliminary prospectus,” “Time of Sale Prospectus” and “Prospectus” shall include the documents, if any, incorporated by reference therein as of the date hereof. The terms “supplement,” “amendment” and “amend” as used herein with respect to the Registration Statement, the ADS Registration Statement, the Basic Prospectus, the preliminary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87" w:lineRule="exact"/>
        <w:rPr>
          <w:sz w:val="20"/>
          <w:szCs w:val="20"/>
          <w:color w:val="auto"/>
        </w:rPr>
      </w:pPr>
    </w:p>
    <w:p>
      <w:pPr>
        <w:ind w:right="100" w:firstLine="436"/>
        <w:spacing w:after="0" w:line="284"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as of the date hereof,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Date and as of the Option Closing Date that:</w:t>
      </w:r>
    </w:p>
    <w:p>
      <w:pPr>
        <w:spacing w:after="0" w:line="52"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the ADS Registration Statement has become effective; no stop order suspending the effectiveness of the Registration Statement or the ADS Registration Statement is in effect, and no proceedings for such purpose or pursuant to Section 8A under the Securities Act are pending before or, to the Company’s knowledge,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firstLine="419"/>
        <w:spacing w:after="0" w:line="252" w:lineRule="auto"/>
        <w:tabs>
          <w:tab w:leader="none" w:pos="6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and the ADS Registration Statement, when each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the ADS Registration Statement, at the respective time at which each became effective,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and at the Closing Date,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as of its date, contain and, as amended or supplemented, if applicable, as of the date of such amendment or supplement, or as of the Closing Date and each Option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 as defined in Section 8(b).</w:t>
      </w:r>
    </w:p>
    <w:p>
      <w:pPr>
        <w:spacing w:after="0" w:line="79" w:lineRule="exact"/>
        <w:rPr>
          <w:rFonts w:ascii="Times New Roman" w:cs="Times New Roman" w:eastAsia="Times New Roman" w:hAnsi="Times New Roman"/>
          <w:sz w:val="18"/>
          <w:szCs w:val="18"/>
          <w:color w:val="auto"/>
        </w:rPr>
      </w:pPr>
    </w:p>
    <w:p>
      <w:pPr>
        <w:ind w:right="240" w:firstLine="419"/>
        <w:spacing w:after="0" w:line="257" w:lineRule="auto"/>
        <w:tabs>
          <w:tab w:leader="none" w:pos="6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filings of the Universal Registration Document, the Company has complied, to the AMF’s satisfaction, with all requests of the AMF for additional or supplemental information, if any. No order suspending the effectiveness of the Universal Registration Document has been issued by the AMF, nor has, to the Company’s knowledge, any challenge to the filing with the AMF or the use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Universal Registration Document been filed with any court.</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9" w:name="page10"/>
    <w:bookmarkEnd w:id="9"/>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Universal Registration Document and the Press Releases conformed, conform and will conform, as appropriate, with the requirements set forth by applicable laws, including the General Regulations of the AMF, the AMF’s guidelines and Regulation (EU) 2017/1129 of the European Parliament and of the Council of 14 June 2017, as amended, and Delegated Regulations (EU) No. 2019/980 and No. 2019/979. Each of the Public Documents, as of the date hereof is accurate, correct and true in all material respects and as amended or supplemented, does not and, on the Closing Date and on any date on which Additional Securities are purchased, will not, contain any untrue statement of a material fact or omit to state a material fact necessary to make the statements therein, in the light of the circumstances under which they were made, not misleading; except that the representations or warranties set forth in this paragraph do not apply to statements or omissions in the Public Documents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 as defined in Section 8(b).</w:t>
      </w:r>
    </w:p>
    <w:p>
      <w:pPr>
        <w:spacing w:after="0" w:line="86"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The Public Documents contain the necessary information which is material to an investor for making an informed assessment of the assets and liabilities, profit and losses, financial position, and prospects of the Company and on the rights attached to the Ordinary Shares. All notices, statements, opinions, estimates, statements of intent, projections made by the Company in the Public Documents have been prepared in good faith and on reasonable grounds. The information contained in the Information Documents conforms or will conform in all material respects to the information contained in the Registration Statement, the Time of Sale Prospectus and the Prospectus.</w:t>
      </w:r>
    </w:p>
    <w:p>
      <w:pPr>
        <w:spacing w:after="0" w:line="75" w:lineRule="exact"/>
        <w:rPr>
          <w:sz w:val="20"/>
          <w:szCs w:val="20"/>
          <w:color w:val="auto"/>
        </w:rPr>
      </w:pPr>
    </w:p>
    <w:p>
      <w:pPr>
        <w:ind w:right="40" w:firstLine="419"/>
        <w:spacing w:after="0" w:line="254"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10" w:name="page11"/>
    <w:bookmarkEnd w:id="10"/>
    <w:p>
      <w:pPr>
        <w:ind w:right="20" w:firstLine="419"/>
        <w:spacing w:after="0" w:line="253" w:lineRule="auto"/>
        <w:tabs>
          <w:tab w:leader="none" w:pos="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has been duly organized and is validly existing as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with a board of directors (</w:t>
      </w:r>
      <w:r>
        <w:rPr>
          <w:rFonts w:ascii="Times New Roman" w:cs="Times New Roman" w:eastAsia="Times New Roman" w:hAnsi="Times New Roman"/>
          <w:sz w:val="18"/>
          <w:szCs w:val="18"/>
          <w:i w:val="1"/>
          <w:iCs w:val="1"/>
          <w:color w:val="auto"/>
        </w:rPr>
        <w:t>société anonyme à conseil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d’administration</w:t>
      </w:r>
      <w:r>
        <w:rPr>
          <w:rFonts w:ascii="Times New Roman" w:cs="Times New Roman" w:eastAsia="Times New Roman" w:hAnsi="Times New Roman"/>
          <w:sz w:val="18"/>
          <w:szCs w:val="18"/>
          <w:color w:val="auto"/>
        </w:rPr>
        <w:t>), under the laws of France, duly registered with the</w:t>
      </w:r>
      <w:r>
        <w:rPr>
          <w:rFonts w:ascii="Times New Roman" w:cs="Times New Roman" w:eastAsia="Times New Roman" w:hAnsi="Times New Roman"/>
          <w:sz w:val="18"/>
          <w:szCs w:val="18"/>
          <w:i w:val="1"/>
          <w:iCs w:val="1"/>
          <w:color w:val="auto"/>
        </w:rPr>
        <w:t xml:space="preserve"> registre du commerce et des sociétés </w:t>
      </w:r>
      <w:r>
        <w:rPr>
          <w:rFonts w:ascii="Times New Roman" w:cs="Times New Roman" w:eastAsia="Times New Roman" w:hAnsi="Times New Roman"/>
          <w:sz w:val="18"/>
          <w:szCs w:val="18"/>
          <w:color w:val="auto"/>
        </w:rPr>
        <w:t>of Paris under number 799 363 718,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corporate power and authority to own or lease its property and to conduct its business as described in each of the Registration Statement, the Time of Sale Prospectus, the Prospectus and the Information Documents and to enter into, and perform its obligations under this Agreement; and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The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of the Company comply with the requirements of applicable French law and are in full force and effect in all material respects; the purchase and sale of the Securities pursuant to this Agreement are in the Company’s corporate interest and serving the Company’s corporate purpose (</w:t>
      </w:r>
      <w:r>
        <w:rPr>
          <w:rFonts w:ascii="Times New Roman" w:cs="Times New Roman" w:eastAsia="Times New Roman" w:hAnsi="Times New Roman"/>
          <w:sz w:val="18"/>
          <w:szCs w:val="18"/>
          <w:i w:val="1"/>
          <w:iCs w:val="1"/>
          <w:color w:val="auto"/>
        </w:rPr>
        <w:t>objet social</w:t>
      </w:r>
      <w:r>
        <w:rPr>
          <w:rFonts w:ascii="Times New Roman" w:cs="Times New Roman" w:eastAsia="Times New Roman" w:hAnsi="Times New Roman"/>
          <w:sz w:val="18"/>
          <w:szCs w:val="18"/>
          <w:color w:val="auto"/>
        </w:rPr>
        <w:t>), as set forth in the Company’s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and are on an arm’s-length basis between the Company, on the one hand, and the Underwriters and any affiliate through which they may be acting, on the other.</w:t>
      </w:r>
    </w:p>
    <w:p>
      <w:pPr>
        <w:spacing w:after="0" w:line="83" w:lineRule="exact"/>
        <w:rPr>
          <w:rFonts w:ascii="Times New Roman" w:cs="Times New Roman" w:eastAsia="Times New Roman" w:hAnsi="Times New Roman"/>
          <w:sz w:val="18"/>
          <w:szCs w:val="18"/>
          <w:color w:val="auto"/>
        </w:rPr>
      </w:pPr>
    </w:p>
    <w:p>
      <w:pPr>
        <w:jc w:val="both"/>
        <w:ind w:right="260" w:firstLine="419"/>
        <w:spacing w:after="0" w:line="315" w:lineRule="auto"/>
        <w:tabs>
          <w:tab w:leader="none" w:pos="64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of the Company’s board of directors (</w:t>
      </w:r>
      <w:r>
        <w:rPr>
          <w:rFonts w:ascii="Times New Roman" w:cs="Times New Roman" w:eastAsia="Times New Roman" w:hAnsi="Times New Roman"/>
          <w:sz w:val="17"/>
          <w:szCs w:val="17"/>
          <w:i w:val="1"/>
          <w:iCs w:val="1"/>
          <w:color w:val="auto"/>
        </w:rPr>
        <w:t>conseil d’administration</w:t>
      </w:r>
      <w:r>
        <w:rPr>
          <w:rFonts w:ascii="Times New Roman" w:cs="Times New Roman" w:eastAsia="Times New Roman" w:hAnsi="Times New Roman"/>
          <w:sz w:val="17"/>
          <w:szCs w:val="17"/>
          <w:color w:val="auto"/>
        </w:rPr>
        <w:t>) has been duly elected or appointed in such capacity and exercises his or her functions in accordance with applicable laws and regulations and the Company’s by-laws (</w:t>
      </w:r>
      <w:r>
        <w:rPr>
          <w:rFonts w:ascii="Times New Roman" w:cs="Times New Roman" w:eastAsia="Times New Roman" w:hAnsi="Times New Roman"/>
          <w:sz w:val="17"/>
          <w:szCs w:val="17"/>
          <w:i w:val="1"/>
          <w:iCs w:val="1"/>
          <w:color w:val="auto"/>
        </w:rPr>
        <w:t>statuts</w:t>
      </w:r>
      <w:r>
        <w:rPr>
          <w:rFonts w:ascii="Times New Roman" w:cs="Times New Roman" w:eastAsia="Times New Roman" w:hAnsi="Times New Roman"/>
          <w:sz w:val="17"/>
          <w:szCs w:val="17"/>
          <w:color w:val="auto"/>
        </w:rPr>
        <w:t>) and internal regulations.</w:t>
      </w:r>
    </w:p>
    <w:p>
      <w:pPr>
        <w:spacing w:after="0" w:line="28" w:lineRule="exact"/>
        <w:rPr>
          <w:rFonts w:ascii="Times New Roman" w:cs="Times New Roman" w:eastAsia="Times New Roman" w:hAnsi="Times New Roman"/>
          <w:sz w:val="17"/>
          <w:szCs w:val="17"/>
          <w:color w:val="auto"/>
        </w:rPr>
      </w:pPr>
    </w:p>
    <w:p>
      <w:pPr>
        <w:ind w:firstLine="419"/>
        <w:spacing w:after="0" w:line="254"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the Prospectus and the Information Documents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 capital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80" w:top="268" w:right="479" w:bottom="1440" w:gutter="0" w:footer="0" w:header="0"/>
        </w:sectPr>
      </w:pPr>
    </w:p>
    <w:bookmarkStart w:id="11" w:name="page12"/>
    <w:bookmarkEnd w:id="11"/>
    <w:p>
      <w:pPr>
        <w:ind w:firstLine="419"/>
        <w:spacing w:after="0" w:line="251"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authorized, issued and outstanding share capital of the Company are as set forth in the Registration Statement, the Time of Sale Prospectus and the Prospectus in the column entitled “Actual” under the caption “Capitalization,” and in the Universal Registration Document under the heading “</w:t>
      </w:r>
      <w:r>
        <w:rPr>
          <w:rFonts w:ascii="Times New Roman" w:cs="Times New Roman" w:eastAsia="Times New Roman" w:hAnsi="Times New Roman"/>
          <w:sz w:val="18"/>
          <w:szCs w:val="18"/>
          <w:i w:val="1"/>
          <w:iCs w:val="1"/>
          <w:color w:val="auto"/>
        </w:rPr>
        <w:t>6.3.1.1 Total du capital social</w:t>
      </w:r>
      <w:r>
        <w:rPr>
          <w:rFonts w:ascii="Times New Roman" w:cs="Times New Roman" w:eastAsia="Times New Roman" w:hAnsi="Times New Roman"/>
          <w:sz w:val="18"/>
          <w:szCs w:val="18"/>
          <w:color w:val="auto"/>
        </w:rPr>
        <w:t>” (except for subsequent issuances, if any, pursuant to (i) this Agreement, (ii) reservations, agreements or employee benefit plans referred to in the Registration Statement, the Time of Sale Prospectus, the Prospectus and the Public Documents, or (iii) the conversion or exercise, as applicable, of convertible bonds, free shares (</w:t>
      </w:r>
      <w:r>
        <w:rPr>
          <w:rFonts w:ascii="Times New Roman" w:cs="Times New Roman" w:eastAsia="Times New Roman" w:hAnsi="Times New Roman"/>
          <w:sz w:val="18"/>
          <w:szCs w:val="18"/>
          <w:i w:val="1"/>
          <w:iCs w:val="1"/>
          <w:color w:val="auto"/>
        </w:rPr>
        <w:t>actions gratuites</w:t>
      </w:r>
      <w:r>
        <w:rPr>
          <w:rFonts w:ascii="Times New Roman" w:cs="Times New Roman" w:eastAsia="Times New Roman" w:hAnsi="Times New Roman"/>
          <w:sz w:val="18"/>
          <w:szCs w:val="18"/>
          <w:color w:val="auto"/>
        </w:rPr>
        <w:t xml:space="preserve"> or AGA) or warrants (including share warrants (BSA) and founders’ warrants (BSPCE)) referred to in the Registration Statement, the Time of Sale Prospectus, the Prospectus and the Public Documents). The share capital of the Company, including the Securities, conforms in all material respects to each description thereof contained in the Registration Statement, the Time of Sale Prospectus, the Prospectus, the Universal Registration Document, the Unaudited Interim Condensed Consolidated Financial Statements and the Press Releases and such description conforms to the rights set forth in the instruments defining the same. The outstanding share capital of the Company has been duly authorized and validly issued and is fully paid, non-assessable and freely negotiable and has been issued in compliance with French law. None of the outstanding Ordinary Shares or ADSs of the Company were issued in violation of applicable preferential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priority rights (</w:t>
      </w:r>
      <w:r>
        <w:rPr>
          <w:rFonts w:ascii="Times New Roman" w:cs="Times New Roman" w:eastAsia="Times New Roman" w:hAnsi="Times New Roman"/>
          <w:sz w:val="18"/>
          <w:szCs w:val="18"/>
          <w:i w:val="1"/>
          <w:iCs w:val="1"/>
          <w:color w:val="auto"/>
        </w:rPr>
        <w:t>délai de priorité</w:t>
      </w:r>
      <w:r>
        <w:rPr>
          <w:rFonts w:ascii="Times New Roman" w:cs="Times New Roman" w:eastAsia="Times New Roman" w:hAnsi="Times New Roman"/>
          <w:sz w:val="18"/>
          <w:szCs w:val="18"/>
          <w:color w:val="auto"/>
        </w:rPr>
        <w:t>) or other similar rights to subscribe for, or purchase securities of, the Company that have not been excluded, waived or satisfied. There are no authorized or outstanding options, warrants, preferential subscription rights, rights of first refusal or other rights to purchase, or equity or debt securities convertible into or exchangeable or exercisable for, any share capital of the Company other than those described in Registration Statement, the Time of Sale Prospectus, the Prospectus and the Public Documents. The descriptions of the Company’s convertible bonds, free shares (AGA), founders’ warrants (BSPCE), warrants (BSA) and other share plans or arrangements, and the options or other rights granted thereunder, set forth in the Registration Statement, the Time of Sale Prospectus, the Prospectus and the Public Documents accurately and fairly present the information required to be shown with respect to such plans, arrangements, options, warrants and rights. The Company shall take all necessary steps to have the Underlying Shares admitted to the transactions of Euroclear France, Euroclear Bank SA/NV (together with Euroclear France,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Clearstream Banking SA, a public limited company (Luxembourg) (“</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and to have the Underlying Shares admitted to trading on the regulated market of Euronext Paris (“</w:t>
      </w:r>
      <w:r>
        <w:rPr>
          <w:rFonts w:ascii="Times New Roman" w:cs="Times New Roman" w:eastAsia="Times New Roman" w:hAnsi="Times New Roman"/>
          <w:sz w:val="18"/>
          <w:szCs w:val="18"/>
          <w:b w:val="1"/>
          <w:bCs w:val="1"/>
          <w:color w:val="auto"/>
        </w:rPr>
        <w:t>Euronext</w:t>
      </w:r>
      <w:r>
        <w:rPr>
          <w:rFonts w:ascii="Times New Roman" w:cs="Times New Roman" w:eastAsia="Times New Roman" w:hAnsi="Times New Roman"/>
          <w:sz w:val="18"/>
          <w:szCs w:val="18"/>
          <w:color w:val="auto"/>
        </w:rPr>
        <w:t>”) on the Closing Date, and no collateral, pledge, lien or other security will exist on any Underlying Shares, nor any third-party rights granted by the Company.</w:t>
      </w:r>
    </w:p>
    <w:p>
      <w:pPr>
        <w:spacing w:after="0" w:line="97" w:lineRule="exact"/>
        <w:rPr>
          <w:sz w:val="20"/>
          <w:szCs w:val="20"/>
          <w:color w:val="auto"/>
        </w:rPr>
      </w:pPr>
    </w:p>
    <w:p>
      <w:pPr>
        <w:ind w:right="100" w:firstLine="952"/>
        <w:spacing w:after="0" w:line="255" w:lineRule="auto"/>
        <w:rPr>
          <w:sz w:val="20"/>
          <w:szCs w:val="20"/>
          <w:color w:val="auto"/>
        </w:rPr>
      </w:pPr>
      <w:r>
        <w:rPr>
          <w:rFonts w:ascii="Times New Roman" w:cs="Times New Roman" w:eastAsia="Times New Roman" w:hAnsi="Times New Roman"/>
          <w:sz w:val="18"/>
          <w:szCs w:val="18"/>
          <w:color w:val="auto"/>
        </w:rPr>
        <w:t>The holders of outstanding Ordinary Shares, as described in the Registration Statement, the Time of Sale Prospectus, the Prospectus and the Public Documents, are not entitled to preferential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priority rights (</w:t>
      </w:r>
      <w:r>
        <w:rPr>
          <w:rFonts w:ascii="Times New Roman" w:cs="Times New Roman" w:eastAsia="Times New Roman" w:hAnsi="Times New Roman"/>
          <w:sz w:val="18"/>
          <w:szCs w:val="18"/>
          <w:i w:val="1"/>
          <w:iCs w:val="1"/>
          <w:color w:val="auto"/>
        </w:rPr>
        <w:t>délai de priorité</w:t>
      </w:r>
      <w:r>
        <w:rPr>
          <w:rFonts w:ascii="Times New Roman" w:cs="Times New Roman" w:eastAsia="Times New Roman" w:hAnsi="Times New Roman"/>
          <w:sz w:val="18"/>
          <w:szCs w:val="18"/>
          <w:color w:val="auto"/>
        </w:rPr>
        <w:t>) or other similar rights to acquire the Securities that have not been waived with respect to the offering of the Securities in accordance with their terms and all applicable laws; there are no outstanding securities convertible into, or exchangeable for, or warrants, rights or options to purchase from the Company, or obligations of the Company to issue, Ordinary Shares or any other class of share capital of the Company, except in each case as set forth in the Registration Statement, the Time of Sale Prospectus, the Prospectus under the captions “Description of Share Capital” or the Public Documents.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2" w:name="page13"/>
    <w:bookmarkEnd w:id="12"/>
    <w:p>
      <w:pPr>
        <w:ind w:right="100" w:firstLine="419"/>
        <w:spacing w:after="0" w:line="258"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cash flow and working capital statements that will be contained in the Press Releases have been prepared on reasonable grounds in good faith, after due and careful inquiry, and take into account all material matters of which the Company was aware concerning the Company as of the respective dates of such statement. All assumptions on which such working capital statements are based are reasonable and, so far as the Company is aware, there were no material assumptions that the Company should reasonably have taken into account in the preparation of such working capital statements that were not so taken into account.</w:t>
      </w:r>
    </w:p>
    <w:p>
      <w:pPr>
        <w:spacing w:after="0" w:line="75" w:lineRule="exact"/>
        <w:rPr>
          <w:rFonts w:ascii="Times New Roman" w:cs="Times New Roman" w:eastAsia="Times New Roman" w:hAnsi="Times New Roman"/>
          <w:sz w:val="18"/>
          <w:szCs w:val="18"/>
          <w:color w:val="auto"/>
        </w:rPr>
      </w:pPr>
    </w:p>
    <w:p>
      <w:pPr>
        <w:ind w:firstLine="419"/>
        <w:spacing w:after="0" w:line="242"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duly authorized by the Company for issuance and sale pursuant to this Agreement and, when issued and delivered by the Company against payment therefor pursuant to this Agreement and upon delivery of the depositary certificate (</w:t>
      </w:r>
      <w:r>
        <w:rPr>
          <w:rFonts w:ascii="Times New Roman" w:cs="Times New Roman" w:eastAsia="Times New Roman" w:hAnsi="Times New Roman"/>
          <w:sz w:val="18"/>
          <w:szCs w:val="18"/>
          <w:i w:val="1"/>
          <w:iCs w:val="1"/>
          <w:color w:val="auto"/>
        </w:rPr>
        <w:t>certificat du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in accordance with Article L. 225-146 and Article L. 225-136 of the French Commercial Code and the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passed at the shareholders’ combined meeting of the Company dated May 11, 2026, will be validly issued, fully paid, non-assessable and freely negotiable; and the issuance and sale of the Securities is not subject to preferential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priority rights (</w:t>
      </w:r>
      <w:r>
        <w:rPr>
          <w:rFonts w:ascii="Times New Roman" w:cs="Times New Roman" w:eastAsia="Times New Roman" w:hAnsi="Times New Roman"/>
          <w:sz w:val="18"/>
          <w:szCs w:val="18"/>
          <w:i w:val="1"/>
          <w:iCs w:val="1"/>
          <w:color w:val="auto"/>
        </w:rPr>
        <w:t>délai de priorité</w:t>
      </w:r>
      <w:r>
        <w:rPr>
          <w:rFonts w:ascii="Times New Roman" w:cs="Times New Roman" w:eastAsia="Times New Roman" w:hAnsi="Times New Roman"/>
          <w:sz w:val="18"/>
          <w:szCs w:val="18"/>
          <w:color w:val="auto"/>
        </w:rPr>
        <w:t>) or other similar rights of any securityholder of the Company that have not been duly excluded, waived or satisfied with respect to the offering of the Securities in accordance with their terms and all applicable laws. No holder of Securities will be subject to personal liability by virtue only of its holding of such Securities. The Ordinary Shares may be freely deposited by the Company with the Depositary or its nominee against issuance of ADRs evidencing the ADSs, as contemplated by the Deposit Agreement. Upon the sale and delivery of the Securities, and payment therefor, the Underwriters or the purchasers thereof, as the case may be, will acquire good, marketable and valid title to such Securities, free and clear of all pledges, liens, security interests, charges, claims or encumbrances.</w:t>
      </w:r>
    </w:p>
    <w:p>
      <w:pPr>
        <w:spacing w:after="0" w:line="95" w:lineRule="exact"/>
        <w:rPr>
          <w:rFonts w:ascii="Times New Roman" w:cs="Times New Roman" w:eastAsia="Times New Roman" w:hAnsi="Times New Roman"/>
          <w:sz w:val="18"/>
          <w:szCs w:val="18"/>
          <w:color w:val="auto"/>
        </w:rPr>
      </w:pPr>
    </w:p>
    <w:p>
      <w:pPr>
        <w:ind w:right="20" w:firstLine="419"/>
        <w:spacing w:after="0" w:line="252"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Agreement has been duly authorized, executed and delivered by the Company and constitutes a valid and legally binding obligation of the Company, enforceable in accordance with its terms, subject, as to enforceability, to bankruptcy, insolvency, reorganization, moratorium and similar laws of general applicability relating to or affecting creditors’ rights and to general equity principles; upon due issuance by the Depositary of the ADRs evidencing the ADSs against the deposit of the Underlying Shares in respect thereof in accordance with the provisions of the Deposit Agreement, such ADSs and ADRs will be duly and validly issued, and the persons in whose names the ADSs and ADRs are registered will be entitled to the rights specified therein, respectively, and in the Deposit Agreement; the issuance and sale of the ADSs by the Company and the deposit of the Underlying Shares with the Depositary and the issuance of the ADRs evidencing the ADSs as contemplated by this Agreement and the Deposit Agreement will neither (i) cause any holder of any Ordinary Shares or ADSs, securities convertible into or exchangeable or exercisable for Ordinary Shares or ADSs or warrants or other rights to purchase Ordinary Shares or ADSs or any other securities of the Company to have any right to acquire any shares of the Company nor (ii) trigger any anti-dilution rights of any such holder with respect to such Underlying Shares, ADSs, securities, warrants or rights; and the Deposit Agreement and the ADRs conform in all material respects to the descriptions thereof contained in the Registration Statement, the Time of Sale Prospectus, the Prospectus and the Information Documents. There has been no change in the Company’s agreement with the Depositary in connection with any pre-release of the Company’s ADRs and no such change is currently contemplated.</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3" w:name="page14"/>
    <w:bookmarkEnd w:id="13"/>
    <w:p>
      <w:pPr>
        <w:ind w:firstLine="419"/>
        <w:spacing w:after="0" w:line="255" w:lineRule="auto"/>
        <w:tabs>
          <w:tab w:leader="none" w:pos="7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and delivery by the Company of, and the performance by the Company of its obligations under, this Agreement will not contravene any provision of applicable law or the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offer and sale of the Securities.</w:t>
      </w:r>
    </w:p>
    <w:p>
      <w:pPr>
        <w:spacing w:after="0" w:line="80"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or the ability of the Company to consummate the transactions contemplated by this Agreement or perform its obligations hereunder from that set forth in the Time of Sale Prospectus and the Public Documents.</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the Underlying Shares) have been approved for listing on the Nasdaq Global Market, subject to notice of issuance.</w:t>
      </w:r>
    </w:p>
    <w:p>
      <w:pPr>
        <w:spacing w:after="0" w:line="117" w:lineRule="exact"/>
        <w:rPr>
          <w:rFonts w:ascii="Times New Roman" w:cs="Times New Roman" w:eastAsia="Times New Roman" w:hAnsi="Times New Roman"/>
          <w:sz w:val="18"/>
          <w:szCs w:val="18"/>
          <w:color w:val="auto"/>
        </w:rPr>
      </w:pPr>
    </w:p>
    <w:p>
      <w:pPr>
        <w:ind w:right="160" w:firstLine="419"/>
        <w:spacing w:after="0" w:line="253" w:lineRule="auto"/>
        <w:tabs>
          <w:tab w:leader="none" w:pos="6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(including, without limitation, any action, suit proceeding, inquiry or investigation before, or brought by,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the European Commission or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Autorité Nationale de Sécurité du Médicament et des produits de santé</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ANSM</w:t>
      </w:r>
      <w:r>
        <w:rPr>
          <w:rFonts w:ascii="Times New Roman" w:cs="Times New Roman" w:eastAsia="Times New Roman" w:hAnsi="Times New Roman"/>
          <w:sz w:val="18"/>
          <w:szCs w:val="18"/>
          <w:color w:val="auto"/>
        </w:rPr>
        <w:t>”) or the AMF)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the Prospectus and the Information Documents and proceedings that would not,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the Prospectus or the Public Documents and are not so described; and there are no statutes, regulations, contracts or other documents that are required to be described in the Registration Statement, the Time of Sale Prospectus, the Prospectus or the Public Documents or to be filed as exhibits to the Registration Statement that are not described or filed as required.</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14" w:name="page15"/>
    <w:bookmarkEnd w:id="14"/>
    <w:p>
      <w:pPr>
        <w:ind w:left="4" w:firstLine="419"/>
        <w:spacing w:after="0" w:line="255" w:lineRule="auto"/>
        <w:tabs>
          <w:tab w:leader="none" w:pos="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filing with, or authorization, approval, consent, license, order, registration, qualification or decree of, any governmental body, agency or court is necessary or required for the performance by the Company of its obligations hereunder, in connection with the offering, issuance or sale of the Securities or the issuance and deposit with the Depositary of the Underlying Shares hereunder or the consummation of the transactions contemplated by this Agreement, except for the publication by Euronext of a notice (</w:t>
      </w:r>
      <w:r>
        <w:rPr>
          <w:rFonts w:ascii="Times New Roman" w:cs="Times New Roman" w:eastAsia="Times New Roman" w:hAnsi="Times New Roman"/>
          <w:sz w:val="18"/>
          <w:szCs w:val="18"/>
          <w:i w:val="1"/>
          <w:iCs w:val="1"/>
          <w:color w:val="auto"/>
        </w:rPr>
        <w:t>avis</w:t>
      </w:r>
      <w:r>
        <w:rPr>
          <w:rFonts w:ascii="Times New Roman" w:cs="Times New Roman" w:eastAsia="Times New Roman" w:hAnsi="Times New Roman"/>
          <w:sz w:val="18"/>
          <w:szCs w:val="18"/>
          <w:color w:val="auto"/>
        </w:rPr>
        <w:t>) with respect to the listing of the Underlying Shares and</w:t>
      </w:r>
    </w:p>
    <w:p>
      <w:pPr>
        <w:spacing w:after="0" w:line="2" w:lineRule="exact"/>
        <w:rPr>
          <w:rFonts w:ascii="Times New Roman" w:cs="Times New Roman" w:eastAsia="Times New Roman" w:hAnsi="Times New Roman"/>
          <w:sz w:val="18"/>
          <w:szCs w:val="18"/>
          <w:color w:val="auto"/>
        </w:rPr>
      </w:pPr>
    </w:p>
    <w:p>
      <w:pPr>
        <w:ind w:left="4" w:right="120" w:hanging="4"/>
        <w:spacing w:after="0" w:line="277" w:lineRule="auto"/>
        <w:tabs>
          <w:tab w:leader="none" w:pos="21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as have been already obtained or as may be required under the Securities Act and the applicable rules and regulations of the Commission thereunder, the rules of the Nasdaq Global Market, state securities laws or the rules of FINRA and (ii) such as have been obtained or will be obtained on the Closing Date under the laws and regulations of jurisdictions outside the United States in which the Securities were offered.</w:t>
      </w:r>
    </w:p>
    <w:p>
      <w:pPr>
        <w:spacing w:after="0" w:line="60" w:lineRule="exact"/>
        <w:rPr>
          <w:rFonts w:ascii="Times New Roman" w:cs="Times New Roman" w:eastAsia="Times New Roman" w:hAnsi="Times New Roman"/>
          <w:sz w:val="17"/>
          <w:szCs w:val="17"/>
          <w:color w:val="auto"/>
        </w:rPr>
      </w:pPr>
    </w:p>
    <w:p>
      <w:pPr>
        <w:ind w:left="4" w:right="80" w:firstLine="419"/>
        <w:spacing w:after="0" w:line="256" w:lineRule="auto"/>
        <w:tabs>
          <w:tab w:leader="none" w:pos="6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relationship, direct or indirect, exists between or among the Company, on the one hand, and the directors, officers, shareholders, customers or suppliers of the Company, on the other hand, that is required to be described in the Registration Statement, the Time of Sale Prospectus, the Prospectus and the Information Documents, which is not so described. There are no business relationships or related-party transactions, including </w:t>
      </w:r>
      <w:r>
        <w:rPr>
          <w:rFonts w:ascii="Times New Roman" w:cs="Times New Roman" w:eastAsia="Times New Roman" w:hAnsi="Times New Roman"/>
          <w:sz w:val="18"/>
          <w:szCs w:val="18"/>
          <w:i w:val="1"/>
          <w:iCs w:val="1"/>
          <w:color w:val="auto"/>
        </w:rPr>
        <w:t>conventions réglementées</w:t>
      </w:r>
      <w:r>
        <w:rPr>
          <w:rFonts w:ascii="Times New Roman" w:cs="Times New Roman" w:eastAsia="Times New Roman" w:hAnsi="Times New Roman"/>
          <w:sz w:val="18"/>
          <w:szCs w:val="18"/>
          <w:color w:val="auto"/>
        </w:rPr>
        <w:t xml:space="preserve"> under Article L. 225-38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French Commercial Code, involving the Company or any other person required to be described in Registration Statement, the Time of Sale Prospectus, the Prospectus, and the Information Documents that have not been described, as required.</w:t>
      </w:r>
    </w:p>
    <w:p>
      <w:pPr>
        <w:spacing w:after="0" w:line="79"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15" w:name="page16"/>
    <w:bookmarkEnd w:id="15"/>
    <w:p>
      <w:pPr>
        <w:ind w:right="100" w:firstLine="419"/>
        <w:spacing w:after="0" w:line="266" w:lineRule="auto"/>
        <w:tabs>
          <w:tab w:leader="none" w:pos="6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40" w:firstLine="419"/>
        <w:spacing w:after="0" w:line="255"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jc w:val="both"/>
        <w:ind w:right="60" w:firstLine="419"/>
        <w:spacing w:after="0" w:line="261"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7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Time of Sale Prospectus, the Prospectus and the Information Documents,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71" w:lineRule="exact"/>
        <w:rPr>
          <w:rFonts w:ascii="Times New Roman" w:cs="Times New Roman" w:eastAsia="Times New Roman" w:hAnsi="Times New Roman"/>
          <w:sz w:val="18"/>
          <w:szCs w:val="18"/>
          <w:color w:val="auto"/>
        </w:rPr>
      </w:pPr>
    </w:p>
    <w:p>
      <w:pPr>
        <w:ind w:right="40" w:firstLine="419"/>
        <w:spacing w:after="0" w:line="252"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or affiliates has taken, or will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Exchange Act or applicable European Union or French laws or regulations, as the case may be. Neither the Company, nor any person acting on its behalf will take, directly or indirectly, any action designed to cause or to result in, or that has constituted or that might reasonably be expected to cause or result in, the stabilization of the Securities in violation of applicable European Union or French laws or regulation, as the case may be, or manipulation of the price of any security of the Company to facilitate the sale or resale of the Securities. The Company has not taken or omitted to take any action nor will take any action or omit to take any action, which may result in the loss by any of the Underwriters of the ability to rely on any stabilization safe harbor provided under the Commission Delegated Regulation (EU) 2016/1052 of March 8, 2016, supplementing Regulation (EU) No 596/2014 of the European Parliament and of the Council with regard to regulatory technical standards for the conditions applicable to buy-back programs and stabilization measures. The Company authorizes Leerink Partners LLC to make adequate public disclosure of information and to act as the central point responsible for handling any request from a competent authority, in each case as required by Article 6(5) of Commission Delegated Regulation (EU) 2016/1052 of March 8, 2016, with regard to regulatory technical standards for conditions applicable to buy-back programs and stabilization measures.</w:t>
      </w:r>
    </w:p>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16" w:name="page17"/>
    <w:bookmarkEnd w:id="16"/>
    <w:p>
      <w:pPr>
        <w:ind w:right="80" w:firstLine="419"/>
        <w:spacing w:after="0" w:line="256"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complied in all material respects with the applicable provisions of EU Regulation No 596/2014 of April 16, 2014 on market abuse, as amended, the delegated EU regulations adopted thereunder and the equivalent French laws and regulations (the “</w:t>
      </w:r>
      <w:r>
        <w:rPr>
          <w:rFonts w:ascii="Times New Roman" w:cs="Times New Roman" w:eastAsia="Times New Roman" w:hAnsi="Times New Roman"/>
          <w:sz w:val="18"/>
          <w:szCs w:val="18"/>
          <w:b w:val="1"/>
          <w:bCs w:val="1"/>
          <w:color w:val="auto"/>
        </w:rPr>
        <w:t>Market Abuse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and has taken adequate measures and has adequate procedures in place in order to ensure such compliance, and none of the allotment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the sale of the Securities and the consummation of the transactions contemplated by this Agreement will constitute a violation by the Company of any of the Market Abuse Rules, and no person acting on its behalf has done any act or engaged in any course of conduct constituting such violation.</w:t>
      </w:r>
    </w:p>
    <w:p>
      <w:pPr>
        <w:spacing w:after="0" w:line="79" w:lineRule="exact"/>
        <w:rPr>
          <w:rFonts w:ascii="Times New Roman" w:cs="Times New Roman" w:eastAsia="Times New Roman" w:hAnsi="Times New Roman"/>
          <w:sz w:val="18"/>
          <w:szCs w:val="18"/>
          <w:color w:val="auto"/>
        </w:rPr>
      </w:pPr>
    </w:p>
    <w:p>
      <w:pPr>
        <w:ind w:right="80" w:firstLine="419"/>
        <w:spacing w:after="0" w:line="282" w:lineRule="auto"/>
        <w:tabs>
          <w:tab w:leader="none" w:pos="6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 will be used as described in Registration Statement, the Time of Sale Prospectus and the Prospectus under the caption “Use of Proceeds” and in the Press Releases.</w:t>
      </w:r>
    </w:p>
    <w:p>
      <w:pPr>
        <w:spacing w:after="0" w:line="54" w:lineRule="exact"/>
        <w:rPr>
          <w:sz w:val="20"/>
          <w:szCs w:val="20"/>
          <w:color w:val="auto"/>
        </w:rPr>
      </w:pPr>
    </w:p>
    <w:p>
      <w:pPr>
        <w:jc w:val="both"/>
        <w:ind w:right="160" w:firstLine="419"/>
        <w:spacing w:after="0" w:line="266"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Prospectus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w:t>
      </w:r>
    </w:p>
    <w:p>
      <w:pPr>
        <w:spacing w:after="0" w:line="67" w:lineRule="exact"/>
        <w:rPr>
          <w:rFonts w:ascii="Times New Roman" w:cs="Times New Roman" w:eastAsia="Times New Roman" w:hAnsi="Times New Roman"/>
          <w:sz w:val="18"/>
          <w:szCs w:val="18"/>
          <w:color w:val="auto"/>
        </w:rPr>
      </w:pPr>
    </w:p>
    <w:p>
      <w:pPr>
        <w:ind w:right="180" w:firstLine="419"/>
        <w:spacing w:after="0" w:line="282"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that would give rise to a valid claim against the Company or any Underwriter for a brokerage commission, finder’s fee or other like payment in connection with the Offering contemplated hereby.</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7" w:name="page18"/>
    <w:bookmarkEnd w:id="17"/>
    <w:p>
      <w:pPr>
        <w:ind w:firstLine="419"/>
        <w:spacing w:after="0" w:line="255"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 has not ceased its payments (</w:t>
      </w:r>
      <w:r>
        <w:rPr>
          <w:rFonts w:ascii="Times New Roman" w:cs="Times New Roman" w:eastAsia="Times New Roman" w:hAnsi="Times New Roman"/>
          <w:sz w:val="18"/>
          <w:szCs w:val="18"/>
          <w:i w:val="1"/>
          <w:iCs w:val="1"/>
          <w:color w:val="auto"/>
        </w:rPr>
        <w:t>cessation des paiements</w:t>
      </w:r>
      <w:r>
        <w:rPr>
          <w:rFonts w:ascii="Times New Roman" w:cs="Times New Roman" w:eastAsia="Times New Roman" w:hAnsi="Times New Roman"/>
          <w:sz w:val="18"/>
          <w:szCs w:val="18"/>
          <w:color w:val="auto"/>
        </w:rPr>
        <w:t>), (ii) is not subject to or has made an application for the appointment of an ad hoc representative (</w:t>
      </w:r>
      <w:r>
        <w:rPr>
          <w:rFonts w:ascii="Times New Roman" w:cs="Times New Roman" w:eastAsia="Times New Roman" w:hAnsi="Times New Roman"/>
          <w:sz w:val="18"/>
          <w:szCs w:val="18"/>
          <w:i w:val="1"/>
          <w:iCs w:val="1"/>
          <w:color w:val="auto"/>
        </w:rPr>
        <w:t>mandataire ad hoc</w:t>
      </w:r>
      <w:r>
        <w:rPr>
          <w:rFonts w:ascii="Times New Roman" w:cs="Times New Roman" w:eastAsia="Times New Roman" w:hAnsi="Times New Roman"/>
          <w:sz w:val="18"/>
          <w:szCs w:val="18"/>
          <w:color w:val="auto"/>
        </w:rPr>
        <w:t>) or judicial administrator, (iii) is not subject to and has not made an application to enter into a safeguard procedure (</w:t>
      </w:r>
      <w:r>
        <w:rPr>
          <w:rFonts w:ascii="Times New Roman" w:cs="Times New Roman" w:eastAsia="Times New Roman" w:hAnsi="Times New Roman"/>
          <w:sz w:val="18"/>
          <w:szCs w:val="18"/>
          <w:i w:val="1"/>
          <w:iCs w:val="1"/>
          <w:color w:val="auto"/>
        </w:rPr>
        <w:t>procédure de sauvegarde</w:t>
      </w:r>
      <w:r>
        <w:rPr>
          <w:rFonts w:ascii="Times New Roman" w:cs="Times New Roman" w:eastAsia="Times New Roman" w:hAnsi="Times New Roman"/>
          <w:sz w:val="18"/>
          <w:szCs w:val="18"/>
          <w:color w:val="auto"/>
        </w:rPr>
        <w:t>) or accelerated safeguard procedure (</w:t>
      </w:r>
      <w:r>
        <w:rPr>
          <w:rFonts w:ascii="Times New Roman" w:cs="Times New Roman" w:eastAsia="Times New Roman" w:hAnsi="Times New Roman"/>
          <w:sz w:val="18"/>
          <w:szCs w:val="18"/>
          <w:i w:val="1"/>
          <w:iCs w:val="1"/>
          <w:color w:val="auto"/>
        </w:rPr>
        <w:t>procédure de sauvegarde accélérée</w:t>
      </w:r>
      <w:r>
        <w:rPr>
          <w:rFonts w:ascii="Times New Roman" w:cs="Times New Roman" w:eastAsia="Times New Roman" w:hAnsi="Times New Roman"/>
          <w:sz w:val="18"/>
          <w:szCs w:val="18"/>
          <w:color w:val="auto"/>
        </w:rPr>
        <w:t>), (iv) is not subject and has not made an application to enter into a conciliation procedure (</w:t>
      </w:r>
      <w:r>
        <w:rPr>
          <w:rFonts w:ascii="Times New Roman" w:cs="Times New Roman" w:eastAsia="Times New Roman" w:hAnsi="Times New Roman"/>
          <w:sz w:val="18"/>
          <w:szCs w:val="18"/>
          <w:i w:val="1"/>
          <w:iCs w:val="1"/>
          <w:color w:val="auto"/>
        </w:rPr>
        <w:t>procédure de conciliation</w:t>
      </w:r>
      <w:r>
        <w:rPr>
          <w:rFonts w:ascii="Times New Roman" w:cs="Times New Roman" w:eastAsia="Times New Roman" w:hAnsi="Times New Roman"/>
          <w:sz w:val="18"/>
          <w:szCs w:val="18"/>
          <w:color w:val="auto"/>
        </w:rPr>
        <w:t>), (v) is not subject to and has not made an application for the transfer of the whole of the business (</w:t>
      </w:r>
      <w:r>
        <w:rPr>
          <w:rFonts w:ascii="Times New Roman" w:cs="Times New Roman" w:eastAsia="Times New Roman" w:hAnsi="Times New Roman"/>
          <w:sz w:val="18"/>
          <w:szCs w:val="18"/>
          <w:i w:val="1"/>
          <w:iCs w:val="1"/>
          <w:color w:val="auto"/>
        </w:rPr>
        <w:t>cession totale de l’entreprise</w:t>
      </w:r>
      <w:r>
        <w:rPr>
          <w:rFonts w:ascii="Times New Roman" w:cs="Times New Roman" w:eastAsia="Times New Roman" w:hAnsi="Times New Roman"/>
          <w:sz w:val="18"/>
          <w:szCs w:val="18"/>
          <w:color w:val="auto"/>
        </w:rPr>
        <w:t>) and (vi) has not filed notice of judicial reorganization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judicial liquidation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or voluntary liquidation, and no proceedings under any applicable laws before a court having competent jurisdiction over the Company, which has an analogous effect to any of the proceedings referred to have been initiated or requested.</w:t>
      </w:r>
    </w:p>
    <w:p>
      <w:pPr>
        <w:spacing w:after="0" w:line="78" w:lineRule="exact"/>
        <w:rPr>
          <w:rFonts w:ascii="Times New Roman" w:cs="Times New Roman" w:eastAsia="Times New Roman" w:hAnsi="Times New Roman"/>
          <w:sz w:val="18"/>
          <w:szCs w:val="18"/>
          <w:color w:val="auto"/>
        </w:rPr>
      </w:pPr>
    </w:p>
    <w:p>
      <w:pPr>
        <w:ind w:right="120" w:firstLine="419"/>
        <w:spacing w:after="0" w:line="269" w:lineRule="auto"/>
        <w:tabs>
          <w:tab w:leader="none" w:pos="74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None of the Company, any of its subsidiaries, or any director, officer or employee thereof, or, to the Company’s knowledge, any agent, affiliate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person to improperly influence official action by that person for the benefit of the Company or its subsidiaries or affiliates, or to otherwise secure any improper advantage, or to any person in violation of (a) the U.S. Foreign Corrupt Practices Act of 1977, (b) the UK Bribery Act 2010, or (c) any other applicable law, regulation, order, decree or directive having the force of law and relating to bribery or corruption (collectively, the “</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(ii) the Company and each of its subsidiaries and affiliates have conducted their businesses in compliance with Articles 432-11 et seq., 433-1 and 433-2, 433-22 to 433-25, 435-1 et seq. and 445-1 et seq. of the French Criminal Code or the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the Anti-Corruption Laws.</w:t>
      </w:r>
    </w:p>
    <w:p>
      <w:pPr>
        <w:spacing w:after="0" w:line="70" w:lineRule="exact"/>
        <w:rPr>
          <w:rFonts w:ascii="Times New Roman" w:cs="Times New Roman" w:eastAsia="Times New Roman" w:hAnsi="Times New Roman"/>
          <w:sz w:val="17"/>
          <w:szCs w:val="17"/>
          <w:color w:val="auto"/>
        </w:rPr>
      </w:pPr>
    </w:p>
    <w:p>
      <w:pPr>
        <w:ind w:right="20" w:firstLine="419"/>
        <w:spacing w:after="0" w:line="254" w:lineRule="auto"/>
        <w:tabs>
          <w:tab w:leader="none" w:pos="7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operations of the Company and each of its subsidiaries are and have been conducted at all times in material compliance with all applicable anti-money laundering laws, rules, and regulations, including the financial recordkeeping and reporting requirements contained therein, and including the Bank Secrecy Act of 1970, applicable provisions of the USA PATRIOT Act of 2001, the Money Laundering Control Act of 1986, and the Anti-Money Laundering Act of 2020,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including but not limited to, the </w:t>
      </w:r>
      <w:r>
        <w:rPr>
          <w:rFonts w:ascii="Times New Roman" w:cs="Times New Roman" w:eastAsia="Times New Roman" w:hAnsi="Times New Roman"/>
          <w:sz w:val="18"/>
          <w:szCs w:val="18"/>
          <w:i w:val="1"/>
          <w:iCs w:val="1"/>
          <w:color w:val="auto"/>
        </w:rPr>
        <w:t>Cellule française de lutte contre le blanchiment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capitaux et le financement du terrorisme </w:t>
      </w:r>
      <w:r>
        <w:rPr>
          <w:rFonts w:ascii="Times New Roman" w:cs="Times New Roman" w:eastAsia="Times New Roman" w:hAnsi="Times New Roman"/>
          <w:sz w:val="18"/>
          <w:szCs w:val="18"/>
          <w:color w:val="auto"/>
        </w:rPr>
        <w:t>(TRACFIN) and the</w:t>
      </w:r>
      <w:r>
        <w:rPr>
          <w:rFonts w:ascii="Times New Roman" w:cs="Times New Roman" w:eastAsia="Times New Roman" w:hAnsi="Times New Roman"/>
          <w:sz w:val="18"/>
          <w:szCs w:val="18"/>
          <w:i w:val="1"/>
          <w:iCs w:val="1"/>
          <w:color w:val="auto"/>
        </w:rPr>
        <w:t xml:space="preserve"> Office central pour la répression de la grande délinquance </w:t>
      </w:r>
      <w:r>
        <w:rPr>
          <w:rFonts w:ascii="Times New Roman" w:cs="Times New Roman" w:eastAsia="Times New Roman" w:hAnsi="Times New Roman"/>
          <w:sz w:val="18"/>
          <w:szCs w:val="18"/>
          <w:color w:val="auto"/>
        </w:rPr>
        <w:t>financière (OCRGDF)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68" w:right="459" w:bottom="1440" w:gutter="0" w:footer="0" w:header="0"/>
        </w:sectPr>
      </w:pPr>
    </w:p>
    <w:bookmarkStart w:id="18" w:name="page19"/>
    <w:bookmarkEnd w:id="18"/>
    <w:p>
      <w:pPr>
        <w:ind w:right="140" w:firstLine="419"/>
        <w:spacing w:after="0" w:line="266"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80" w:firstLine="391"/>
        <w:spacing w:after="0" w:line="261" w:lineRule="auto"/>
        <w:tabs>
          <w:tab w:leader="none" w:pos="165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United States Government (including the U.S. Department of the Treasury’s Office of Foreign Assets Control and the U.S. Department of State), the United Nations Security Council, the European Union, His Majesty’s Treasury, the French Treasury or any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71" w:lineRule="exact"/>
        <w:rPr>
          <w:rFonts w:ascii="Times New Roman" w:cs="Times New Roman" w:eastAsia="Times New Roman" w:hAnsi="Times New Roman"/>
          <w:sz w:val="18"/>
          <w:szCs w:val="18"/>
          <w:color w:val="auto"/>
        </w:rPr>
      </w:pPr>
    </w:p>
    <w:p>
      <w:pPr>
        <w:jc w:val="both"/>
        <w:ind w:left="980" w:right="40" w:firstLine="391"/>
        <w:spacing w:after="0" w:line="289" w:lineRule="auto"/>
        <w:tabs>
          <w:tab w:leader="none" w:pos="1648"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and North Korea) (each, a “</w:t>
      </w:r>
      <w:r>
        <w:rPr>
          <w:rFonts w:ascii="Times New Roman" w:cs="Times New Roman" w:eastAsia="Times New Roman" w:hAnsi="Times New Roman"/>
          <w:sz w:val="17"/>
          <w:szCs w:val="17"/>
          <w:b w:val="1"/>
          <w:bCs w:val="1"/>
          <w:color w:val="auto"/>
        </w:rPr>
        <w:t>Sanctioned Country</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firstLine="948"/>
        <w:spacing w:after="0" w:line="266" w:lineRule="auto"/>
        <w:tabs>
          <w:tab w:leader="none" w:pos="12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 have not, since the more recent of April 24, 2019 or 10 years prior to the date of the Agreement, engaged in, (b) are not now engaged in, and (c) will not engage in, any dealings or transactions with any Person, or in any country or territory, that at the time of the dealing or transaction is or was, the subject of Sanctions or a Sanctioned Country, respectively.</w:t>
      </w:r>
    </w:p>
    <w:p>
      <w:pPr>
        <w:spacing w:after="0" w:line="67" w:lineRule="exact"/>
        <w:rPr>
          <w:rFonts w:ascii="Times New Roman" w:cs="Times New Roman" w:eastAsia="Times New Roman" w:hAnsi="Times New Roman"/>
          <w:sz w:val="18"/>
          <w:szCs w:val="18"/>
          <w:color w:val="auto"/>
        </w:rPr>
      </w:pPr>
    </w:p>
    <w:p>
      <w:pPr>
        <w:ind w:right="200" w:firstLine="948"/>
        <w:spacing w:after="0" w:line="282" w:lineRule="auto"/>
        <w:tabs>
          <w:tab w:leader="none" w:pos="12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180" w:firstLine="391"/>
        <w:spacing w:after="0" w:line="282" w:lineRule="auto"/>
        <w:tabs>
          <w:tab w:leader="none" w:pos="165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 a Sanctioned Country, respectively;</w:t>
      </w:r>
    </w:p>
    <w:p>
      <w:pPr>
        <w:spacing w:after="0" w:line="53"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money laundering or terrorist financing activities; or</w:t>
      </w:r>
    </w:p>
    <w:p>
      <w:pPr>
        <w:spacing w:after="0" w:line="117" w:lineRule="exact"/>
        <w:rPr>
          <w:rFonts w:ascii="Times New Roman" w:cs="Times New Roman" w:eastAsia="Times New Roman" w:hAnsi="Times New Roman"/>
          <w:sz w:val="18"/>
          <w:szCs w:val="18"/>
          <w:color w:val="auto"/>
        </w:rPr>
      </w:pPr>
    </w:p>
    <w:p>
      <w:pPr>
        <w:ind w:left="980" w:right="40" w:firstLine="391"/>
        <w:spacing w:after="0" w:line="266" w:lineRule="auto"/>
        <w:tabs>
          <w:tab w:leader="none" w:pos="164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would cause or result in a violation of any Anti-Corruption Laws, Anti-Money Laundering Laws, or Sanctions by any Person (including any Person participating in the Offering, whether as underwriter, advisor, investor or otherwise).</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20"/>
          </w:cols>
          <w:pgMar w:left="880" w:top="270" w:right="499" w:bottom="1440" w:gutter="0" w:footer="0" w:header="0"/>
        </w:sectPr>
      </w:pPr>
    </w:p>
    <w:bookmarkStart w:id="19" w:name="page20"/>
    <w:bookmarkEnd w:id="19"/>
    <w:p>
      <w:pPr>
        <w:ind w:firstLine="948"/>
        <w:spacing w:after="0" w:line="255" w:lineRule="auto"/>
        <w:tabs>
          <w:tab w:leader="none" w:pos="12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conducted and will conduct their businesses in compliance with the Anti-Corruption Laws, the Anti-Money Laundering Laws, and Sanctions, and no investigation, inquiry, action, suit or proceeding by or before any court or governmental agency, authority or body or any arbitrator involving the Company or any of its subsidiaries with respect to the Anti-Corruption Laws, the Anti-Money Laundering Laws or Sanctions is pending or, to the knowledge of the Company, threatened. The Company and its subsidiaries and affiliates have instituted and maintained and will continue to maintain policies and procedures reasonably designed to promote and achieve compliance with the Anti-Corruption Laws, the Anti-Money Laundering Laws, Sanctions, and with the representations and warranties contained herein.</w:t>
      </w:r>
    </w:p>
    <w:p>
      <w:pPr>
        <w:spacing w:after="0" w:line="80" w:lineRule="exact"/>
        <w:rPr>
          <w:rFonts w:ascii="Times New Roman" w:cs="Times New Roman" w:eastAsia="Times New Roman" w:hAnsi="Times New Roman"/>
          <w:sz w:val="18"/>
          <w:szCs w:val="18"/>
          <w:color w:val="auto"/>
        </w:rPr>
      </w:pPr>
    </w:p>
    <w:p>
      <w:pPr>
        <w:ind w:right="20" w:firstLine="419"/>
        <w:spacing w:after="0" w:line="258"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80" w:firstLine="419"/>
        <w:spacing w:after="0" w:line="255" w:lineRule="auto"/>
        <w:tabs>
          <w:tab w:leader="none" w:pos="6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to all real property and good and marketable title to all personal property owned by them (other than Intellectual Property, which is addressed by subsection (jj) below)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0" w:name="page21"/>
    <w:bookmarkEnd w:id="20"/>
    <w:p>
      <w:pPr>
        <w:ind w:left="4" w:firstLine="419"/>
        <w:spacing w:after="0" w:line="251" w:lineRule="auto"/>
        <w:tabs>
          <w:tab w:leader="none" w:pos="6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Company and its subsidiaries own or have valid and, to the knowledge of the Company, binding and enforceable licenses or other rights under the patents, patent applications, licenses, inventions, copyrights (including software related copyrights), know-how (including trade secrets and other unpatented and/or unpatentable proprietary or confidential information, systems or procedures), trademarks, service marks, trade names or other intellectual property necessary for, or used in the conduct, or the proposed conduct as described in the Registration Statement, the Time of Sale Prospectus, the Prospectus or the Information Documents, of their businesses in the manner described in the Registration Statement, the Time of Sale Prospectus, the Prospectus and the Information Documents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(ii) the patents, trademarks and copyrights (including software related copyrights), if any, included within the Intellectual Property are valid, enforceable and subsisting; (iii) except as described in the Registration Statement, the Time of Sale Prospectus, the Prospectus and the Information Documents, neither the Company nor any of its subsidiaries is obligated to pay a material royalty, grant a license to or provide other material consideration to any third party in connection with the Intellectual Property; (iv) neither the Company nor any of its subsidiaries has received any notice of any claim of infringement, misappropriation or conflict with any asserted rights of others with respect to any of the Company’s drug candidates, services, processes or Intellectual Property; (v) to the knowledge of the Company, neither the sale nor use of any of the drug candidates, services or processes of the Company and its subsidiaries referred to in the Registration Statement, the Time of Sale Prospectus, the Prospectus or the Information Documents do or will, to the knowledge of the Company, infringe, misappropriate or violate any right or valid patent claim of any third party; (vi) none of the technology employed by the Company or its subsidiaries has been obtained or is being used by the Company or its subsidiaries in material violation of any contractual obligation binding on the Company or its subsidiaries or, to the Company’s knowledge, upon any of its or their officers, directors or employees or otherwise in violation of the rights of any persons; (vii) to the knowledge of the Company, no third party has any ownership right in or to any Intellectual Property that is owned by the Company or its subsidiaries, other than any co-owner of any patent constituting Intellectual Property who is listed on the records of the U.S. Patent and Trademark Office (the “</w:t>
      </w:r>
      <w:r>
        <w:rPr>
          <w:rFonts w:ascii="Times New Roman" w:cs="Times New Roman" w:eastAsia="Times New Roman" w:hAnsi="Times New Roman"/>
          <w:sz w:val="18"/>
          <w:szCs w:val="18"/>
          <w:b w:val="1"/>
          <w:bCs w:val="1"/>
          <w:color w:val="auto"/>
        </w:rPr>
        <w:t>USPTO</w:t>
      </w:r>
      <w:r>
        <w:rPr>
          <w:rFonts w:ascii="Times New Roman" w:cs="Times New Roman" w:eastAsia="Times New Roman" w:hAnsi="Times New Roman"/>
          <w:sz w:val="18"/>
          <w:szCs w:val="18"/>
          <w:color w:val="auto"/>
        </w:rPr>
        <w:t>”) or any foreign or international patent authority, and any co-owner of any patent application constituting Intellectual Property who is named in such patent application, and, to the knowledge of the Company, no third party has any ownership right in or to any Intellectual Property in any field of use that is exclusively licensed to the Company or its subsidiaries, other than any licensor to the Company or its subsidiaries of such Intellectual Property;</w:t>
      </w:r>
    </w:p>
    <w:p>
      <w:pPr>
        <w:spacing w:after="0" w:line="7" w:lineRule="exact"/>
        <w:rPr>
          <w:rFonts w:ascii="Times New Roman" w:cs="Times New Roman" w:eastAsia="Times New Roman" w:hAnsi="Times New Roman"/>
          <w:sz w:val="18"/>
          <w:szCs w:val="18"/>
          <w:color w:val="auto"/>
        </w:rPr>
      </w:pPr>
    </w:p>
    <w:p>
      <w:pPr>
        <w:ind w:left="4" w:right="20" w:hanging="4"/>
        <w:spacing w:after="0" w:line="252" w:lineRule="auto"/>
        <w:tabs>
          <w:tab w:leader="none" w:pos="4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material infringement by third parties of any Intellectual Property; (ix) there is no pending or, to the Company’s knowledge, threatened action, suit, proceeding or claim by others challenging the Company’s or any of its subsidiaries’ rights in, or to, any Intellectual Property; and (x) there is no pending or, to the Company’s knowledge, threatened action, suit, proceeding or claim by others challenging the validity or scope of any Intellectual Property. The Company and each of its subsidiaries is in compliance with the terms of each agreement pursuant to which Intellectual Property has been licensed to the Company or its subsidiaries, as applicable, and all such agreements are in full force and effect.</w:t>
      </w:r>
    </w:p>
    <w:p>
      <w:pPr>
        <w:spacing w:after="0" w:line="12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4"/>
          </w:cols>
          <w:pgMar w:left="876" w:top="270" w:right="439" w:bottom="1440" w:gutter="0" w:footer="0" w:header="0"/>
        </w:sectPr>
      </w:pPr>
    </w:p>
    <w:bookmarkStart w:id="21" w:name="page22"/>
    <w:bookmarkEnd w:id="21"/>
    <w:p>
      <w:pPr>
        <w:ind w:left="4" w:right="20" w:firstLine="419"/>
        <w:spacing w:after="0" w:line="252" w:lineRule="auto"/>
        <w:tabs>
          <w:tab w:leader="none" w:pos="7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have a material adverse effect on the Company and its subsidiaries, taken as a whole, all patents and patent applications owned by or licensed to the Company or under which the Company has rights have, to the knowledge of the Company, been duly and properly filed and maintained; to the knowledge of the Company, the parties prosecuting such patent applications have complied with their duty of candor and disclosure to the USPTO, the European Patent Office (the “</w:t>
      </w:r>
      <w:r>
        <w:rPr>
          <w:rFonts w:ascii="Times New Roman" w:cs="Times New Roman" w:eastAsia="Times New Roman" w:hAnsi="Times New Roman"/>
          <w:sz w:val="18"/>
          <w:szCs w:val="18"/>
          <w:b w:val="1"/>
          <w:bCs w:val="1"/>
          <w:color w:val="auto"/>
        </w:rPr>
        <w:t>EPO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Institut National de la Propriété Industrielle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INPI</w:t>
      </w:r>
      <w:r>
        <w:rPr>
          <w:rFonts w:ascii="Times New Roman" w:cs="Times New Roman" w:eastAsia="Times New Roman" w:hAnsi="Times New Roman"/>
          <w:sz w:val="18"/>
          <w:szCs w:val="18"/>
          <w:color w:val="auto"/>
        </w:rPr>
        <w:t>”) and/or any foreign or international patent authority, as applicable, in connection with such applications; and the Company is not aware of any facts required to be disclosed to the USPTO, the EPO, the INPI and/or any foreign or international patent authority, as applicable, that were not disclosed to the USPTO, the EPO, the INPI and/or any foreign or international patent authority, as applicable, that would preclude the grant of a patent in connection with any such application or would reasonably be expected to form the basis of a finding of invalidity with respect to any patents that have issued with respect to such applications. To the Company’s knowledge, all patents and patent applications owned by the Company and filed with the USPTO or any foreign or international patent authority (the “</w:t>
      </w:r>
      <w:r>
        <w:rPr>
          <w:rFonts w:ascii="Times New Roman" w:cs="Times New Roman" w:eastAsia="Times New Roman" w:hAnsi="Times New Roman"/>
          <w:sz w:val="18"/>
          <w:szCs w:val="18"/>
          <w:b w:val="1"/>
          <w:bCs w:val="1"/>
          <w:color w:val="auto"/>
        </w:rPr>
        <w:t>Company Patent Rights</w:t>
      </w:r>
      <w:r>
        <w:rPr>
          <w:rFonts w:ascii="Times New Roman" w:cs="Times New Roman" w:eastAsia="Times New Roman" w:hAnsi="Times New Roman"/>
          <w:sz w:val="18"/>
          <w:szCs w:val="18"/>
          <w:color w:val="auto"/>
        </w:rPr>
        <w:t>”), all patents and patent applications in-licensed by the Company and filed with the USPTO, the EPO and/or the INPI, as applicable, and any foreign or international patent authority (the “</w:t>
      </w:r>
      <w:r>
        <w:rPr>
          <w:rFonts w:ascii="Times New Roman" w:cs="Times New Roman" w:eastAsia="Times New Roman" w:hAnsi="Times New Roman"/>
          <w:sz w:val="18"/>
          <w:szCs w:val="18"/>
          <w:b w:val="1"/>
          <w:bCs w:val="1"/>
          <w:color w:val="auto"/>
        </w:rPr>
        <w:t>In-licensed Patent Rights</w:t>
      </w:r>
      <w:r>
        <w:rPr>
          <w:rFonts w:ascii="Times New Roman" w:cs="Times New Roman" w:eastAsia="Times New Roman" w:hAnsi="Times New Roman"/>
          <w:sz w:val="18"/>
          <w:szCs w:val="18"/>
          <w:color w:val="auto"/>
        </w:rPr>
        <w:t>”) have been duly and properly filed; the Company believes it has complied with its duty of candor and disclosure to the USPTO, the EPO, the INPI and/or any foreign or international patent authority, as applicable, for the Company Patent Rights and, to the Company’s knowledge, the licensors of the In-licensed Patent Rights have complied with their duty of candor and disclosure to the USPTO, the EPO, the INPI and/or any foreign or international patent authority, as applicable, for the In-licensed Patent Rights.</w:t>
      </w:r>
    </w:p>
    <w:p>
      <w:pPr>
        <w:spacing w:after="0" w:line="87" w:lineRule="exact"/>
        <w:rPr>
          <w:rFonts w:ascii="Times New Roman" w:cs="Times New Roman" w:eastAsia="Times New Roman" w:hAnsi="Times New Roman"/>
          <w:sz w:val="18"/>
          <w:szCs w:val="18"/>
          <w:color w:val="auto"/>
        </w:rPr>
      </w:pPr>
    </w:p>
    <w:p>
      <w:pPr>
        <w:ind w:left="4" w:firstLine="419"/>
        <w:spacing w:after="0" w:line="268" w:lineRule="auto"/>
        <w:tabs>
          <w:tab w:leader="none" w:pos="69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7"/>
          <w:szCs w:val="17"/>
          <w:b w:val="1"/>
          <w:bCs w:val="1"/>
          <w:color w:val="auto"/>
        </w:rPr>
        <w:t>Open Source Software</w:t>
      </w:r>
      <w:r>
        <w:rPr>
          <w:rFonts w:ascii="Times New Roman" w:cs="Times New Roman" w:eastAsia="Times New Roman" w:hAnsi="Times New Roman"/>
          <w:sz w:val="17"/>
          <w:szCs w:val="17"/>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redistributed at no charge.</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22" w:name="page23"/>
    <w:bookmarkEnd w:id="22"/>
    <w:p>
      <w:pPr>
        <w:ind w:firstLine="419"/>
        <w:spacing w:after="0" w:line="251" w:lineRule="auto"/>
        <w:tabs>
          <w:tab w:leader="none" w:pos="8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Company and each of its subsidiaries have operated their businesses in a manner compliant (except where such failure to operate or non-compliance would not, singly or in the aggregate, have a material adverse effect on the Company and its subsidiaries, taken as a whole) with all applicable United States federal, state, local and non-United States privacy (including, but not limited to, the General Data Protection Regulation (EU) 2016/679 and the French Act No. 78-17 of January 6, 1978 on Information Technology, Data Files and Civil Liberties), data security and data protection laws and regulations applicable to their collection, use, transfer, protection, disposal, disclosure, handling, hosting, storage and analysis of personal data; (ii) the Company and each of its subsidiaries have implemented internal policies and procedures designed to ensure the integrity, confidentiality and security of the data processed in connection with their businesses and comply in all material respects with such approved internal policies and procedures; (iii) the Company and each of its subsidiaries have been, and are presently in compliance in all material respects with internal policies and procedures designed to ensure compliance with the Health Care Laws that govern privacy and data security and take, and have taken appropriate steps designed to assure compliance with such policies and procedures; (iv) the Company and each of its subsidiaries have taken adequate steps designed to maintain the confidentiality of its personally identifiable information, health information, consumer and consumer related information and other confidential information of the Company, its subsidiaries and any third parties in its possession (“</w:t>
      </w:r>
      <w:r>
        <w:rPr>
          <w:rFonts w:ascii="Times New Roman" w:cs="Times New Roman" w:eastAsia="Times New Roman" w:hAnsi="Times New Roman"/>
          <w:sz w:val="18"/>
          <w:szCs w:val="18"/>
          <w:b w:val="1"/>
          <w:bCs w:val="1"/>
          <w:color w:val="auto"/>
        </w:rPr>
        <w:t>Sensitive Company Data</w:t>
      </w:r>
      <w:r>
        <w:rPr>
          <w:rFonts w:ascii="Times New Roman" w:cs="Times New Roman" w:eastAsia="Times New Roman" w:hAnsi="Times New Roman"/>
          <w:sz w:val="18"/>
          <w:szCs w:val="18"/>
          <w:color w:val="auto"/>
        </w:rPr>
        <w:t>”); (v) the tangible or digital information technology systems (including computers, screens, servers, workstations, routers, hubs, switches, networks, data communications lines, technical data and hardware), software and telecommunications systems used or held for use by the Company and its subsidiaries (the “</w:t>
      </w:r>
      <w:r>
        <w:rPr>
          <w:rFonts w:ascii="Times New Roman" w:cs="Times New Roman" w:eastAsia="Times New Roman" w:hAnsi="Times New Roman"/>
          <w:sz w:val="18"/>
          <w:szCs w:val="18"/>
          <w:b w:val="1"/>
          <w:bCs w:val="1"/>
          <w:color w:val="auto"/>
        </w:rPr>
        <w:t>Company IT Assets</w:t>
      </w:r>
      <w:r>
        <w:rPr>
          <w:rFonts w:ascii="Times New Roman" w:cs="Times New Roman" w:eastAsia="Times New Roman" w:hAnsi="Times New Roman"/>
          <w:sz w:val="18"/>
          <w:szCs w:val="18"/>
          <w:color w:val="auto"/>
        </w:rPr>
        <w:t>”) are adequate and operational for, in accordance with their documentation and functional specifications, the business of the Company and its subsidiaries as now operated and as currently proposed to be conducted as described in the Registration Statement, the Time of Sale Prospectus, the Prospectus and the Information Documents; (vi) the Company and each of its subsidiaries have established disaster recovery and security plans, procedures and facilities for the business consistent with industry standards and practices in France, including, without limitation, for the Company IT Assets and data held or used by or for the Company and its subsidiaries; (vii) the Company and its subsidiaries have not suffered or incurred any security breaches, personal data breaches, compromises or incidents with respect to any Company IT Asset or Sensitive Company Data, except where such breaches, compromises or incidents would not, singly or in the aggregate, have a material adverse effect on the Company and its subsidiaries, taken as a whole; (viii) there has been no unauthorized or illegal use of or access to any Company IT Asset or Sensitive Company Data by any unauthorized third party that has resulted, or would result, in a material adverse effect on the Company and its subsidiaries, taken as a whole; (ix) the Company and its subsidiaries have not been required to notify any individual or authority of any material information security breach, personal data breach, compromise or incident involving Sensitive Company Data; and (x) the Company and its subsidiaries have never been subject to a control procedure of a data protection authority or to a complaint lodged before a data protection authority.</w:t>
      </w:r>
    </w:p>
    <w:p>
      <w:pPr>
        <w:spacing w:after="0" w:line="1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880" w:top="270" w:right="439" w:bottom="1440" w:gutter="0" w:footer="0" w:header="0"/>
        </w:sectPr>
      </w:pPr>
    </w:p>
    <w:bookmarkStart w:id="23" w:name="page24"/>
    <w:bookmarkEnd w:id="23"/>
    <w:p>
      <w:pPr>
        <w:ind w:left="4" w:firstLine="419"/>
        <w:spacing w:after="0" w:line="267" w:lineRule="auto"/>
        <w:tabs>
          <w:tab w:leader="none" w:pos="77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 is and at all times has been in material compliance with all statutes, rules or regulations of the FDA and other comparable governmental entities applicable to the ownership, testing, development, manufacture, packaging, processing, use, distribution, marketing, labeling, promotion, sale, offer for sale, storage, import, export or disposal of any product under development, manufactured or distributed by the Company (“</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(ii) has not received any FDA Form 483, notice of adverse finding, warning letter, untitled letter or other correspondence or notice from the FDA or any governmental authority alleging or asserting material noncompliance with any Applicable Laws or any licenses, certificates, approvals, clearances, exemptions, authorizations, permits and supplements or amendments thereto required by any such Applicable Laws (“</w:t>
      </w:r>
      <w:r>
        <w:rPr>
          <w:rFonts w:ascii="Times New Roman" w:cs="Times New Roman" w:eastAsia="Times New Roman" w:hAnsi="Times New Roman"/>
          <w:sz w:val="17"/>
          <w:szCs w:val="17"/>
          <w:b w:val="1"/>
          <w:bCs w:val="1"/>
          <w:color w:val="auto"/>
        </w:rPr>
        <w:t>Authorizations</w:t>
      </w:r>
      <w:r>
        <w:rPr>
          <w:rFonts w:ascii="Times New Roman" w:cs="Times New Roman" w:eastAsia="Times New Roman" w:hAnsi="Times New Roman"/>
          <w:sz w:val="17"/>
          <w:szCs w:val="17"/>
          <w:color w:val="auto"/>
        </w:rPr>
        <w:t>”); (iii) possesses all material Authorizations and such Authorizations are valid and in full force and effect and the Company is not in material violation of any term of any such Authorizations; (iv) has not received notice of any claim, action, suit, proceeding, hearing, enforcement, investigation, arbitration or other action from the FDA or any governmental authority or third party alleging that any product operation or activity is in material violation of any Applicable Laws or Authorizations and has no knowledge that the FDA or any governmental authority or third party is considering any such claim, litigation, arbitration, action, suit, investigation or proceeding;</w:t>
      </w:r>
    </w:p>
    <w:p>
      <w:pPr>
        <w:spacing w:after="0" w:line="2" w:lineRule="exact"/>
        <w:rPr>
          <w:rFonts w:ascii="Times New Roman" w:cs="Times New Roman" w:eastAsia="Times New Roman" w:hAnsi="Times New Roman"/>
          <w:sz w:val="17"/>
          <w:szCs w:val="17"/>
          <w:color w:val="auto"/>
        </w:rPr>
      </w:pPr>
    </w:p>
    <w:p>
      <w:pPr>
        <w:ind w:left="4" w:right="200" w:hanging="4"/>
        <w:spacing w:after="0" w:line="252"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received notice that the FDA or any governmental authority has taken, is taking or intends to take action to limit, suspend, modify or revoke any material Authorizations and has no knowledge that the FDA or any governmental authority is considering such action; and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w:t>
      </w:r>
    </w:p>
    <w:p>
      <w:pPr>
        <w:spacing w:after="0" w:line="81" w:lineRule="exact"/>
        <w:rPr>
          <w:rFonts w:ascii="Times New Roman" w:cs="Times New Roman" w:eastAsia="Times New Roman" w:hAnsi="Times New Roman"/>
          <w:sz w:val="18"/>
          <w:szCs w:val="18"/>
          <w:color w:val="auto"/>
        </w:rPr>
      </w:pPr>
    </w:p>
    <w:p>
      <w:pPr>
        <w:ind w:left="4" w:firstLine="419"/>
        <w:spacing w:after="0" w:line="251" w:lineRule="auto"/>
        <w:tabs>
          <w:tab w:leader="none" w:pos="7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operated and currently is in compliance with all applicable health care laws, rules and regulations (except where such failure to operate or non-compliance would not, singly or in the aggregate, have a material adverse effect on the Company and its subsidiaries, taken as a whole), including, without limitation and in each case to the extent applicable, (i) the Federal, Food, Drug and Cosmetic Act (21 U.S.C. §§ 301 et seq.); (ii) all federal, state, local and foreign healthcare related fraud and abuse laws, including, without limitation, the federal Anti-kickback Statute (42 U.S.C. § 1320a-7b(b)), the U.S. Physician Payments Sunshine Act (42 U.S.C. § 1320a-7h), the civil False Claims Act (31 U.S.C. §§ 3729 et seq.), the criminal False Claims Law (42 U.S.C. § 1320a-7b(a)), all criminal laws relating to healthcare fraud and abuse, including but not limited to, 18 U.S.C. §§ 286 and 287, the healthcare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 1320d et seq.), the exclusions law (42 U.S.C. § 1320a-7), and the civil monetary penalties law (42 U.S.C. § 1320a-7a); (iii) HIPAA, as amended by the Health Information Technology for Economic Clinical Health Act (42 U.S.C. Section 17921 et seq.); (iv) the regulations promulgated pursuant to such laws; and (v) any other similar local, state, federal, or foreign laws including French laws (collectively, the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from any court or arbitrator or governmental or regulatory authority or third party alleging that any product operation or activity is in material violation of any Health Care Laws, and, to the Company’s knowledge, no such claim, action, suit, proceeding, hearing, enforcement, investigation, arbitration or other action is threatened. The Company is not a party and does not have any material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to the Company’s knowledge, any of its employees, officers or directors, has been excluded, suspended or debarred from participation in any U.S. state or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3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24" w:name="page25"/>
    <w:bookmarkEnd w:id="24"/>
    <w:p>
      <w:pPr>
        <w:ind w:firstLine="419"/>
        <w:spacing w:after="0" w:line="253"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studies, tests and preclinical and clinical trials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conducted by or, to the Company’s knowledge, on behalf of, the Company were and, if still ongoing, are being conducted in all material respects in accordance with experimental protocols, procedures and controls pursuant to accepted professional scientific standards and all Authorizations and Applicable Laws, including, without limitation, the Federal Food, Drug and Cosmetic Act and the rules and regulations promulgated thereunder and the rules and regulations of the EMA; the descriptions of the results of such studies contained in the Registration Statement, the Time of Sale Prospectus, the Prospectus and the Public Documents are accurate and complete in all material respects and fairly present the data derived from such studies; the Company is not aware of any studies, tests or trials, the results of which the Company believes reasonably call into question the study, test or trial results described or referred to in the Registration Statement, the Time of Sale Prospectus, the Prospectus and the Public Documents when viewed in the context in which such results are described and the clinical state of development; the Company has made all such filings and obtained all such approvals as may be required by the FDA or from any other U.S. or foreign government or drug or medical device regulatory agency (including, the EMA, the ANSM, or health care facility Institutional Review Board or any other governmental or regulatory authority to which they are subject) and, the Company has not received any notices or correspondence from the FDA or any governmental body, agency or court requiring the termination or suspension of any studies, tests or preclinical or clinical trials conducted by or on behalf of the Company, other than ordinary course communications with respect to modifications in connection with the design and implementation of such trials, copies of which communications have been made available to the Underwriters.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66" w:right="459" w:bottom="1440" w:gutter="0" w:footer="0" w:header="0"/>
        </w:sectPr>
      </w:pPr>
    </w:p>
    <w:bookmarkStart w:id="25" w:name="page26"/>
    <w:bookmarkEnd w:id="25"/>
    <w:p>
      <w:pPr>
        <w:ind w:right="80" w:firstLine="419"/>
        <w:spacing w:after="0" w:line="261" w:lineRule="auto"/>
        <w:tabs>
          <w:tab w:leader="none" w:pos="7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reasonably be expected to,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carry or are entitled to the benefits of insurance, with financially sound and reputable insurers, in such amounts and covering such risks as is generally maintained by companies of established repute engaged in the same or similar business in France, and all such insurance is in full force and effect, except as would not, singly or in the aggregate, have a material adverse effect on the Company and its subsidiaries, taken as a whole. The Company has no reason to believe that it or any of its subsidiaries will not be able to renew its existing insurance coverage as and when such policies expire or to obtain comparable coverage from similar institutions, as may be necessary or appropriate to conduct its business as now conducted and at a cost that would not, singly or in the aggregate, have a material adverse effect on the Company and its subsidiaries, taken as a whole. Neither the Company nor any of its subsidiaries has been denied any insurance coverage which it has sought or for which it has applied.</w:t>
      </w:r>
    </w:p>
    <w:p>
      <w:pPr>
        <w:spacing w:after="0" w:line="8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possess all permits, licenses, approvals, consents and other authorizations (collectively,</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Licenses</w:t>
      </w:r>
      <w:r>
        <w:rPr>
          <w:rFonts w:ascii="Times New Roman" w:cs="Times New Roman" w:eastAsia="Times New Roman" w:hAnsi="Times New Roman"/>
          <w:sz w:val="18"/>
          <w:szCs w:val="18"/>
          <w:color w:val="auto"/>
        </w:rPr>
        <w:t>”) issued by the appropriate governmental entities necessary to conduct the business now operated by them (including, without limitation, all such permits, licenses, approvals, consents and other authorizations required by the FDA, the EMA, or any other federal, state, local or foreign agencies or bodies engaged in the regulation of clinical or preclinical studies, pharmaceuticals, biologics, biohazardous substances or activities related to the business now operated by the Company and its subsidiaries), except where the failure so to possess would not, singly or in the aggregate, have a material adverse effect on the Company and its subsidiaries, taken as a whole. The Company and each of its subsidiaries are in compliance with the terms and conditions of all Governmental Licenses, except where the failure so to comply would not, singly or in the aggregate, have a material adverse effect on the Company and its subsidiaries, taken as a whole. The Company has fulfilled and performed all of its material obligations with respect to the Governmental Licenses and, to the knowledge of the Company, no event has occurred which allows, or after notice or lapse of time would allow, revocation or termination thereof or results in any other material impairment of the rights of the Company as a holder of any permit, except where the failure to so fulfill or perform, or the occurrence of such event, would not, singly or in the aggregate, have a material adverse effect on the Company and its subsidiaries, taken as a whole. All of the Governmental Licenses are valid and in full force and effect, except where the invalidity of such Governmental Licenses or the failure of such Governmental Licenses to be in full force and effect would not, singly or in the aggregate, have a material adverse effect on the Company and its subsidiaries, taken as a whole. Neither the Company nor any of its subsidiaries has received any notice of proceedings relating to the revocation or modification of any Governmental Licenses which, singly or in the aggregate, if the subject of an unfavorable decision, ruling or finding, would have a material adverse effect on the Company and its subsidiaries, taken as a whole.</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0"/>
          </w:cols>
          <w:pgMar w:left="880" w:top="270" w:right="479" w:bottom="1440" w:gutter="0" w:footer="0" w:header="0"/>
        </w:sectPr>
      </w:pPr>
    </w:p>
    <w:bookmarkStart w:id="26" w:name="page27"/>
    <w:bookmarkEnd w:id="26"/>
    <w:p>
      <w:pPr>
        <w:ind w:firstLine="419"/>
        <w:spacing w:after="0" w:line="267" w:lineRule="auto"/>
        <w:tabs>
          <w:tab w:leader="none" w:pos="68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financial statements included or incorporated by reference in each of the Registration Statement, the Time of Sale Prospectus and the Prospectus, together with the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International Financial Reporting Standards (“</w:t>
      </w:r>
      <w:r>
        <w:rPr>
          <w:rFonts w:ascii="Times New Roman" w:cs="Times New Roman" w:eastAsia="Times New Roman" w:hAnsi="Times New Roman"/>
          <w:sz w:val="17"/>
          <w:szCs w:val="17"/>
          <w:b w:val="1"/>
          <w:bCs w:val="1"/>
          <w:color w:val="auto"/>
        </w:rPr>
        <w:t>IFRS</w:t>
      </w:r>
      <w:r>
        <w:rPr>
          <w:rFonts w:ascii="Times New Roman" w:cs="Times New Roman" w:eastAsia="Times New Roman" w:hAnsi="Times New Roman"/>
          <w:sz w:val="17"/>
          <w:szCs w:val="17"/>
          <w:color w:val="auto"/>
        </w:rPr>
        <w:t>”), as issued by the International Accounting Standard Board (“</w:t>
      </w:r>
      <w:r>
        <w:rPr>
          <w:rFonts w:ascii="Times New Roman" w:cs="Times New Roman" w:eastAsia="Times New Roman" w:hAnsi="Times New Roman"/>
          <w:sz w:val="17"/>
          <w:szCs w:val="17"/>
          <w:b w:val="1"/>
          <w:bCs w:val="1"/>
          <w:color w:val="auto"/>
        </w:rPr>
        <w:t>IASB</w:t>
      </w:r>
      <w:r>
        <w:rPr>
          <w:rFonts w:ascii="Times New Roman" w:cs="Times New Roman" w:eastAsia="Times New Roman" w:hAnsi="Times New Roman"/>
          <w:sz w:val="17"/>
          <w:szCs w:val="17"/>
          <w:color w:val="auto"/>
        </w:rPr>
        <w:t>”) applied on a consistent basis throughout the periods covered thereby except for any normal year-end adjustments in the Company’s financial statements.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The audited consolidated financial statements of the Company for the years ended December 31, 2025, 2024 and 2023 present fairly, in all material respects, the financial position of the Company as of the dates indicated and the results of its operations, changes in shareholders’ equity and cash flows for the periods specified and are in accordance with the IFRS within the meaning of EC Regulation</w:t>
      </w:r>
    </w:p>
    <w:p>
      <w:pPr>
        <w:spacing w:after="0" w:line="2"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 1606/2002 of the European Parliament and of the council of July 19, 2002, as adopted from time to time by the European Commission in accordance with that Regulation, and its interpretations promulgated by the IASB, applied on a consistent basis throughout the periods involved (except as noted therein). The audited statutory financial statements of the Company included directly or incorporated by reference in the Universal Registration Document present fairly, in all material respects, the financial position of the Company as of the dates indicated and the results of its operations, changes in shareholders’ equity and cash flows for the periods specified and are in accordance with the requirements of the French generally accepted accounting principles, applied on a consistent basis throughout the periods involved (except as noted therein). The Unaudited Interim Condensed Consolidated Financial Statements have been prepared in accordance with IAS 34, Interim Financial Reporting, the standard of IFRS applicable to interim financial statements. The statistical, industry-related and market-related data included or incorporated by reference in each of the Registration Statement, the Time of Sale Prospectus, the Prospectus and the Public Documents are based on or derived from sources that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27" w:name="page28"/>
    <w:bookmarkEnd w:id="27"/>
    <w:p>
      <w:pPr>
        <w:ind w:left="4" w:firstLine="419"/>
        <w:spacing w:after="0" w:line="254" w:lineRule="auto"/>
        <w:tabs>
          <w:tab w:leader="none" w:pos="7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PricewaterhouseCoopers Audit, who has certified certain financial statements of the Company and its subsidiaries and delivered its report with respect to the audited consolidated financial statements filed with the Commission as part of the Registration Statement and included or incorporated by reference in each of the Registration Statement, the Time of Sale Prospectus and the Prospectus, is (i) an independent registered public accounting firm with respect to the Company within the meaning of the Securities Act and the applicable rules and regulations thereunder adopted by the Commission and the Public Company Accounting Oversight Board (United States) and (ii) an independent statutory auditor with respect to the Company as required by the laws of the French Republic and under the professional rules of the “</w:t>
      </w:r>
      <w:r>
        <w:rPr>
          <w:rFonts w:ascii="Times New Roman" w:cs="Times New Roman" w:eastAsia="Times New Roman" w:hAnsi="Times New Roman"/>
          <w:sz w:val="18"/>
          <w:szCs w:val="18"/>
          <w:i w:val="1"/>
          <w:iCs w:val="1"/>
          <w:color w:val="auto"/>
        </w:rPr>
        <w:t>Compagnie Nationale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Commissaires aux Comptes</w:t>
      </w:r>
      <w:r>
        <w:rPr>
          <w:rFonts w:ascii="Times New Roman" w:cs="Times New Roman" w:eastAsia="Times New Roman" w:hAnsi="Times New Roman"/>
          <w:sz w:val="18"/>
          <w:szCs w:val="18"/>
          <w:color w:val="auto"/>
        </w:rPr>
        <w:t>.” PricewaterhouseCoopers Audit and Agili 3(F) have delivered letter of completion of work (</w:t>
      </w:r>
      <w:r>
        <w:rPr>
          <w:rFonts w:ascii="Times New Roman" w:cs="Times New Roman" w:eastAsia="Times New Roman" w:hAnsi="Times New Roman"/>
          <w:sz w:val="18"/>
          <w:szCs w:val="18"/>
          <w:i w:val="1"/>
          <w:iCs w:val="1"/>
          <w:color w:val="auto"/>
        </w:rPr>
        <w:t>lettre de fin de travaux</w:t>
      </w:r>
      <w:r>
        <w:rPr>
          <w:rFonts w:ascii="Times New Roman" w:cs="Times New Roman" w:eastAsia="Times New Roman" w:hAnsi="Times New Roman"/>
          <w:sz w:val="18"/>
          <w:szCs w:val="18"/>
          <w:color w:val="auto"/>
        </w:rPr>
        <w:t>) with respect to the Universal Registration Document that showed no reservation, observation or warning and which letter of completion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work (</w:t>
      </w:r>
      <w:r>
        <w:rPr>
          <w:rFonts w:ascii="Times New Roman" w:cs="Times New Roman" w:eastAsia="Times New Roman" w:hAnsi="Times New Roman"/>
          <w:sz w:val="18"/>
          <w:szCs w:val="18"/>
          <w:i w:val="1"/>
          <w:iCs w:val="1"/>
          <w:color w:val="auto"/>
        </w:rPr>
        <w:t>lettre de fin de travaux</w:t>
      </w:r>
      <w:r>
        <w:rPr>
          <w:rFonts w:ascii="Times New Roman" w:cs="Times New Roman" w:eastAsia="Times New Roman" w:hAnsi="Times New Roman"/>
          <w:sz w:val="18"/>
          <w:szCs w:val="18"/>
          <w:color w:val="auto"/>
        </w:rPr>
        <w:t>) has not and will not be altered or replaced.</w:t>
      </w:r>
    </w:p>
    <w:p>
      <w:pPr>
        <w:spacing w:after="0" w:line="80"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7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in all material respects with any provision of the Sarbanes-Oxley Act of 2002 and the rules and regulations promulgated thereunder (collectively,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67" w:lineRule="exact"/>
        <w:rPr>
          <w:rFonts w:ascii="Times New Roman" w:cs="Times New Roman" w:eastAsia="Times New Roman" w:hAnsi="Times New Roman"/>
          <w:sz w:val="18"/>
          <w:szCs w:val="18"/>
          <w:color w:val="auto"/>
        </w:rPr>
      </w:pPr>
    </w:p>
    <w:p>
      <w:pPr>
        <w:ind w:left="4" w:right="500" w:firstLine="419"/>
        <w:spacing w:after="0" w:line="261" w:lineRule="auto"/>
        <w:tabs>
          <w:tab w:leader="none" w:pos="85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on a consolidated basis maintain a system of internal accounting controls sufficient to provide reasonable assurance that (i) transactions are executed in accordance with management’s general or specific authorizations;</w:t>
      </w:r>
    </w:p>
    <w:p>
      <w:pPr>
        <w:ind w:left="4" w:hanging="4"/>
        <w:spacing w:after="0" w:line="251" w:lineRule="auto"/>
        <w:tabs>
          <w:tab w:leader="none" w:pos="2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IFRS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(it being understood that this subsection shall not require the Company to comply with Section 404 of the Sarbanes-Oxley Act as of an earlier date than it would otherwise be required to do so under applicable law); and (v) the interactive data in eXtensible Business Reporting Language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 Except as described in the Registration Statement, the Time of Sale Prospectus, the Prospectus and the Public Documents,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28" w:name="page29"/>
    <w:bookmarkEnd w:id="28"/>
    <w:p>
      <w:pPr>
        <w:ind w:right="80" w:firstLine="419"/>
        <w:spacing w:after="0" w:line="281" w:lineRule="auto"/>
        <w:tabs>
          <w:tab w:leader="none" w:pos="76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the Registration Statement, the Time of Sale Prospectus, the Prospectus and the Public Documents, the Company has not sold, issued or distributed any of its share capital during the six-month period preceding the date hereof, including any sales pursuant to Rule 144A under, or Regulation D or S of, the Securities Act, other than shares issued pursuant to employee benefit plans, qualified share option plans, free share (</w:t>
      </w:r>
      <w:r>
        <w:rPr>
          <w:rFonts w:ascii="Times New Roman" w:cs="Times New Roman" w:eastAsia="Times New Roman" w:hAnsi="Times New Roman"/>
          <w:sz w:val="17"/>
          <w:szCs w:val="17"/>
          <w:i w:val="1"/>
          <w:iCs w:val="1"/>
          <w:color w:val="auto"/>
        </w:rPr>
        <w:t>actions gratuites</w:t>
      </w:r>
      <w:r>
        <w:rPr>
          <w:rFonts w:ascii="Times New Roman" w:cs="Times New Roman" w:eastAsia="Times New Roman" w:hAnsi="Times New Roman"/>
          <w:sz w:val="17"/>
          <w:szCs w:val="17"/>
          <w:color w:val="auto"/>
        </w:rPr>
        <w:t>) plans or other employee compensation plans or pursuant to outstanding options, rights or warrants.</w:t>
      </w:r>
    </w:p>
    <w:p>
      <w:pPr>
        <w:spacing w:after="0" w:line="56" w:lineRule="exact"/>
        <w:rPr>
          <w:rFonts w:ascii="Times New Roman" w:cs="Times New Roman" w:eastAsia="Times New Roman" w:hAnsi="Times New Roman"/>
          <w:sz w:val="17"/>
          <w:szCs w:val="17"/>
          <w:color w:val="auto"/>
        </w:rPr>
      </w:pPr>
    </w:p>
    <w:p>
      <w:pPr>
        <w:ind w:firstLine="419"/>
        <w:spacing w:after="0" w:line="253" w:lineRule="auto"/>
        <w:tabs>
          <w:tab w:leader="none" w:pos="7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federal, state, local and non-United States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have a material adverse effect on the Company and its subsidiaries, taken as a whole, or, except as currently being contested in good faith by appropriate proceedings and for which adequate reserves required by IFRS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 None of the Company or its subsidiaries is under audit by any governmental authorities, and none of them has received written notice of any pending or, to the Company’s knowledge, threatened audit other than with respect to routine tax audits which the Company does not reasonably believe would have a material adverse effect on the Company and its subsidiaries, taken as a whole.</w:t>
      </w:r>
    </w:p>
    <w:p>
      <w:pPr>
        <w:spacing w:after="0" w:line="81" w:lineRule="exact"/>
        <w:rPr>
          <w:rFonts w:ascii="Times New Roman" w:cs="Times New Roman" w:eastAsia="Times New Roman" w:hAnsi="Times New Roman"/>
          <w:sz w:val="18"/>
          <w:szCs w:val="18"/>
          <w:color w:val="auto"/>
        </w:rPr>
      </w:pPr>
    </w:p>
    <w:p>
      <w:pPr>
        <w:ind w:right="240" w:firstLine="419"/>
        <w:spacing w:after="0" w:line="282" w:lineRule="auto"/>
        <w:tabs>
          <w:tab w:leader="none" w:pos="7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the initial filing of the Registration Statement with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20" w:firstLine="419"/>
        <w:spacing w:after="0" w:line="254" w:lineRule="auto"/>
        <w:tabs>
          <w:tab w:leader="none" w:pos="8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or Rule 163B of the Securities Act.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0"/>
          </w:cols>
          <w:pgMar w:left="880" w:top="270" w:right="479" w:bottom="1440" w:gutter="0" w:footer="0" w:header="0"/>
        </w:sectPr>
      </w:pPr>
    </w:p>
    <w:bookmarkStart w:id="29" w:name="page30"/>
    <w:bookmarkEnd w:id="29"/>
    <w:p>
      <w:pPr>
        <w:ind w:right="60" w:firstLine="419"/>
        <w:spacing w:after="0" w:line="254" w:lineRule="auto"/>
        <w:tabs>
          <w:tab w:leader="none" w:pos="8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time of each sale of the Securities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Time of Sale Prospectus and any free writing prospectus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 as defined in Section 8(b).</w:t>
      </w:r>
    </w:p>
    <w:p>
      <w:pPr>
        <w:spacing w:after="0" w:line="80" w:lineRule="exact"/>
        <w:rPr>
          <w:rFonts w:ascii="Times New Roman" w:cs="Times New Roman" w:eastAsia="Times New Roman" w:hAnsi="Times New Roman"/>
          <w:sz w:val="18"/>
          <w:szCs w:val="18"/>
          <w:color w:val="auto"/>
        </w:rPr>
      </w:pPr>
    </w:p>
    <w:p>
      <w:pPr>
        <w:ind w:right="100" w:firstLine="419"/>
        <w:spacing w:after="0" w:line="258" w:lineRule="auto"/>
        <w:tabs>
          <w:tab w:leader="none" w:pos="8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laws and regulations of France, all dividends and other distributions declared and payable on the share capital of the Company in cash may be freely remitted out of France and may be paid in, or freely converted into, United States dollars, in each case without there being required any consent, approval, authorization or order of, or qualification with, any court or governmental agency or body in France; and except as disclosed in each of the Registration Statement, the Time of Sale Prospectus, the Prospectus and the Public Documents, all such dividends and other distributions paid by the Company will not be subject to withholding under the laws and regulations of France.</w:t>
      </w:r>
    </w:p>
    <w:p>
      <w:pPr>
        <w:spacing w:after="0" w:line="75" w:lineRule="exact"/>
        <w:rPr>
          <w:rFonts w:ascii="Times New Roman" w:cs="Times New Roman" w:eastAsia="Times New Roman" w:hAnsi="Times New Roman"/>
          <w:sz w:val="18"/>
          <w:szCs w:val="18"/>
          <w:color w:val="auto"/>
        </w:rPr>
      </w:pPr>
    </w:p>
    <w:p>
      <w:pPr>
        <w:ind w:firstLine="419"/>
        <w:spacing w:after="0" w:line="252" w:lineRule="auto"/>
        <w:tabs>
          <w:tab w:leader="none" w:pos="8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the Registration Statement, the Time of Sale Prospectus and the Prospectus, no documentary, stamp, registration or similar issuance tax (including, for the avoidance of doubt, financial transaction tax as set out in Article 235 ter ZD of the </w:t>
      </w:r>
      <w:r>
        <w:rPr>
          <w:rFonts w:ascii="Times New Roman" w:cs="Times New Roman" w:eastAsia="Times New Roman" w:hAnsi="Times New Roman"/>
          <w:sz w:val="18"/>
          <w:szCs w:val="18"/>
          <w:i w:val="1"/>
          <w:iCs w:val="1"/>
          <w:color w:val="auto"/>
        </w:rPr>
        <w:t>Code général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impôts</w:t>
      </w:r>
      <w:r>
        <w:rPr>
          <w:rFonts w:ascii="Times New Roman" w:cs="Times New Roman" w:eastAsia="Times New Roman" w:hAnsi="Times New Roman"/>
          <w:sz w:val="18"/>
          <w:szCs w:val="18"/>
          <w:color w:val="auto"/>
        </w:rPr>
        <w:t>), (but other than (i) a fixed registration duty (</w:t>
      </w:r>
      <w:r>
        <w:rPr>
          <w:rFonts w:ascii="Times New Roman" w:cs="Times New Roman" w:eastAsia="Times New Roman" w:hAnsi="Times New Roman"/>
          <w:sz w:val="18"/>
          <w:szCs w:val="18"/>
          <w:i w:val="1"/>
          <w:iCs w:val="1"/>
          <w:color w:val="auto"/>
        </w:rPr>
        <w:t>droit fixe</w:t>
      </w:r>
      <w:r>
        <w:rPr>
          <w:rFonts w:ascii="Times New Roman" w:cs="Times New Roman" w:eastAsia="Times New Roman" w:hAnsi="Times New Roman"/>
          <w:sz w:val="18"/>
          <w:szCs w:val="18"/>
          <w:color w:val="auto"/>
        </w:rPr>
        <w:t>) due in case of voluntary registration of this Agreement with the tax authorities,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specified that the non-registration of which does not affect the validity of this Agreement, (ii) any applicable “</w:t>
      </w:r>
      <w:r>
        <w:rPr>
          <w:rFonts w:ascii="Times New Roman" w:cs="Times New Roman" w:eastAsia="Times New Roman" w:hAnsi="Times New Roman"/>
          <w:sz w:val="18"/>
          <w:szCs w:val="18"/>
          <w:i w:val="1"/>
          <w:iCs w:val="1"/>
          <w:color w:val="auto"/>
        </w:rPr>
        <w:t>redevances</w:t>
      </w:r>
      <w:r>
        <w:rPr>
          <w:rFonts w:ascii="Times New Roman" w:cs="Times New Roman" w:eastAsia="Times New Roman" w:hAnsi="Times New Roman"/>
          <w:sz w:val="18"/>
          <w:szCs w:val="18"/>
          <w:color w:val="auto"/>
        </w:rPr>
        <w:t xml:space="preserve">” due to the AMF and (iii) any fees payable to Euronext or the Nasdaq Global Market) are payable by or on behalf of the Underwriters, to any taxing authority thereof or therein in connection with (i) the execution, delivery or consummation of the Deposit Agreement and of this Agreement, (ii) the deposit with the Depositary of the Underlying Shares against issuance by the Depositary of the ADRs evidencing the ADSs, (iii) the issuance and delivery of the Securities (or the ADRs evidencing the ADSs) by the Depositary to or for the account of the Underwriters, or (iv) the purchase and the initial sale and delivery by the Underwriters of the Securities, as the case may be, as contemplated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deed (</w:t>
      </w:r>
      <w:r>
        <w:rPr>
          <w:rFonts w:ascii="Times New Roman" w:cs="Times New Roman" w:eastAsia="Times New Roman" w:hAnsi="Times New Roman"/>
          <w:sz w:val="18"/>
          <w:szCs w:val="18"/>
          <w:i w:val="1"/>
          <w:iCs w:val="1"/>
          <w:color w:val="auto"/>
        </w:rPr>
        <w:t>acte juridique</w:t>
      </w:r>
      <w:r>
        <w:rPr>
          <w:rFonts w:ascii="Times New Roman" w:cs="Times New Roman" w:eastAsia="Times New Roman" w:hAnsi="Times New Roman"/>
          <w:sz w:val="18"/>
          <w:szCs w:val="18"/>
          <w:color w:val="auto"/>
        </w:rPr>
        <w:t xml:space="preserve">) evidencing any of the operations listed in the present clause is executed. Any subsequent onerous transfer of ownership of the Securities shall fall within the scope of the financial transaction tax under Article 235 ter ZD of the </w:t>
      </w:r>
      <w:r>
        <w:rPr>
          <w:rFonts w:ascii="Times New Roman" w:cs="Times New Roman" w:eastAsia="Times New Roman" w:hAnsi="Times New Roman"/>
          <w:sz w:val="18"/>
          <w:szCs w:val="18"/>
          <w:i w:val="1"/>
          <w:iCs w:val="1"/>
          <w:color w:val="auto"/>
        </w:rPr>
        <w:t>Code général des impôts and</w:t>
      </w:r>
      <w:r>
        <w:rPr>
          <w:rFonts w:ascii="Times New Roman" w:cs="Times New Roman" w:eastAsia="Times New Roman" w:hAnsi="Times New Roman"/>
          <w:sz w:val="18"/>
          <w:szCs w:val="18"/>
          <w:color w:val="auto"/>
        </w:rPr>
        <w:t>, may otherwise attract the registration duties (</w:t>
      </w:r>
      <w:r>
        <w:rPr>
          <w:rFonts w:ascii="Times New Roman" w:cs="Times New Roman" w:eastAsia="Times New Roman" w:hAnsi="Times New Roman"/>
          <w:sz w:val="18"/>
          <w:szCs w:val="18"/>
          <w:i w:val="1"/>
          <w:iCs w:val="1"/>
          <w:color w:val="auto"/>
        </w:rPr>
        <w:t>droits d’enregistrement</w:t>
      </w:r>
      <w:r>
        <w:rPr>
          <w:rFonts w:ascii="Times New Roman" w:cs="Times New Roman" w:eastAsia="Times New Roman" w:hAnsi="Times New Roman"/>
          <w:sz w:val="18"/>
          <w:szCs w:val="18"/>
          <w:color w:val="auto"/>
        </w:rPr>
        <w:t xml:space="preserve">) under Article 726 of the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xml:space="preserve"> if evidenced by a deed. For the avoidance of doubt, the payment of commissions, costs and fees pursuant to this Agreement is subject to applicable French tax law, in particular with respect to value added tax (“VAT”). For the purposes of this Agreement, value added tax means value added tax chargeable under or pursuant to Council Directive 2006/112/EC or the Sixth Council Directive of the European Communities or any similar tax, wherever imposed.</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0"/>
          </w:cols>
          <w:pgMar w:left="880" w:top="270" w:right="439" w:bottom="1440" w:gutter="0" w:footer="0" w:header="0"/>
        </w:sectPr>
      </w:pPr>
    </w:p>
    <w:bookmarkStart w:id="30" w:name="page31"/>
    <w:bookmarkEnd w:id="30"/>
    <w:p>
      <w:pPr>
        <w:ind w:firstLine="419"/>
        <w:spacing w:after="0" w:line="312" w:lineRule="auto"/>
        <w:tabs>
          <w:tab w:leader="none" w:pos="82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the current and anticipated value of its assets and the nature and composition of its income and assets, the Company believes that it was not a “passive foreign investment company” for U.S. federal income tax purposes for the taxable year ended December 31, 2025.</w:t>
      </w:r>
    </w:p>
    <w:p>
      <w:pPr>
        <w:spacing w:after="0" w:line="31" w:lineRule="exact"/>
        <w:rPr>
          <w:rFonts w:ascii="Times New Roman" w:cs="Times New Roman" w:eastAsia="Times New Roman" w:hAnsi="Times New Roman"/>
          <w:sz w:val="17"/>
          <w:szCs w:val="17"/>
          <w:color w:val="auto"/>
        </w:rPr>
      </w:pPr>
    </w:p>
    <w:p>
      <w:pPr>
        <w:ind w:right="180" w:firstLine="419"/>
        <w:spacing w:after="0" w:line="266" w:lineRule="auto"/>
        <w:tabs>
          <w:tab w:leader="none" w:pos="7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20" w:firstLine="419"/>
        <w:spacing w:after="0" w:line="254" w:lineRule="auto"/>
        <w:tabs>
          <w:tab w:leader="none" w:pos="8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in proper form under the laws of France for the enforcement thereof against the Company in accordance with its terms, except as enforceability may be limited by applicable bankruptcy, insolvency, reorganization or similar laws affecting the enforcement of creditors’ rights generally or by equitable principles relating to enforceability; to ensure the legality, validity, enforceability or admissibility into evidence in France of this Agreement, it is not necessary that this Agreement be filed or recorded with any court or other authority in France (other than court filings in the normal course of proceedings) or that any stamp or similar tax in France be paid on or in respect of this Agreement or any other documents to be furnished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a general rule, any document in a language other than French must be translated into French by an official sworn translator if it is to be submitted as evidence in any action or proceedings before a French court or public body or used for any purpose (including registration) with public bodies.</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00"/>
          </w:cols>
          <w:pgMar w:left="880" w:top="270" w:right="519" w:bottom="1440" w:gutter="0" w:footer="0" w:header="0"/>
        </w:sectPr>
      </w:pPr>
    </w:p>
    <w:bookmarkStart w:id="31" w:name="page32"/>
    <w:bookmarkEnd w:id="31"/>
    <w:p>
      <w:pPr>
        <w:ind w:left="860" w:hanging="441"/>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a “foreign private issuer” as defined in Rule 405 of the Securities Act.</w:t>
      </w:r>
    </w:p>
    <w:p>
      <w:pPr>
        <w:spacing w:after="0" w:line="117" w:lineRule="exact"/>
        <w:rPr>
          <w:rFonts w:ascii="Times New Roman" w:cs="Times New Roman" w:eastAsia="Times New Roman" w:hAnsi="Times New Roman"/>
          <w:sz w:val="18"/>
          <w:szCs w:val="18"/>
          <w:color w:val="auto"/>
        </w:rPr>
      </w:pPr>
    </w:p>
    <w:p>
      <w:pPr>
        <w:ind w:firstLine="419"/>
        <w:spacing w:after="0" w:line="256" w:lineRule="auto"/>
        <w:tabs>
          <w:tab w:leader="none" w:pos="7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France would recognize as a valid judgment any final monetary judgment obtained against the Company in connection with this Agreement in the courts of the State of New York having competent jurisdiction in respect of this Agreement (the “</w:t>
      </w:r>
      <w:r>
        <w:rPr>
          <w:rFonts w:ascii="Times New Roman" w:cs="Times New Roman" w:eastAsia="Times New Roman" w:hAnsi="Times New Roman"/>
          <w:sz w:val="18"/>
          <w:szCs w:val="18"/>
          <w:b w:val="1"/>
          <w:bCs w:val="1"/>
          <w:color w:val="auto"/>
        </w:rPr>
        <w:t>U.S. Judgment</w:t>
      </w:r>
      <w:r>
        <w:rPr>
          <w:rFonts w:ascii="Times New Roman" w:cs="Times New Roman" w:eastAsia="Times New Roman" w:hAnsi="Times New Roman"/>
          <w:sz w:val="18"/>
          <w:szCs w:val="18"/>
          <w:color w:val="auto"/>
        </w:rPr>
        <w:t xml:space="preserve">”), and its enforcement would be subject to exequatur proceedings before the competent French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French court is provided with both a certified copy and a translation into French (by a sworn translator) of the U.S. Judgment and other relevant documents and determines that the requirements developed by French case law for the enforcement of foreign judgments, in the absence of any multilateral or bilateral treaty between the United States and France on the recognition and enforcement of foreign judgments, are satisfied, in particular that:</w:t>
      </w:r>
    </w:p>
    <w:p>
      <w:pPr>
        <w:spacing w:after="0" w:line="79"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is final and enforceable within the State of New York, according to the laws of the State of New York;</w:t>
      </w:r>
    </w:p>
    <w:p>
      <w:pPr>
        <w:spacing w:after="0" w:line="117" w:lineRule="exact"/>
        <w:rPr>
          <w:rFonts w:ascii="Times New Roman" w:cs="Times New Roman" w:eastAsia="Times New Roman" w:hAnsi="Times New Roman"/>
          <w:sz w:val="18"/>
          <w:szCs w:val="18"/>
          <w:color w:val="auto"/>
        </w:rPr>
      </w:pPr>
    </w:p>
    <w:p>
      <w:pPr>
        <w:ind w:left="540" w:right="100" w:firstLine="408"/>
        <w:spacing w:after="0" w:line="266" w:lineRule="auto"/>
        <w:tabs>
          <w:tab w:leader="none" w:pos="12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was rendered by a court having jurisdiction over the matter as the dispute has a clear connection with such court (i.e., there was no international forum shopping), the choice of the U.S. court was not fraudulent and the French courts did not have exclusive jurisdiction over the dispute;</w:t>
      </w:r>
    </w:p>
    <w:p>
      <w:pPr>
        <w:spacing w:after="0" w:line="65"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25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does not contravene French international public policy rules (“</w:t>
      </w:r>
      <w:r>
        <w:rPr>
          <w:rFonts w:ascii="Times New Roman" w:cs="Times New Roman" w:eastAsia="Times New Roman" w:hAnsi="Times New Roman"/>
          <w:sz w:val="18"/>
          <w:szCs w:val="18"/>
          <w:i w:val="1"/>
          <w:iCs w:val="1"/>
          <w:color w:val="auto"/>
        </w:rPr>
        <w:t>ordre public international français</w:t>
      </w:r>
      <w:r>
        <w:rPr>
          <w:rFonts w:ascii="Times New Roman" w:cs="Times New Roman" w:eastAsia="Times New Roman" w:hAnsi="Times New Roman"/>
          <w:sz w:val="18"/>
          <w:szCs w:val="18"/>
          <w:color w:val="auto"/>
        </w:rPr>
        <w:t>”), both pertaining to the merits (“</w:t>
      </w:r>
      <w:r>
        <w:rPr>
          <w:rFonts w:ascii="Times New Roman" w:cs="Times New Roman" w:eastAsia="Times New Roman" w:hAnsi="Times New Roman"/>
          <w:sz w:val="18"/>
          <w:szCs w:val="18"/>
          <w:i w:val="1"/>
          <w:iCs w:val="1"/>
          <w:color w:val="auto"/>
        </w:rPr>
        <w:t>ordre public international français de fond</w:t>
      </w:r>
      <w:r>
        <w:rPr>
          <w:rFonts w:ascii="Times New Roman" w:cs="Times New Roman" w:eastAsia="Times New Roman" w:hAnsi="Times New Roman"/>
          <w:sz w:val="18"/>
          <w:szCs w:val="18"/>
          <w:color w:val="auto"/>
        </w:rPr>
        <w:t>”) and to the procedure of the case, including fair trial rights (“</w:t>
      </w:r>
      <w:r>
        <w:rPr>
          <w:rFonts w:ascii="Times New Roman" w:cs="Times New Roman" w:eastAsia="Times New Roman" w:hAnsi="Times New Roman"/>
          <w:sz w:val="18"/>
          <w:szCs w:val="18"/>
          <w:i w:val="1"/>
          <w:iCs w:val="1"/>
          <w:color w:val="auto"/>
        </w:rPr>
        <w:t>ordre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international français de procédure</w:t>
      </w:r>
      <w:r>
        <w:rPr>
          <w:rFonts w:ascii="Times New Roman" w:cs="Times New Roman" w:eastAsia="Times New Roman" w:hAnsi="Times New Roman"/>
          <w:sz w:val="18"/>
          <w:szCs w:val="18"/>
          <w:color w:val="auto"/>
        </w:rPr>
        <w:t>”), it being specified that the enforcement of any award of punitive damages may be refused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damages are considered disproportionate under French international public policy;</w:t>
      </w:r>
    </w:p>
    <w:p>
      <w:pPr>
        <w:spacing w:after="0" w:line="7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is not tainted with fraud under French law; and</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1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does not conflict with a French judgment or a foreign judgment that has become effective in France, and there are no proceedings initiated prior to the time the enforcement of the judgment is sought having the same or similar subject matter as such U.S. Judgment and still pending before French courts at that time and no such proceedings are filed before French courts after the enforcement proceedings have been initiated.</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20"/>
          </w:cols>
          <w:pgMar w:left="880" w:top="270" w:right="499" w:bottom="1440" w:gutter="0" w:footer="0" w:header="0"/>
        </w:sectPr>
      </w:pPr>
    </w:p>
    <w:bookmarkStart w:id="32" w:name="page33"/>
    <w:bookmarkEnd w:id="32"/>
    <w:p>
      <w:pPr>
        <w:ind w:left="440" w:right="20" w:firstLine="419"/>
        <w:spacing w:after="0" w:line="261" w:lineRule="auto"/>
        <w:tabs>
          <w:tab w:leader="none" w:pos="11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France. The irrevocable and unconditional waiver and agreement of the Company contained in Section 13(a) not to plead or claim any such immunity in any legal action, suit or proceeding based on this Agreement is valid and binding under the laws of France.</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2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law of the State of New York as the governing law of this Agreement is a valid choice of law under French private international law in any action or proceeding before a competent French court. The Company has the power to submit, and pursuant to Section 13(a) of this Agreement and Section 7.6 of the Deposit Agreement has, to the extent permitted by law, legally, validly, effectively and irrevocably submitted, to the jurisdiction of the Specified Courts (as defined in Section 13(a)), and has the power to designate, appoint and empower, and pursuant to Section 13(b), has legally, validly and effectively designated, appointed and empowered an agent for service of process in any suit or proceeding based on or arising under this Agreement in any of the Specified Courts.</w:t>
      </w:r>
    </w:p>
    <w:p>
      <w:pPr>
        <w:spacing w:after="0" w:line="185" w:lineRule="exact"/>
        <w:rPr>
          <w:rFonts w:ascii="Times New Roman" w:cs="Times New Roman" w:eastAsia="Times New Roman" w:hAnsi="Times New Roman"/>
          <w:sz w:val="18"/>
          <w:szCs w:val="18"/>
          <w:color w:val="auto"/>
        </w:rPr>
      </w:pPr>
    </w:p>
    <w:p>
      <w:pPr>
        <w:ind w:right="120" w:firstLine="436"/>
        <w:spacing w:after="0" w:line="258"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to Sell and Purchase. </w:t>
      </w:r>
      <w:r>
        <w:rPr>
          <w:rFonts w:ascii="Times New Roman" w:cs="Times New Roman" w:eastAsia="Times New Roman" w:hAnsi="Times New Roman"/>
          <w:sz w:val="18"/>
          <w:szCs w:val="18"/>
          <w:color w:val="auto"/>
        </w:rPr>
        <w:t>The Company hereby agrees to issue and sell to the several Underwriters, and each Underwriter,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basis of the representations and warranties herein contained, but subject to the terms and conditions hereinafter stated, agrees, severally and not jointly, to purchase from the Company the respective numbers of Firm Securities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its name at $125.00 per ADS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It is understood that the obligations of the Underwriters contained in this Agreement shall not constitute a performance guarantee (</w:t>
      </w:r>
      <w:r>
        <w:rPr>
          <w:rFonts w:ascii="Times New Roman" w:cs="Times New Roman" w:eastAsia="Times New Roman" w:hAnsi="Times New Roman"/>
          <w:sz w:val="18"/>
          <w:szCs w:val="18"/>
          <w:i w:val="1"/>
          <w:iCs w:val="1"/>
          <w:color w:val="auto"/>
        </w:rPr>
        <w:t>garantie de bonne fin</w:t>
      </w:r>
      <w:r>
        <w:rPr>
          <w:rFonts w:ascii="Times New Roman" w:cs="Times New Roman" w:eastAsia="Times New Roman" w:hAnsi="Times New Roman"/>
          <w:sz w:val="18"/>
          <w:szCs w:val="18"/>
          <w:color w:val="auto"/>
        </w:rPr>
        <w:t>) within the meaning of Article L. 225-145 of the French Commercial Code.</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the basis of the representations and warranties contained in this Agreement, and subject to its terms and conditions, the Company agrees to sell to the Underwriters the Additional Securities, and the Underwriters shall have the right to purchase, severally and not jointly, up to 960,000 Additional Securities at the Public Offering Price. The Representatives may exercise this right on behalf of the Underwriters once in whole or in part by giving written notice not later than the Closing Date. The exercise notice shall specify the number of Additional Securities to be purchased by the Underwriters and the date on which such securities are to be purchased. The purchase date must be at least two business days after the written notice is given and may not be earlier than the Closing Date for the Firm Securities or later than ten business days after the date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purchase date may be one business day after the date of such notice if such purchase date is the Closing Date. Additional Securities may be purchased as provided in Section 4 hereof solely for the purpose of covering over-allotments made in connection with the offering of the Firm Securities. On the day, if any, that Additional Securities are to be purchased (the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each Underwriter agrees, severally and not jointly, to purchase the number of Additional Securities (subject to such adjustments to eliminate fractional shares as the Representatives may determine) that bears the same proportion to the total number of Additional Securities to be purchased on such Option Closing Date as the number of Firm Securities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the name of such Underwriter bears to the total number of Firm Securities.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3" w:name="page34"/>
    <w:bookmarkEnd w:id="33"/>
    <w:p>
      <w:pPr>
        <w:jc w:val="both"/>
        <w:ind w:right="40" w:firstLine="436"/>
        <w:spacing w:after="0" w:line="277"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of Public Offering</w:t>
      </w:r>
      <w:r>
        <w:rPr>
          <w:rFonts w:ascii="Times New Roman" w:cs="Times New Roman" w:eastAsia="Times New Roman" w:hAnsi="Times New Roman"/>
          <w:sz w:val="17"/>
          <w:szCs w:val="17"/>
          <w:color w:val="auto"/>
        </w:rPr>
        <w:t>. The Company is advised by the Representatives that the Underwriters propose to distribute their respective portions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Securities sold to them as contemplated hereby and in the Prospectus as soon after the Registration Statement and this Agreement have become effective as in the Representatives’ judgment is advisable. The Company is further advised by the Representatives that the Securities are to be offered to the public initially at the Public Offering Price and to certain dealers selected by the Representatives at a price that represents a concession not in excess of $3.5625 per share of the Securities under the Public Offering Price, and that any Underwriter may allow, and such dealers may reallow, a concession.</w:t>
      </w:r>
    </w:p>
    <w:p>
      <w:pPr>
        <w:spacing w:after="0" w:line="167" w:lineRule="exact"/>
        <w:rPr>
          <w:rFonts w:ascii="Times New Roman" w:cs="Times New Roman" w:eastAsia="Times New Roman" w:hAnsi="Times New Roman"/>
          <w:sz w:val="17"/>
          <w:szCs w:val="17"/>
          <w:color w:val="auto"/>
        </w:rPr>
      </w:pPr>
    </w:p>
    <w:p>
      <w:pPr>
        <w:ind w:right="60" w:firstLine="436"/>
        <w:spacing w:after="0" w:line="257"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Payment for the Firm Securities shall be made in United States dollars to the Company by wire transfer of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to the account designated by the Company in writing at least one business day prior to the Closing Date (the “</w:t>
      </w:r>
      <w:r>
        <w:rPr>
          <w:rFonts w:ascii="Times New Roman" w:cs="Times New Roman" w:eastAsia="Times New Roman" w:hAnsi="Times New Roman"/>
          <w:sz w:val="18"/>
          <w:szCs w:val="18"/>
          <w:b w:val="1"/>
          <w:bCs w:val="1"/>
          <w:color w:val="auto"/>
        </w:rPr>
        <w:t>Designated Account</w:t>
      </w:r>
      <w:r>
        <w:rPr>
          <w:rFonts w:ascii="Times New Roman" w:cs="Times New Roman" w:eastAsia="Times New Roman" w:hAnsi="Times New Roman"/>
          <w:sz w:val="18"/>
          <w:szCs w:val="18"/>
          <w:color w:val="auto"/>
        </w:rPr>
        <w:t>”), which Designated Account shall be held at Uptevia, as transfer agent and registrar of the Company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for purposes of settlement and delivery of the Firm Securities. Such funds are to be available in such Designated Account by 9 a.m., Central European Time, on July 6, 2026 or at such other time on the same or such other date, not later than July 13, 2026, as shall be agreed in writing by the Representatives and the Company. The time and date of settlement and delivery of the Firm Securities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Payment for any Additional Securities shall be made in United States dollars to the Company by wire transfer of immediately available funds to the Designated Account, which shall be held at the Registrar for purposes of settlement and delivery of the Additional Securities. Such funds are to be available in the Designated Account on the date specified in the corresponding notice described in Section 2 or at such other time on the same or on such other date, in any event not later than July 16, 2026 as shall be agreed in writing by the Representatives and the Company.</w:t>
      </w:r>
    </w:p>
    <w:p>
      <w:pPr>
        <w:spacing w:after="0" w:line="180" w:lineRule="exact"/>
        <w:rPr>
          <w:sz w:val="20"/>
          <w:szCs w:val="20"/>
          <w:color w:val="auto"/>
        </w:rPr>
      </w:pPr>
    </w:p>
    <w:p>
      <w:pPr>
        <w:jc w:val="both"/>
        <w:ind w:right="120" w:firstLine="440"/>
        <w:spacing w:after="0" w:line="258" w:lineRule="auto"/>
        <w:rPr>
          <w:sz w:val="20"/>
          <w:szCs w:val="20"/>
          <w:color w:val="auto"/>
        </w:rPr>
      </w:pPr>
      <w:r>
        <w:rPr>
          <w:rFonts w:ascii="Times New Roman" w:cs="Times New Roman" w:eastAsia="Times New Roman" w:hAnsi="Times New Roman"/>
          <w:sz w:val="18"/>
          <w:szCs w:val="18"/>
          <w:color w:val="auto"/>
        </w:rPr>
        <w:t>No later than 11 a.m. Central European Time on the Closing Date and, as the case may be, the Option Closing Date, the Registrar shall issue the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in accordance with Article L. 225-146 of the French Commercial Code, relating to the capital increase, and, as the case may be, the additional capital increase, of the Company, and shall deliver two originals of such certificate to the Company. At least one full business day prior to the Closing Date, the Company shall have taken all actions and provided the Registrar with all notices, documents, corporate authorizations or other instruments necessary or required to effectuate the issuance of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referred herein.</w:t>
      </w:r>
    </w:p>
    <w:p>
      <w:pPr>
        <w:spacing w:after="0" w:line="18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the Closing Date and, as the case may be, on the Option Closing Date, immediately after issuing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the Registrar shall: (i) send to Euroclear, in the name and on behalf of the Company, a </w:t>
      </w:r>
      <w:r>
        <w:rPr>
          <w:rFonts w:ascii="Times New Roman" w:cs="Times New Roman" w:eastAsia="Times New Roman" w:hAnsi="Times New Roman"/>
          <w:sz w:val="18"/>
          <w:szCs w:val="18"/>
          <w:i w:val="1"/>
          <w:iCs w:val="1"/>
          <w:color w:val="auto"/>
        </w:rPr>
        <w:t>lettre comptable</w:t>
      </w:r>
      <w:r>
        <w:rPr>
          <w:rFonts w:ascii="Times New Roman" w:cs="Times New Roman" w:eastAsia="Times New Roman" w:hAnsi="Times New Roman"/>
          <w:sz w:val="18"/>
          <w:szCs w:val="18"/>
          <w:color w:val="auto"/>
        </w:rPr>
        <w:t xml:space="preserve"> for the creation of the Underlying Shares corresponding to the Firm Securities (and, as the case may be, the Additional Securities) and for credit thereof no later than on the Closing Date (and, as the case may be, the Option Closing Date) in a securities account opened in the name and on behalf of the Company in the books of the Registrar; and (ii) transfer the Underlying Shares corresponding to the Firm Securities (and, as the case may be, the Additional Securities) to the Registrar, as custodian under the Deposit Agreement, for the account of the Depositary against issuance of ADRs evidencing ADSs in accordance with the Deposit Agreement. Delivery of the ADSs and/or the ADRs evidencing ADSs shall be made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applicable Representatives shall otherwise instruct. Prior to the Closing Date, the Company shall have taken all actions and made all necessary filings with Euronext and Euroclear, and with the Depositary and DTC, to facilitate the transfer of the Underlying Shares through Euroclear and the Securities through DTC. The ADRs evidencing the ADSs shall be registered in such names and denominations as the applicable Representatives shall have requested at least one full business day prior to the Closing Date (or the Option Closing Date, as the case may be). Time shall be of the essence, and delivery at the time and place specified in this Agreement is a further condition to the obligations of the Underwriters.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8" w:right="459" w:bottom="1440" w:gutter="0" w:footer="0" w:header="0"/>
        </w:sectPr>
      </w:pPr>
    </w:p>
    <w:bookmarkStart w:id="34" w:name="page35"/>
    <w:bookmarkEnd w:id="34"/>
    <w:p>
      <w:pPr>
        <w:ind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Firm Securities (and Additional Securities, if elected by the Representatives) are not delivered to the Representatives by 2:30 p.m., New York City time, on the Closing Date (and the Option Closing Date, as the case may be), the Company will return (or will instruct its custodian to return) payment of the full purchase price to Morgan Stanley &amp; Co. LLC, via same day funds by 4:30 p.m., New York City time. The Company shall remain liable to the Representatives for the full amount of the purchase price until the full amount has been received by Morgan Stanley &amp; Co. LLC.</w:t>
      </w:r>
    </w:p>
    <w:p>
      <w:pPr>
        <w:spacing w:after="0" w:line="164"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As compensation for the Underwriters’ commitments, in addition to the expenses outlined in Section 6(j) hereof, the Company shall pay, or cause the Registrar to pay, to Morgan Stanley &amp; Co. LLC for purposes of settlement and delivery of the Securities, a commission equal to the product of $5.9375 and the number of Firm Securities (and/or Additional Securities, as the case may be) to be issued at the Closing Date (or the Option Closing Date, as the case may be) in the Offering. The aforementioned commissions shall be deducted from the gross proceeds payable to the Company on the Closing Date (or the Option Closing Date, as the case may be), in United States dollars and shall be paid on such date by the Registrar to Morgan Stanley &amp; Co. LLC on behalf of the Underwriters as soon as possible after issuance of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referred to above. The Company irrevocably agrees to such transfer.</w:t>
      </w:r>
    </w:p>
    <w:p>
      <w:pPr>
        <w:spacing w:after="0" w:line="187" w:lineRule="exact"/>
        <w:rPr>
          <w:sz w:val="20"/>
          <w:szCs w:val="20"/>
          <w:color w:val="auto"/>
        </w:rPr>
      </w:pPr>
    </w:p>
    <w:p>
      <w:pPr>
        <w:ind w:right="260" w:firstLine="436"/>
        <w:spacing w:after="0" w:line="267"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Securities to the Underwriters and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to purchase and pay for the Securities on the Closing Date are subject to the condition that the Registration Statement shall have become effective not later than 5:30 p.m. (New York City time) on the date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several obligations of the Underwriters are subject to the following further conditions:</w:t>
      </w:r>
    </w:p>
    <w:p>
      <w:pPr>
        <w:spacing w:after="0" w:line="117" w:lineRule="exact"/>
        <w:rPr>
          <w:sz w:val="20"/>
          <w:szCs w:val="20"/>
          <w:color w:val="auto"/>
        </w:rPr>
      </w:pPr>
    </w:p>
    <w:p>
      <w:pPr>
        <w:ind w:left="660" w:hanging="241"/>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15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or the ADS Registration Statement shall be in effect, and no proceeding for such purpose or pursuant to Section 8A under the Securities Act shall be pending before or threatened by the Commission; and</w:t>
      </w:r>
    </w:p>
    <w:p>
      <w:pPr>
        <w:spacing w:after="0" w:line="67" w:lineRule="exact"/>
        <w:rPr>
          <w:rFonts w:ascii="Times New Roman" w:cs="Times New Roman" w:eastAsia="Times New Roman" w:hAnsi="Times New Roman"/>
          <w:sz w:val="18"/>
          <w:szCs w:val="18"/>
          <w:color w:val="auto"/>
        </w:rPr>
      </w:pPr>
    </w:p>
    <w:p>
      <w:pPr>
        <w:ind w:left="540" w:right="120" w:firstLine="408"/>
        <w:spacing w:after="0" w:line="261" w:lineRule="auto"/>
        <w:tabs>
          <w:tab w:leader="none" w:pos="120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Securities on the terms and in the manner contemplated in the Time of Sale Prospectus.</w:t>
      </w:r>
    </w:p>
    <w:p>
      <w:pPr>
        <w:spacing w:after="0" w:line="71" w:lineRule="exact"/>
        <w:rPr>
          <w:rFonts w:ascii="Times New Roman" w:cs="Times New Roman" w:eastAsia="Times New Roman" w:hAnsi="Times New Roman"/>
          <w:sz w:val="18"/>
          <w:szCs w:val="18"/>
          <w:color w:val="auto"/>
        </w:rPr>
      </w:pPr>
    </w:p>
    <w:p>
      <w:pPr>
        <w:ind w:right="120" w:firstLine="419"/>
        <w:spacing w:after="0" w:line="258"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officer signing and delivering such certificate may rely upon the best of his or her knowledge as to proceedings threatened.</w:t>
      </w:r>
    </w:p>
    <w:p>
      <w:pPr>
        <w:spacing w:after="0" w:line="75" w:lineRule="exact"/>
        <w:rPr>
          <w:rFonts w:ascii="Times New Roman" w:cs="Times New Roman" w:eastAsia="Times New Roman" w:hAnsi="Times New Roman"/>
          <w:sz w:val="18"/>
          <w:szCs w:val="18"/>
          <w:color w:val="auto"/>
        </w:rPr>
      </w:pPr>
    </w:p>
    <w:p>
      <w:pPr>
        <w:ind w:right="40" w:firstLine="419"/>
        <w:spacing w:after="0" w:line="258" w:lineRule="auto"/>
        <w:tabs>
          <w:tab w:leader="none" w:pos="6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furnished or caused to be furnished to the Underwriters on the Closing Date a certificate, dated the Closing Date and satisfactory to the Representatives, of one of its authorized officers with respect to the deposit with it of the Underlying Shares, the issuance of the ADRs evidencing the Underlying Shares delivered in the form of the ADSs, the execution, issuance, countersignature and delivery of the ADRs evidencing the Underlying Shares delivered in the form of the ADSs pursuant to the Deposit Agreement and such other customary matters related thereto as the Representatives may reasonably request.</w:t>
      </w:r>
    </w:p>
    <w:p>
      <w:pPr>
        <w:spacing w:after="0" w:line="75"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Cooley LLP, U.S. counsel for the Company, each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Orrick, Herrington &amp; Sutcliffe (Europe) LLP, French counsel for the Company, dated the Closing Date, in form and substance reasonably satisfactory to the Representatives.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36" w:name="page37"/>
    <w:bookmarkEnd w:id="36"/>
    <w:p>
      <w:pPr>
        <w:ind w:right="380" w:firstLine="419"/>
        <w:spacing w:after="0" w:line="282"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an opinion and negative assurance letter of Latham &amp; Watkins LLP, U.S. counsel for the Underwriters, each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60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Gide Loyrette Nouel A.A.R.P.I., French counsel for the Underwriters,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30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Ipsilon SAS, special patent counsel for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740" w:firstLine="419"/>
        <w:spacing w:after="0" w:line="282" w:lineRule="auto"/>
        <w:tabs>
          <w:tab w:leader="none" w:pos="6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Patterson Belknap Webb &amp; Tyler LLP, counsel for the Depositary,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6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PricewaterhouseCoopers Audit,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Closing Date shall use a “cut-off date” not earlier than the date hereof.</w:t>
      </w:r>
    </w:p>
    <w:p>
      <w:pPr>
        <w:spacing w:after="0" w:line="7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electronic copy of (i) the up-to-date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extrait K-bis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certificat de non-faillite </w:t>
      </w:r>
      <w:r>
        <w:rPr>
          <w:rFonts w:ascii="Times New Roman" w:cs="Times New Roman" w:eastAsia="Times New Roman" w:hAnsi="Times New Roman"/>
          <w:sz w:val="18"/>
          <w:szCs w:val="18"/>
          <w:color w:val="auto"/>
        </w:rPr>
        <w:t>of the Company dated less than five business days before the Closing Date and (ii) certified extracts of the minutes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resolutions of the Company’s combined general shareholders’ meeting dated May 11, 2026 and the decisions of the board of directors (</w:t>
      </w:r>
      <w:r>
        <w:rPr>
          <w:rFonts w:ascii="Times New Roman" w:cs="Times New Roman" w:eastAsia="Times New Roman" w:hAnsi="Times New Roman"/>
          <w:sz w:val="18"/>
          <w:szCs w:val="18"/>
          <w:i w:val="1"/>
          <w:iCs w:val="1"/>
          <w:color w:val="auto"/>
        </w:rPr>
        <w:t>conseil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d’administration</w:t>
      </w:r>
      <w:r>
        <w:rPr>
          <w:rFonts w:ascii="Times New Roman" w:cs="Times New Roman" w:eastAsia="Times New Roman" w:hAnsi="Times New Roman"/>
          <w:sz w:val="18"/>
          <w:szCs w:val="18"/>
          <w:color w:val="auto"/>
        </w:rPr>
        <w:t>) dated June 29, 2026 and of the Chief Executive Officer dated June 30, 2026 and July 1, 2026.</w:t>
      </w:r>
    </w:p>
    <w:p>
      <w:pPr>
        <w:spacing w:after="0" w:line="73" w:lineRule="exact"/>
        <w:rPr>
          <w:rFonts w:ascii="Times New Roman" w:cs="Times New Roman" w:eastAsia="Times New Roman" w:hAnsi="Times New Roman"/>
          <w:sz w:val="18"/>
          <w:szCs w:val="18"/>
          <w:color w:val="auto"/>
        </w:rPr>
      </w:pPr>
    </w:p>
    <w:p>
      <w:pPr>
        <w:ind w:right="80" w:firstLine="419"/>
        <w:spacing w:after="0" w:line="282" w:lineRule="auto"/>
        <w:tabs>
          <w:tab w:leader="none" w:pos="6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shall have executed and delivered the Deposit Agreement, and the Deposit Agreement shall be in full force and effect.</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7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Firm Securities shall have been approved for listing on the Nasdaq Global Market, and the Underlying Shares shall have been approved for listing on Euronext, subject only to official notice of issuance.</w:t>
      </w:r>
    </w:p>
    <w:p>
      <w:pPr>
        <w:spacing w:after="0" w:line="5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sent to Euroclear a </w:t>
      </w:r>
      <w:r>
        <w:rPr>
          <w:rFonts w:ascii="Times New Roman" w:cs="Times New Roman" w:eastAsia="Times New Roman" w:hAnsi="Times New Roman"/>
          <w:sz w:val="18"/>
          <w:szCs w:val="18"/>
          <w:i w:val="1"/>
          <w:iCs w:val="1"/>
          <w:color w:val="auto"/>
        </w:rPr>
        <w:t>lettre comptable</w:t>
      </w:r>
      <w:r>
        <w:rPr>
          <w:rFonts w:ascii="Times New Roman" w:cs="Times New Roman" w:eastAsia="Times New Roman" w:hAnsi="Times New Roman"/>
          <w:sz w:val="18"/>
          <w:szCs w:val="18"/>
          <w:color w:val="auto"/>
        </w:rPr>
        <w:t xml:space="preserve"> for the creation of the Securities.</w:t>
      </w:r>
    </w:p>
    <w:p>
      <w:pPr>
        <w:spacing w:after="0" w:line="16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80"/>
          </w:cols>
          <w:pgMar w:left="880" w:top="270" w:right="539" w:bottom="1440" w:gutter="0" w:footer="0" w:header="0"/>
        </w:sectPr>
      </w:pPr>
    </w:p>
    <w:bookmarkStart w:id="37" w:name="page38"/>
    <w:bookmarkEnd w:id="37"/>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 On the Closing Date, once it has received the funds corresponding to the subscription of the applicable Securities and/or irrevocably pre-matched settlement instructions with Morgan Stanley &amp; Co. LLC, for purposes of settlement and delivery of the Firm Securities, the Registrar shall have issued the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provided for by Article L. 225-146 of the French Commercial Code, relating to the capital increase of the Company resulting from the subscription of the Firm Securities, and shall have sent a copy thereof to the Company and the Representatives.</w:t>
      </w:r>
    </w:p>
    <w:p>
      <w:pPr>
        <w:spacing w:after="0" w:line="75" w:lineRule="exact"/>
        <w:rPr>
          <w:sz w:val="20"/>
          <w:szCs w:val="20"/>
          <w:color w:val="auto"/>
        </w:rPr>
      </w:pPr>
    </w:p>
    <w:p>
      <w:pPr>
        <w:ind w:left="680" w:hanging="26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prepared and issued the Press Releases in accordance with AMF regulations.</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liaised with Euronext to publish (i) the notice of issue of the Underlying Shares and (ii) the notice admission of the Underlying Shares for trading on Euronext, each being in full force and effect.</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Date, the Securities shall be eligible for clearance and settlement through the facilities of the DTC.</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confirmed that it has not raised any objection with respect to the fairness and reasonableness of the underwriting terms and arrangements relating to the Offering.</w:t>
      </w:r>
    </w:p>
    <w:p>
      <w:pPr>
        <w:spacing w:after="0" w:line="53" w:lineRule="exact"/>
        <w:rPr>
          <w:rFonts w:ascii="Times New Roman" w:cs="Times New Roman" w:eastAsia="Times New Roman" w:hAnsi="Times New Roman"/>
          <w:sz w:val="18"/>
          <w:szCs w:val="18"/>
          <w:color w:val="auto"/>
        </w:rPr>
      </w:pPr>
    </w:p>
    <w:p>
      <w:pPr>
        <w:ind w:right="320" w:firstLine="419"/>
        <w:spacing w:after="0" w:line="266" w:lineRule="auto"/>
        <w:tabs>
          <w:tab w:leader="none" w:pos="6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“lock-up” agreements, each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delivered by the officers and directors of the Company relating to restrictions on sales and certain other dispositions of ADSs, Ordinary Shares and certain other securities, delivered to the Representatives on or before the date hereof (the “</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shall be in full force and effect on the Closing Date.</w:t>
      </w:r>
    </w:p>
    <w:p>
      <w:pPr>
        <w:spacing w:after="0" w:line="67"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this Agreement and on the Closing Date, the Underwriters shall have received from the Company a certificate of its Chief Financial Officer with respect to certain financial data contained in the Time of Sale Prospectus and the Prospectus, which certificate shall be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Securities hereunder are subject to the delivery to the Representatives on the Option Closing Date of the following:</w:t>
      </w:r>
    </w:p>
    <w:p>
      <w:pPr>
        <w:spacing w:after="0" w:line="53"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1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5(b) hereof remains true and correct as of the Option Closing Date;</w:t>
      </w:r>
    </w:p>
    <w:p>
      <w:pPr>
        <w:spacing w:after="0" w:line="53" w:lineRule="exact"/>
        <w:rPr>
          <w:rFonts w:ascii="Times New Roman" w:cs="Times New Roman" w:eastAsia="Times New Roman" w:hAnsi="Times New Roman"/>
          <w:sz w:val="18"/>
          <w:szCs w:val="18"/>
          <w:color w:val="auto"/>
        </w:rPr>
      </w:pPr>
    </w:p>
    <w:p>
      <w:pPr>
        <w:ind w:left="540" w:right="460" w:firstLine="408"/>
        <w:spacing w:after="0" w:line="282" w:lineRule="auto"/>
        <w:tabs>
          <w:tab w:leader="none" w:pos="120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the Depositary in form and substance satisfactory to the Underwriters and dated the Option Closing Date, substantially in the same form and substance as the certificate furnished to the Underwriters pursuant to Section 5(c) hereof;</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40"/>
          </w:cols>
          <w:pgMar w:left="880" w:top="270" w:right="479" w:bottom="1440" w:gutter="0" w:footer="0" w:header="0"/>
        </w:sectPr>
      </w:pPr>
    </w:p>
    <w:bookmarkStart w:id="38" w:name="page39"/>
    <w:bookmarkEnd w:id="38"/>
    <w:p>
      <w:pPr>
        <w:ind w:left="-20" w:right="300" w:firstLine="408"/>
        <w:spacing w:after="0" w:line="266" w:lineRule="auto"/>
        <w:tabs>
          <w:tab w:leader="none" w:pos="6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opinion and negative assurance letter of Cooley LLP, U.S. counsel for the Company, each dated the Option Closing Date, relating to the Additional Securities to be purchased on the Option Closing Date and otherwise to the same effect as the opinion and negative assurance letter required by Section 5(d) hereof;</w:t>
      </w:r>
    </w:p>
    <w:p>
      <w:pPr>
        <w:spacing w:after="0" w:line="67" w:lineRule="exact"/>
        <w:rPr>
          <w:rFonts w:ascii="Times New Roman" w:cs="Times New Roman" w:eastAsia="Times New Roman" w:hAnsi="Times New Roman"/>
          <w:sz w:val="18"/>
          <w:szCs w:val="18"/>
          <w:color w:val="auto"/>
        </w:rPr>
      </w:pPr>
    </w:p>
    <w:p>
      <w:pPr>
        <w:ind w:left="-20" w:right="120" w:firstLine="408"/>
        <w:spacing w:after="0" w:line="266" w:lineRule="auto"/>
        <w:tabs>
          <w:tab w:leader="none" w:pos="6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Orrick, Herrington &amp; Sutcliffe (Europe) LLP, French counsel for the Company, dated the Option Closing Date, relating to the Additional Securities to be purchased on the Option Closing Date and otherwise to the same effect as the opinion required by Section 5(e) hereof;</w:t>
      </w:r>
    </w:p>
    <w:p>
      <w:pPr>
        <w:spacing w:after="0" w:line="67" w:lineRule="exact"/>
        <w:rPr>
          <w:rFonts w:ascii="Times New Roman" w:cs="Times New Roman" w:eastAsia="Times New Roman" w:hAnsi="Times New Roman"/>
          <w:sz w:val="18"/>
          <w:szCs w:val="18"/>
          <w:color w:val="auto"/>
        </w:rPr>
      </w:pPr>
    </w:p>
    <w:p>
      <w:pPr>
        <w:jc w:val="both"/>
        <w:ind w:left="-20" w:right="280" w:firstLine="408"/>
        <w:spacing w:after="0" w:line="266"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Latham &amp; Watkins LLP, U.S. counsel for the Underwriters, each dated the Option Closing Date, relating to the Additional Securities to be purchased on the Option Closing Date and otherwise to the same effect as the opinion and negative assurance letter required by Section 5(f) hereof;</w:t>
      </w:r>
    </w:p>
    <w:p>
      <w:pPr>
        <w:spacing w:after="0" w:line="67" w:lineRule="exact"/>
        <w:rPr>
          <w:rFonts w:ascii="Times New Roman" w:cs="Times New Roman" w:eastAsia="Times New Roman" w:hAnsi="Times New Roman"/>
          <w:sz w:val="18"/>
          <w:szCs w:val="18"/>
          <w:color w:val="auto"/>
        </w:rPr>
      </w:pPr>
    </w:p>
    <w:p>
      <w:pPr>
        <w:ind w:left="-20" w:right="160" w:firstLine="408"/>
        <w:spacing w:after="0" w:line="266" w:lineRule="auto"/>
        <w:tabs>
          <w:tab w:leader="none" w:pos="6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Gide Loyrette Nouel A.A.R.P.I., French counsel for the Underwriters, dated the Option Closing Date, relating to the Additional Securities to be purchased on the Option Closing Date and otherwise to the same effect as the opinion required by Section 5(g) hereof;</w:t>
      </w:r>
    </w:p>
    <w:p>
      <w:pPr>
        <w:spacing w:after="0" w:line="67" w:lineRule="exact"/>
        <w:rPr>
          <w:rFonts w:ascii="Times New Roman" w:cs="Times New Roman" w:eastAsia="Times New Roman" w:hAnsi="Times New Roman"/>
          <w:sz w:val="18"/>
          <w:szCs w:val="18"/>
          <w:color w:val="auto"/>
        </w:rPr>
      </w:pPr>
    </w:p>
    <w:p>
      <w:pPr>
        <w:jc w:val="both"/>
        <w:ind w:left="-20" w:right="220" w:firstLine="408"/>
        <w:spacing w:after="0" w:line="312" w:lineRule="auto"/>
        <w:tabs>
          <w:tab w:leader="none" w:pos="7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of Ipsilon SAS, special patent counsel for the Company, dated the Option Closing Date, relating to the Additional Securities to be purchased on the Option Closing Date and otherwise to the same effect as the opinion required by Section 5(h) hereof;</w:t>
      </w:r>
    </w:p>
    <w:p>
      <w:pPr>
        <w:spacing w:after="0" w:line="31" w:lineRule="exact"/>
        <w:rPr>
          <w:rFonts w:ascii="Times New Roman" w:cs="Times New Roman" w:eastAsia="Times New Roman" w:hAnsi="Times New Roman"/>
          <w:sz w:val="17"/>
          <w:szCs w:val="17"/>
          <w:color w:val="auto"/>
        </w:rPr>
      </w:pPr>
    </w:p>
    <w:p>
      <w:pPr>
        <w:ind w:left="-20" w:firstLine="408"/>
        <w:spacing w:after="0" w:line="282" w:lineRule="auto"/>
        <w:tabs>
          <w:tab w:leader="none" w:pos="7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Patterson Belknap Webb &amp; Tyler LLP, counsel for the Depositary, dated the Option Closing Date, relating to the Additional Securities to be purchased on the Option Closing Date and otherwise to the same effect as the opinion required by Section 5(i);</w:t>
      </w:r>
    </w:p>
    <w:p>
      <w:pPr>
        <w:spacing w:after="0" w:line="53" w:lineRule="exact"/>
        <w:rPr>
          <w:rFonts w:ascii="Times New Roman" w:cs="Times New Roman" w:eastAsia="Times New Roman" w:hAnsi="Times New Roman"/>
          <w:sz w:val="18"/>
          <w:szCs w:val="18"/>
          <w:color w:val="auto"/>
        </w:rPr>
      </w:pPr>
    </w:p>
    <w:p>
      <w:pPr>
        <w:ind w:left="-20" w:right="360" w:firstLine="408"/>
        <w:spacing w:after="0" w:line="261" w:lineRule="auto"/>
        <w:tabs>
          <w:tab w:leader="none" w:pos="6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from PricewaterhouseCoopers Audit, dated the Option Closing Date, in form and substance satisfactory to the Underwriters, substantially in the same form and substance as the letter furnished to the Underwriters pursuant to Section 5(j) 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Option Closing Date shall use a “cut-off date” not earlier than two business days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Closing Date;</w:t>
      </w:r>
    </w:p>
    <w:p>
      <w:pPr>
        <w:spacing w:after="0" w:line="69" w:lineRule="exact"/>
        <w:rPr>
          <w:rFonts w:ascii="Times New Roman" w:cs="Times New Roman" w:eastAsia="Times New Roman" w:hAnsi="Times New Roman"/>
          <w:sz w:val="18"/>
          <w:szCs w:val="18"/>
          <w:color w:val="auto"/>
        </w:rPr>
      </w:pPr>
    </w:p>
    <w:p>
      <w:pPr>
        <w:ind w:left="-20" w:right="20" w:firstLine="408"/>
        <w:spacing w:after="0" w:line="267"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prepared and issued the Greenshoe Press Release in accordance with AMF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delivery of the Additional Securities occurs on the Closing Date, then any press release announcing the Closing Date shall satisfy this condition;</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940"/>
          </w:cols>
          <w:pgMar w:left="1440" w:top="270" w:right="519" w:bottom="1440" w:gutter="0" w:footer="0" w:header="0"/>
        </w:sectPr>
      </w:pPr>
    </w:p>
    <w:bookmarkStart w:id="39" w:name="page40"/>
    <w:bookmarkEnd w:id="39"/>
    <w:p>
      <w:pPr>
        <w:ind w:left="1264" w:hanging="312"/>
        <w:spacing w:after="0"/>
        <w:tabs>
          <w:tab w:leader="none" w:pos="126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have sent to Euroclear a </w:t>
      </w:r>
      <w:r>
        <w:rPr>
          <w:rFonts w:ascii="Times New Roman" w:cs="Times New Roman" w:eastAsia="Times New Roman" w:hAnsi="Times New Roman"/>
          <w:sz w:val="18"/>
          <w:szCs w:val="18"/>
          <w:i w:val="1"/>
          <w:iCs w:val="1"/>
          <w:color w:val="auto"/>
        </w:rPr>
        <w:t>lettre comptable</w:t>
      </w:r>
      <w:r>
        <w:rPr>
          <w:rFonts w:ascii="Times New Roman" w:cs="Times New Roman" w:eastAsia="Times New Roman" w:hAnsi="Times New Roman"/>
          <w:sz w:val="18"/>
          <w:szCs w:val="18"/>
          <w:color w:val="auto"/>
        </w:rPr>
        <w:t xml:space="preserve"> for the creation of the Additional Securities;</w:t>
      </w:r>
    </w:p>
    <w:p>
      <w:pPr>
        <w:spacing w:after="0" w:line="119" w:lineRule="exact"/>
        <w:rPr>
          <w:rFonts w:ascii="Times New Roman" w:cs="Times New Roman" w:eastAsia="Times New Roman" w:hAnsi="Times New Roman"/>
          <w:sz w:val="18"/>
          <w:szCs w:val="18"/>
          <w:color w:val="auto"/>
        </w:rPr>
      </w:pPr>
    </w:p>
    <w:p>
      <w:pPr>
        <w:ind w:left="544" w:right="40" w:firstLine="408"/>
        <w:spacing w:after="0" w:line="257" w:lineRule="auto"/>
        <w:tabs>
          <w:tab w:leader="none" w:pos="129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Option Closing Date, once it has received the funds corresponding to the subscription of the applicable Securities and/or irrevocably pre-matched settlement instructions with Morgan Stanley &amp; Co. LLC, for purposes of settlement and delivery of the Additional Securities, the Registrar shall have issued the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provided for by Article L.</w:t>
      </w:r>
    </w:p>
    <w:p>
      <w:pPr>
        <w:spacing w:after="0" w:line="1" w:lineRule="exact"/>
        <w:rPr>
          <w:rFonts w:ascii="Times New Roman" w:cs="Times New Roman" w:eastAsia="Times New Roman" w:hAnsi="Times New Roman"/>
          <w:sz w:val="18"/>
          <w:szCs w:val="18"/>
          <w:color w:val="auto"/>
        </w:rPr>
      </w:pPr>
    </w:p>
    <w:p>
      <w:pPr>
        <w:ind w:left="54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225-146 of the French Commercial Code, relating to the capital increase of the Company resulting from the subscription of the Additional Securities, and shall have sent a copy thereof to the Company and the Representatives;</w:t>
      </w:r>
    </w:p>
    <w:p>
      <w:pPr>
        <w:spacing w:after="0" w:line="73" w:lineRule="exact"/>
        <w:rPr>
          <w:rFonts w:ascii="Times New Roman" w:cs="Times New Roman" w:eastAsia="Times New Roman" w:hAnsi="Times New Roman"/>
          <w:sz w:val="18"/>
          <w:szCs w:val="18"/>
          <w:color w:val="auto"/>
        </w:rPr>
      </w:pPr>
    </w:p>
    <w:p>
      <w:pPr>
        <w:ind w:left="544" w:right="460" w:firstLine="408"/>
        <w:spacing w:after="0" w:line="282" w:lineRule="auto"/>
        <w:tabs>
          <w:tab w:leader="none" w:pos="134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Chief Financial Officer of the Company, dated the Option Closing Date, confirming that the certificate delivered on the Closing Date pursuant to Section 5(u) hereof remains true and correct as of the Option Closing Date; and</w:t>
      </w:r>
    </w:p>
    <w:p>
      <w:pPr>
        <w:spacing w:after="0" w:line="53" w:lineRule="exact"/>
        <w:rPr>
          <w:rFonts w:ascii="Times New Roman" w:cs="Times New Roman" w:eastAsia="Times New Roman" w:hAnsi="Times New Roman"/>
          <w:sz w:val="18"/>
          <w:szCs w:val="18"/>
          <w:color w:val="auto"/>
        </w:rPr>
      </w:pPr>
    </w:p>
    <w:p>
      <w:pPr>
        <w:ind w:left="544" w:firstLine="408"/>
        <w:spacing w:after="0" w:line="266" w:lineRule="auto"/>
        <w:tabs>
          <w:tab w:leader="none" w:pos="133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Securities to be sold on the Option Closing Date and other matters related to the issuance of such Additional Securities.</w:t>
      </w:r>
    </w:p>
    <w:p>
      <w:pPr>
        <w:spacing w:after="0" w:line="6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right="60" w:firstLine="419"/>
        <w:spacing w:after="0" w:line="274" w:lineRule="auto"/>
        <w:tabs>
          <w:tab w:leader="none" w:pos="67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furnish to the Representatives, without charge, five signed copies of the Registration Statement and the ADS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spacing w:after="0" w:line="64" w:lineRule="exact"/>
        <w:rPr>
          <w:rFonts w:ascii="Times New Roman" w:cs="Times New Roman" w:eastAsia="Times New Roman" w:hAnsi="Times New Roman"/>
          <w:sz w:val="17"/>
          <w:szCs w:val="17"/>
          <w:color w:val="auto"/>
        </w:rPr>
      </w:pPr>
    </w:p>
    <w:p>
      <w:pPr>
        <w:ind w:left="4" w:right="60" w:firstLine="419"/>
        <w:spacing w:after="0" w:line="261" w:lineRule="auto"/>
        <w:tabs>
          <w:tab w:leader="none" w:pos="6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ADS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44"/>
          </w:cols>
          <w:pgMar w:left="876" w:top="268" w:right="479" w:bottom="1440" w:gutter="0" w:footer="0" w:header="0"/>
        </w:sectPr>
      </w:pPr>
    </w:p>
    <w:bookmarkStart w:id="40" w:name="page41"/>
    <w:bookmarkEnd w:id="40"/>
    <w:p>
      <w:pPr>
        <w:ind w:right="120" w:firstLine="419"/>
        <w:spacing w:after="0" w:line="282" w:lineRule="auto"/>
        <w:tabs>
          <w:tab w:leader="none" w:pos="6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3"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right="100" w:firstLine="419"/>
        <w:spacing w:after="0" w:line="253" w:lineRule="auto"/>
        <w:tabs>
          <w:tab w:leader="none" w:pos="6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The information contained in such amendment or supplement shall be made available, to the extent the Representatives reasonably determine that it is required by applicable French laws after consultation with the Company, to the public in France through a press release broadcasted pursuant to applicable AMF rules.</w:t>
      </w:r>
    </w:p>
    <w:p>
      <w:pPr>
        <w:spacing w:after="0" w:line="81"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The information contained in such amendment or supplement shall be made available, to the extent the Representatives reasonably determine that it is required by applicable French laws after consultation with the Company, to the public in France through a press release broadcasted pursuant to applicable AMF rules.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0"/>
          </w:cols>
          <w:pgMar w:left="880" w:top="270" w:right="459" w:bottom="1440" w:gutter="0" w:footer="0" w:header="0"/>
        </w:sectPr>
      </w:pPr>
    </w:p>
    <w:bookmarkStart w:id="41" w:name="page42"/>
    <w:bookmarkEnd w:id="41"/>
    <w:p>
      <w:pPr>
        <w:ind w:right="80" w:firstLine="419"/>
        <w:spacing w:after="0" w:line="282"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endeavor to qualify the Securities for offer and sale under the securities or Blue Sky laws of such jurisdictions as the Representatives shall reasonably request.</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 soon as practicable, before or after the Closing Date and in any event within any prescribed period of time, give such notices to, or make such filings with, Euronext or other agencies or bodies, as shall be required under any applicable laws or regulations in connection with the Offering.</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67" w:lineRule="exact"/>
        <w:rPr>
          <w:rFonts w:ascii="Times New Roman" w:cs="Times New Roman" w:eastAsia="Times New Roman" w:hAnsi="Times New Roman"/>
          <w:sz w:val="18"/>
          <w:szCs w:val="18"/>
          <w:color w:val="auto"/>
        </w:rPr>
      </w:pPr>
    </w:p>
    <w:p>
      <w:pPr>
        <w:ind w:firstLine="419"/>
        <w:spacing w:after="0" w:line="251"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the ADS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Shares (within the time required by Rule 456(b)(1), if applicable)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taxes payable thereon, (iii) the cost of printing or producing any Blue Sky or Legal Investment memorandum in connection with the offer and sale of the Securities (and, if necessary, the Underlying Shares)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the FINRA, in an amount not to exceed, together with the fees and disbursements of counsel described in clause (iii) above, an aggregate of $30,000, (v) all costs and expenses incident to listing the Securities (and the Underlying Shares) on the Nasdaq Global Market and other national securities exchanges and foreign stock exchanges, (vi) the costs and charges of any transfer agent, registrar or depositary, (vii)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to be paid by the Underwriters), (viii) the document production charges and expenses associated with printing this Agreement, (ix) the costs and expenses of qualifying the Securities for inclusion in the book-entry settlement system of DTC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and any advertising expenses connected with any offers they may make.</w:t>
      </w:r>
    </w:p>
    <w:p>
      <w:pPr>
        <w:spacing w:after="0" w:line="1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60"/>
          </w:cols>
          <w:pgMar w:left="880" w:top="270" w:right="459" w:bottom="1440" w:gutter="0" w:footer="0" w:header="0"/>
        </w:sectPr>
      </w:pPr>
    </w:p>
    <w:bookmarkStart w:id="42" w:name="page43"/>
    <w:bookmarkEnd w:id="42"/>
    <w:p>
      <w:pPr>
        <w:ind w:left="684" w:hanging="261"/>
        <w:spacing w:after="0"/>
        <w:tabs>
          <w:tab w:leader="none" w:pos="6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promptly notify the Representatives if the Company ceases to be an Emerging Growth Company at any time prior to the later of</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distribution of the Securities within the meaning of the Securities Act and (ii) completion of the Restricted Period (as defined in this Section 6).</w:t>
      </w:r>
    </w:p>
    <w:p>
      <w:pPr>
        <w:spacing w:after="0" w:line="73" w:lineRule="exact"/>
        <w:rPr>
          <w:rFonts w:ascii="Times New Roman" w:cs="Times New Roman" w:eastAsia="Times New Roman" w:hAnsi="Times New Roman"/>
          <w:sz w:val="18"/>
          <w:szCs w:val="18"/>
          <w:color w:val="auto"/>
        </w:rPr>
      </w:pPr>
    </w:p>
    <w:p>
      <w:pPr>
        <w:ind w:left="4" w:firstLine="419"/>
        <w:spacing w:after="0" w:line="256" w:lineRule="auto"/>
        <w:tabs>
          <w:tab w:leader="none" w:pos="64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44"/>
          </w:cols>
          <w:pgMar w:left="876" w:top="270" w:right="479" w:bottom="1440" w:gutter="0" w:footer="0" w:header="0"/>
        </w:sectPr>
      </w:pPr>
    </w:p>
    <w:bookmarkStart w:id="43" w:name="page44"/>
    <w:bookmarkEnd w:id="43"/>
    <w:p>
      <w:pPr>
        <w:jc w:val="both"/>
        <w:ind w:firstLine="419"/>
        <w:spacing w:after="0" w:line="261" w:lineRule="auto"/>
        <w:tabs>
          <w:tab w:leader="none" w:pos="7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Closing Date or the Option Closing Date, as the case may be, to deposit the Underlying Shares with the Depositary in accordance with the provision of the Deposit Agreement and otherwise to comply with the Deposit Agreement so that ADRs evidencing the applicable ADSs will be issued by the Depositary against receipt of such Underlying Shares and delivered to the Underwriters on the Closing Date or the Option Closing Date, as the case may be.</w:t>
      </w:r>
    </w:p>
    <w:p>
      <w:pPr>
        <w:spacing w:after="0" w:line="71"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commercially reasonable efforts to maintain the listing of the ADSs (and the Underlying Shares) on the Nasdaq Global Market and of the Ordinary Shares on Euronext and comply with all applicable laws and regulations due to such listing.</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indemnify and hold the Underwriters harmless against, any documentary, stamp, registration or similar issuance tax imposed under French law (including any financial transaction tax as set out in Article 235 ter ZD of the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xml:space="preserve"> or any political sub-division or taxing authority thereof or therein that is payable in connection with (i) the execution, delivery, consummation or enforcement of this Agreement or the Deposit Agreement, (ii) the creation, allotment and issuance of the Securities, (iii) the sale and delivery of the Securities to the Underwriters or purchasers procured by the Underwriters, (iv) the holding of the Securities, or (v) the deposit of the Ordinary Shares with the Depositary and the issuance and delivery of the ADRs evidencing the ADSs,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deed (</w:t>
      </w:r>
      <w:r>
        <w:rPr>
          <w:rFonts w:ascii="Times New Roman" w:cs="Times New Roman" w:eastAsia="Times New Roman" w:hAnsi="Times New Roman"/>
          <w:sz w:val="18"/>
          <w:szCs w:val="18"/>
          <w:i w:val="1"/>
          <w:iCs w:val="1"/>
          <w:color w:val="auto"/>
        </w:rPr>
        <w:t>acte juridique</w:t>
      </w:r>
      <w:r>
        <w:rPr>
          <w:rFonts w:ascii="Times New Roman" w:cs="Times New Roman" w:eastAsia="Times New Roman" w:hAnsi="Times New Roman"/>
          <w:sz w:val="18"/>
          <w:szCs w:val="18"/>
          <w:color w:val="auto"/>
        </w:rPr>
        <w:t>) evidencing the sale or transfer of the Securities is executed. For the avoidance of doubt, this shall not include any stamp, registration, transfer or other similar tax or duties arising from, or in connection with, the re-sale of Securities.</w:t>
      </w:r>
    </w:p>
    <w:p>
      <w:pPr>
        <w:spacing w:after="0" w:line="83" w:lineRule="exact"/>
        <w:rPr>
          <w:rFonts w:ascii="Times New Roman" w:cs="Times New Roman" w:eastAsia="Times New Roman" w:hAnsi="Times New Roman"/>
          <w:sz w:val="18"/>
          <w:szCs w:val="18"/>
          <w:color w:val="auto"/>
        </w:rPr>
      </w:pPr>
    </w:p>
    <w:p>
      <w:pPr>
        <w:jc w:val="both"/>
        <w:ind w:right="120" w:firstLine="419"/>
        <w:spacing w:after="0" w:line="289" w:lineRule="auto"/>
        <w:tabs>
          <w:tab w:leader="none" w:pos="67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all sums payable by the Company under this Agreement free and clear of and without deductions or withholdings of any present or future taxes or duties, unless the deduction or withholding is required by law, in which case the Company shall pay such additional amount as will result in the receipt by each Underwriter of the full amount that would have been received had no deduction or withholding been made.</w:t>
      </w:r>
    </w:p>
    <w:p>
      <w:pPr>
        <w:spacing w:after="0" w:line="49" w:lineRule="exact"/>
        <w:rPr>
          <w:rFonts w:ascii="Times New Roman" w:cs="Times New Roman" w:eastAsia="Times New Roman" w:hAnsi="Times New Roman"/>
          <w:sz w:val="17"/>
          <w:szCs w:val="17"/>
          <w:color w:val="auto"/>
        </w:rPr>
      </w:pPr>
    </w:p>
    <w:p>
      <w:pPr>
        <w:ind w:right="60" w:firstLine="419"/>
        <w:spacing w:after="0" w:line="266"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is obliged to pay value added, sale or similar tax on any amount payable hereunder to an Underwriter, to, in addition to the sum payable hereunder (and at the same time as paying that sum), pay any applicable value added, sale or similar tax in addition to that amount, on receipt of a valid value added tax invoice.</w:t>
      </w:r>
    </w:p>
    <w:p>
      <w:pPr>
        <w:spacing w:after="0" w:line="67" w:lineRule="exact"/>
        <w:rPr>
          <w:rFonts w:ascii="Times New Roman" w:cs="Times New Roman" w:eastAsia="Times New Roman" w:hAnsi="Times New Roman"/>
          <w:sz w:val="18"/>
          <w:szCs w:val="18"/>
          <w:color w:val="auto"/>
        </w:rPr>
      </w:pPr>
    </w:p>
    <w:p>
      <w:pPr>
        <w:ind w:right="200" w:firstLine="419"/>
        <w:spacing w:after="0" w:line="261"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to each Underwriter (or its agent), on or prior to the date of execution of this Agreement, a properly completed and executed Certification Regarding Beneficial Owners of Legal Entity Customers, together with copies of identifying documentation, and to provide such additional supporting documentation as each Underwriter may reasonably request in connection with the verification of the foregoing Certification.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70" w:right="459" w:bottom="1440" w:gutter="0" w:footer="0" w:header="0"/>
        </w:sectPr>
      </w:pPr>
    </w:p>
    <w:bookmarkStart w:id="44" w:name="page45"/>
    <w:bookmarkEnd w:id="44"/>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also covenants with each Underwriter that, without the prior written consent of the Representatives on behalf of the Underwriters, it will not, and will not publicly disclose an intention to, during the period ending 60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w:t>
      </w:r>
    </w:p>
    <w:p>
      <w:pPr>
        <w:ind w:left="4" w:hanging="4"/>
        <w:spacing w:after="0" w:line="252"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ADSs, Ordinary Shares or any securities convertible into or exercisable or exchangeable for ADSs or Ordinary Shares (such other securities, including any received upon grant or vesting pursuant to a free share plan,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or (2) enter into any hedging, swap or other arrangement that transfers to another, in whole or in part, any of the economic consequences of ownership of the ADSs, Ordinary Shares or derivative securities, whether any such transaction described in clause (1) or (2) above is to be settled by delivery of ADSs, Ordinary Shares or derivative securities, in cash or otherwise or (3) file any registration statement with the Commission relating to the offering of any ADSs, Ordinary Shares or derivative securities.</w:t>
      </w:r>
    </w:p>
    <w:p>
      <w:pPr>
        <w:spacing w:after="0" w:line="188"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The restrictions contained in the preceding paragraph shall not apply to (A) the Securities to be sold hereunder and the Underlying Shares to be deposited with the Depositary in connection therewith, (B) the issuance by the Company of ADSs or Ordinary Shares upon the exercise of an option or warrant or the conversion of a security outstanding on the date hereof as described in each of the Time of Sale Prospectus, Prospectus and the Public Documents, (C) the issuance by the Company of ADSs or Ordinary Shares, or share options, free shares (</w:t>
      </w:r>
      <w:r>
        <w:rPr>
          <w:rFonts w:ascii="Times New Roman" w:cs="Times New Roman" w:eastAsia="Times New Roman" w:hAnsi="Times New Roman"/>
          <w:sz w:val="17"/>
          <w:szCs w:val="17"/>
          <w:i w:val="1"/>
          <w:iCs w:val="1"/>
          <w:color w:val="auto"/>
        </w:rPr>
        <w:t>actions gratuites</w:t>
      </w:r>
      <w:r>
        <w:rPr>
          <w:rFonts w:ascii="Times New Roman" w:cs="Times New Roman" w:eastAsia="Times New Roman" w:hAnsi="Times New Roman"/>
          <w:sz w:val="17"/>
          <w:szCs w:val="17"/>
          <w:color w:val="auto"/>
        </w:rPr>
        <w:t>) and warrants (including share warrants (BSA) and founder’s warrants (BSPCE)) to purchase ADSs or Ordinary Shares granted to employees, members of management or consultants, pursuant to existing shareholders’ authorizations of the Company referred to in the Registration Statement, the Time of Sale Prospectus, the Prospectus or the Public Documents, (D) facilitating the establishment of a trading plan on behalf of a shareholder, officer or director of the Company pursuant to Rule 10b5-1 under the Exchange Act (“</w:t>
      </w:r>
      <w:r>
        <w:rPr>
          <w:rFonts w:ascii="Times New Roman" w:cs="Times New Roman" w:eastAsia="Times New Roman" w:hAnsi="Times New Roman"/>
          <w:sz w:val="17"/>
          <w:szCs w:val="17"/>
          <w:b w:val="1"/>
          <w:bCs w:val="1"/>
          <w:color w:val="auto"/>
        </w:rPr>
        <w:t>10b5-1 Trading Plan</w:t>
      </w:r>
      <w:r>
        <w:rPr>
          <w:rFonts w:ascii="Times New Roman" w:cs="Times New Roman" w:eastAsia="Times New Roman" w:hAnsi="Times New Roman"/>
          <w:sz w:val="17"/>
          <w:szCs w:val="17"/>
          <w:color w:val="auto"/>
        </w:rPr>
        <w:t xml:space="preserve">”) for the transfer of ADSs or Ordinary Shares or the amendment of an existing 10b5-1 Trading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provide for the transfer of ADSs or Ordinary Shares during the Restricted Period and (ii) no public announcement or filing under the Exchange Act, the rules and regulations of the French Financial Markets Authority (</w:t>
      </w:r>
      <w:r>
        <w:rPr>
          <w:rFonts w:ascii="Times New Roman" w:cs="Times New Roman" w:eastAsia="Times New Roman" w:hAnsi="Times New Roman"/>
          <w:sz w:val="17"/>
          <w:szCs w:val="17"/>
          <w:i w:val="1"/>
          <w:iCs w:val="1"/>
          <w:color w:val="auto"/>
        </w:rPr>
        <w:t>Autorité des Marchés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Financiers</w:t>
      </w:r>
      <w:r>
        <w:rPr>
          <w:rFonts w:ascii="Times New Roman" w:cs="Times New Roman" w:eastAsia="Times New Roman" w:hAnsi="Times New Roman"/>
          <w:sz w:val="17"/>
          <w:szCs w:val="17"/>
          <w:color w:val="auto"/>
        </w:rPr>
        <w:t>) or otherwise shall be required of or voluntarily made by or on behalf of such individual or the Company regarding the establishment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amendment of such plan, (E) the entry into an agreement providing for the issuance by the Company of ADSs, Ordinary Shares or derivative securities in connection with the acquisition by the Company of the securities, business, technology, property or other assets of another person or entity, or pursuant to an employee benefit plan assumed by the Company in connection with such acquisition, and the issuance of any such securities pursuant to any such agreement, (F) the entry into any agreement providing for the issuance of ADSs, Ordinary Shares or derivative securities in connection with joint ventures, commercial relationships or other strategic transactions, and the issuance of any such securities pursuant to any such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in the case of clauses (E) and (F), the aggregate number of ADSs, Ordinary Shares or derivative securities that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may sell or issue or agree to sell or issue shall not exceed 5% of the total number of Ordinary Shares (including in the form of ADSs) issued and outstanding immediately following the completion of the transactions contemplated by this Agreement;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further, that in the case of clauses</w:t>
      </w:r>
    </w:p>
    <w:p>
      <w:pPr>
        <w:spacing w:after="0" w:line="208" w:lineRule="exact"/>
        <w:rPr>
          <w:sz w:val="20"/>
          <w:szCs w:val="20"/>
          <w:color w:val="auto"/>
        </w:rPr>
      </w:pPr>
    </w:p>
    <w:p>
      <w:pPr>
        <w:ind w:left="4" w:hanging="4"/>
        <w:spacing w:after="0" w:line="252" w:lineRule="auto"/>
        <w:tabs>
          <w:tab w:leader="none" w:pos="27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(F), the Company shall cause each recipient of such securities to execute and deliver to the Representatives, on or prior to the issuance of such securities, a lock-up agreement substantially on the same terms as the Lock-up Agreements referenced in Section 5(t) for the remainder of the Restricted Period and enter stop transfer instructions with the Company’s transfer agent and registrar for such securities, (G) the issuance and sale of ADSs pursuant to the Company’s existing equity distribution agreement with Piper Sandler &amp; 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sales may only occur at least 30 days after the date of this Agreement, or (H) the filing, after the Closing Date, of a registration statement on Form F-6 relating to the ADSs;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furnish to the Representatives a copy of the proposed registration statement prior to any such filing.</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45" w:name="page46"/>
    <w:bookmarkEnd w:id="45"/>
    <w:p>
      <w:pPr>
        <w:ind w:right="240" w:firstLine="436"/>
        <w:spacing w:after="0" w:line="267"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of the Securities Act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the Prospectus or any amendment or supplement thereto, the Public Documents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8" w:right="459" w:bottom="1440" w:gutter="0" w:footer="0" w:header="0"/>
        </w:sectPr>
      </w:pPr>
    </w:p>
    <w:bookmarkStart w:id="46" w:name="page47"/>
    <w:bookmarkEnd w:id="46"/>
    <w:p>
      <w:pPr>
        <w:ind w:left="4" w:right="120" w:firstLine="419"/>
        <w:spacing w:after="0" w:line="254" w:lineRule="auto"/>
        <w:tabs>
          <w:tab w:leader="none" w:pos="68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or any written Testing-the-Waters Communication;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only such information furnished by any Underwriter consists of the following information in the Prospectus furnished on behalf of each Underwriter: the information concerning stabilization by the Underwriters appearing in the sixteenth paragraph under the caption “Underwriting” in the Prospectus except for the fourth, seventh, ninth, tenth and eleventh sentences of the paragraph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firstLine="419"/>
        <w:spacing w:after="0" w:line="268" w:lineRule="auto"/>
        <w:tabs>
          <w:tab w:leader="none" w:pos="67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reasonably incurred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4"/>
          </w:cols>
          <w:pgMar w:left="876" w:top="270" w:right="459" w:bottom="1440" w:gutter="0" w:footer="0" w:header="0"/>
        </w:sectPr>
      </w:pPr>
    </w:p>
    <w:bookmarkStart w:id="47" w:name="page48"/>
    <w:bookmarkEnd w:id="47"/>
    <w:p>
      <w:pPr>
        <w:ind w:firstLine="419"/>
        <w:spacing w:after="0" w:line="252"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commissions received by the Underwriters, in each case as set forth in the table on the cover of the Prospectus, bear to the aggregate Public Offering Price of the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0"/>
          </w:cols>
          <w:pgMar w:left="880" w:top="270" w:right="459" w:bottom="1440" w:gutter="0" w:footer="0" w:header="0"/>
        </w:sectPr>
      </w:pPr>
    </w:p>
    <w:bookmarkStart w:id="48" w:name="page49"/>
    <w:bookmarkEnd w:id="48"/>
    <w:p>
      <w:pPr>
        <w:ind w:left="440" w:right="20" w:firstLine="419"/>
        <w:spacing w:after="0" w:line="253" w:lineRule="auto"/>
        <w:tabs>
          <w:tab w:leader="none" w:pos="11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3" w:lineRule="exact"/>
        <w:rPr>
          <w:rFonts w:ascii="Times New Roman" w:cs="Times New Roman" w:eastAsia="Times New Roman" w:hAnsi="Times New Roman"/>
          <w:sz w:val="18"/>
          <w:szCs w:val="18"/>
          <w:color w:val="auto"/>
        </w:rPr>
      </w:pPr>
    </w:p>
    <w:p>
      <w:pPr>
        <w:ind w:left="440" w:right="360" w:firstLine="419"/>
        <w:spacing w:after="0" w:line="276" w:lineRule="auto"/>
        <w:tabs>
          <w:tab w:leader="none" w:pos="108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40" w:hanging="4"/>
        <w:spacing w:after="0" w:line="255" w:lineRule="auto"/>
        <w:tabs>
          <w:tab w:leader="none" w:pos="70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84" w:lineRule="exact"/>
        <w:rPr>
          <w:sz w:val="20"/>
          <w:szCs w:val="20"/>
          <w:color w:val="auto"/>
        </w:rPr>
      </w:pPr>
    </w:p>
    <w:p>
      <w:pPr>
        <w:ind w:right="20" w:firstLine="436"/>
        <w:spacing w:after="0" w:line="253" w:lineRule="auto"/>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or the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the Chicago Board of Trade or the Euronext, (ii) trading of any securities of the Company shall have been suspended on any exchange or in any over-the-counter market, (iii) a material disruption in securities settlement, payment or clearance services in the United States or with respect to Clearstream or Euroclear shall have occurred, (iv) any moratorium on commercial banking activities shall have been declared by U.S. federal, New York State, European Union or French authorities or (v) there shall have occurred any outbreak or escalation of hostilities, including war, or any change in financial markets, currency exchange rates or controls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 </w:t>
      </w: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or the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 number of Firm Securities set forth opposite their respective names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bears to the aggregate number of Firm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Securities that any Underwriter has agreed to purchase pursuant to this Agreement be increased pursuant to this Section 10 by an amount in excess of one-ninth of such number of Securities without the written consent of such Underwriter. If, on the Closing Date, any Underwriter or Underwriters shall fail or refuse to purchase Firm Securities and the aggregate number of Firm Securities with respect to which such default occurs is more than one-tenth of the aggregate number of Firm Securities to be purchased on such date, and arrangements satisfactory to the Representatives and the Company for the purchase of such Firm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the Option Closing Date, any Underwriter or Underwriters shall fail or refuse to purchase Additional Securities and the aggregate number of Additional Securities with respect to which such default occurs is more than one-tenth of the aggregate number of Additional Securities to be purchased on the Option Closing Date, the non-defaulting Underwriters shall have the option to (i) terminate their obligation hereunder to purchase the Additional Securities to be sold on the Option Closing Date or (ii) purchase not less than the number of Additional Securities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reasonably incurred out-of-pocket accountable expenses (including the reasonably incurred fees and disbursements of their legal counsel) actually incurred by such Underwriters in connection with this Agreement or the Offering contemplated 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8" w:right="459" w:bottom="1440" w:gutter="0" w:footer="0" w:header="0"/>
        </w:sectPr>
      </w:pPr>
    </w:p>
    <w:bookmarkStart w:id="50" w:name="page51"/>
    <w:bookmarkEnd w:id="50"/>
    <w:p>
      <w:pPr>
        <w:ind w:right="320" w:firstLine="436"/>
        <w:spacing w:after="0" w:line="284" w:lineRule="auto"/>
        <w:tabs>
          <w:tab w:leader="none" w:pos="7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Affiliates. </w:t>
      </w:r>
      <w:r>
        <w:rPr>
          <w:rFonts w:ascii="Times New Roman" w:cs="Times New Roman" w:eastAsia="Times New Roman" w:hAnsi="Times New Roman"/>
          <w:sz w:val="18"/>
          <w:szCs w:val="18"/>
          <w:color w:val="auto"/>
        </w:rPr>
        <w:t>The Underwriters may provide their services through or in conjunction with one or more of their affiliates, and references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 the “Underwriters” shall, save where the context otherwise requires, include any such affiliates.</w:t>
      </w:r>
    </w:p>
    <w:p>
      <w:pPr>
        <w:spacing w:after="0" w:line="158"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73" w:lineRule="exact"/>
        <w:rPr>
          <w:rFonts w:ascii="Times New Roman" w:cs="Times New Roman" w:eastAsia="Times New Roman" w:hAnsi="Times New Roman"/>
          <w:sz w:val="18"/>
          <w:szCs w:val="18"/>
          <w:color w:val="auto"/>
        </w:rPr>
      </w:pPr>
    </w:p>
    <w:p>
      <w:pPr>
        <w:ind w:left="440" w:right="240" w:firstLine="419"/>
        <w:spacing w:after="0" w:line="273" w:lineRule="auto"/>
        <w:tabs>
          <w:tab w:leader="none" w:pos="111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w:t>
      </w:r>
    </w:p>
    <w:p>
      <w:pPr>
        <w:spacing w:after="0" w:line="169" w:lineRule="exact"/>
        <w:rPr>
          <w:rFonts w:ascii="Times New Roman" w:cs="Times New Roman" w:eastAsia="Times New Roman" w:hAnsi="Times New Roman"/>
          <w:sz w:val="17"/>
          <w:szCs w:val="17"/>
          <w:color w:val="auto"/>
        </w:rPr>
      </w:pPr>
    </w:p>
    <w:p>
      <w:pPr>
        <w:ind w:right="100" w:firstLine="436"/>
        <w:spacing w:after="0" w:line="255" w:lineRule="auto"/>
        <w:tabs>
          <w:tab w:leader="none" w:pos="7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 Appointment of Agents for Service</w:t>
      </w:r>
      <w:r>
        <w:rPr>
          <w:rFonts w:ascii="Times New Roman" w:cs="Times New Roman" w:eastAsia="Times New Roman" w:hAnsi="Times New Roman"/>
          <w:sz w:val="18"/>
          <w:szCs w:val="18"/>
          <w:color w:val="auto"/>
        </w:rPr>
        <w:t>. (a) The Company irrevocably submits to the non-exclusive jurisdiction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State or United States Federal court sitting in The City of New York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over any suit, action or proceeding arising out of or relating to this Agreement, the Time of Sale Prospectus, the Prospectus, the Registration Statement or the offering of the Securities (each, a “</w:t>
      </w:r>
      <w:r>
        <w:rPr>
          <w:rFonts w:ascii="Times New Roman" w:cs="Times New Roman" w:eastAsia="Times New Roman" w:hAnsi="Times New Roman"/>
          <w:sz w:val="18"/>
          <w:szCs w:val="18"/>
          <w:b w:val="1"/>
          <w:bCs w:val="1"/>
          <w:color w:val="auto"/>
        </w:rPr>
        <w:t>Related Proceeding</w:t>
      </w:r>
      <w:r>
        <w:rPr>
          <w:rFonts w:ascii="Times New Roman" w:cs="Times New Roman" w:eastAsia="Times New Roman" w:hAnsi="Times New Roman"/>
          <w:sz w:val="18"/>
          <w:szCs w:val="18"/>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78"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appoints C T Corporation System, with offices at 28 Liberty Street, New York, New York 10005 as its agent for service of process in any Related Proceeding brought in any of the Specified Courts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8" w:right="459" w:bottom="1440" w:gutter="0" w:footer="0" w:header="0"/>
        </w:sectPr>
      </w:pPr>
    </w:p>
    <w:bookmarkStart w:id="51" w:name="page52"/>
    <w:bookmarkEnd w:id="51"/>
    <w:p>
      <w:pPr>
        <w:ind w:firstLine="436"/>
        <w:spacing w:after="0" w:line="253"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into any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89" w:lineRule="exact"/>
        <w:rPr>
          <w:rFonts w:ascii="Times New Roman" w:cs="Times New Roman" w:eastAsia="Times New Roman" w:hAnsi="Times New Roman"/>
          <w:sz w:val="18"/>
          <w:szCs w:val="18"/>
          <w:color w:val="auto"/>
        </w:rPr>
      </w:pPr>
    </w:p>
    <w:p>
      <w:pPr>
        <w:ind w:right="140" w:firstLine="436"/>
        <w:spacing w:after="0" w:line="261"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68" w:right="439" w:bottom="1440" w:gutter="0" w:footer="0" w:header="0"/>
        </w:sectPr>
      </w:pPr>
    </w:p>
    <w:bookmarkStart w:id="52" w:name="page53"/>
    <w:bookmarkEnd w:id="52"/>
    <w:p>
      <w:pPr>
        <w:ind w:right="40" w:firstLine="436"/>
        <w:spacing w:after="0" w:line="258"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signed in two or more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deemed to be an original, but all such counterparts shall together constitute one and the same agreement. Counterparts may be delivered via facsimile, electronic mail (including any electronic signature covered by the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MIFIDII</w:t>
      </w:r>
      <w:r>
        <w:rPr>
          <w:rFonts w:ascii="Times New Roman" w:cs="Times New Roman" w:eastAsia="Times New Roman" w:hAnsi="Times New Roman"/>
          <w:sz w:val="18"/>
          <w:szCs w:val="18"/>
          <w:color w:val="auto"/>
        </w:rPr>
        <w:t>. Solely for the purposes of the requirements of Article 9(8) of EU Delegated Directive 2017/593 (the “</w:t>
      </w:r>
      <w:r>
        <w:rPr>
          <w:rFonts w:ascii="Times New Roman" w:cs="Times New Roman" w:eastAsia="Times New Roman" w:hAnsi="Times New Roman"/>
          <w:sz w:val="18"/>
          <w:szCs w:val="18"/>
          <w:b w:val="1"/>
          <w:bCs w:val="1"/>
          <w:color w:val="auto"/>
        </w:rPr>
        <w:t>Product Governance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mutual responsibilities of manufacturers under the Product Governance Rules, (i) each manufacturer acknowledges to each other manufacturer that it understands the responsibilities conferred upon it under the Product Governance Rules relating to each of the product approval process, the target market and the eligible distribution channels for dissemination of the Securities and the related information set out in the Prospectus in connection with the Securities; and (ii) the Underwriters and the Company note the application of the Product Governance Rules and acknowledge the target market and distribution channels identified as applying to the Securities by the manufacturers and the related information set out in the Prospectus in connection with the Securities.</w:t>
      </w:r>
    </w:p>
    <w:p>
      <w:pPr>
        <w:spacing w:after="0" w:line="18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40" w:firstLine="436"/>
        <w:spacing w:after="0" w:line="284"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8" w:right="459" w:bottom="1440" w:gutter="0" w:footer="0" w:header="0"/>
        </w:sectPr>
      </w:pPr>
    </w:p>
    <w:bookmarkStart w:id="53" w:name="page54"/>
    <w:bookmarkEnd w:id="53"/>
    <w:p>
      <w:pPr>
        <w:ind w:left="-20" w:firstLine="436"/>
        <w:spacing w:after="0" w:line="238" w:lineRule="auto"/>
        <w:tabs>
          <w:tab w:leader="none" w:pos="69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Representatives at Leerink Partners LLC, 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10019, Attention: Stuart R. Nayman, at Morgan Stanley &amp; Co. LLC, 1585 Broadway, New York, New York 10036, Attention: Equity Syndicate Desk, with a copy to the Legal Department, at Piper Sandler &amp; Co., 1251 Avenue of the Americas, 6th Floor New York, New York 10020, to the attention of Equity Capital Markets and separately, General Counsel and at Guggenheim Securities, LLC, Attention: Equity Syndicate Department, 330 Madison Avenue, 8th Floor, New York, NY 10017; and if to the Company shall be delivered, mailed or sent to Abivax SA, 7-11 Boulevard Haussmann 75009 Paris, France, Attention: Didier Blondel, Chief Financial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60" w:top="268" w:right="459" w:bottom="1440" w:gutter="0" w:footer="0" w:header="0"/>
        </w:sectPr>
      </w:pPr>
    </w:p>
    <w:bookmarkStart w:id="54" w:name="page55"/>
    <w:bookmarkEnd w:id="5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Abivax SA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Marc de Garidel</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4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Leerink Partners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Gabriel P.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Gabriel P. Cavazos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9" w:lineRule="exact"/>
        <w:rPr>
          <w:sz w:val="20"/>
          <w:szCs w:val="20"/>
          <w:color w:val="auto"/>
        </w:rPr>
      </w:pPr>
    </w:p>
    <w:p>
      <w:pPr>
        <w:ind w:right="6779" w:firstLine="360"/>
        <w:spacing w:after="0" w:line="498" w:lineRule="auto"/>
        <w:tabs>
          <w:tab w:leader="none" w:pos="5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Investment Banking, Biopharma By: Morgan Stanley &amp; Co. LLC</w:t>
      </w:r>
    </w:p>
    <w:p>
      <w:pPr>
        <w:spacing w:after="0"/>
        <w:rPr>
          <w:sz w:val="20"/>
          <w:szCs w:val="20"/>
          <w:color w:val="auto"/>
        </w:rPr>
      </w:pPr>
      <w:r>
        <w:rPr>
          <w:rFonts w:ascii="Times New Roman" w:cs="Times New Roman" w:eastAsia="Times New Roman" w:hAnsi="Times New Roman"/>
          <w:sz w:val="18"/>
          <w:szCs w:val="18"/>
          <w:color w:val="auto"/>
        </w:rPr>
        <w:t>By: /s/ Kalli Dircks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Kalli Dircks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Piper Sandler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Chad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Chad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Guggenheim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Ron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Ron Gerber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gridSpan w:val="3"/>
          </w:tcPr>
          <w:p>
            <w:pPr>
              <w:jc w:val="center"/>
              <w:ind w:left="587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67"/>
        </w:trPr>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Firm</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10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6000" w:type="dxa"/>
            <w:vAlign w:val="bottom"/>
          </w:tcPr>
          <w:p>
            <w:pPr>
              <w:spacing w:after="0"/>
              <w:rPr>
                <w:sz w:val="15"/>
                <w:szCs w:val="15"/>
                <w:color w:val="auto"/>
              </w:rPr>
            </w:pP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Leerink Partners LLC</w:t>
            </w:r>
          </w:p>
        </w:tc>
        <w:tc>
          <w:tcPr>
            <w:tcW w:w="60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7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1,760,000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7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1,056,000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7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768,000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7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448,000</w:t>
            </w: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 Lanschot Kempen (USA) Inc.</w:t>
            </w:r>
          </w:p>
        </w:tc>
        <w:tc>
          <w:tcPr>
            <w:tcW w:w="60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08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dated June 30, 2026</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dated June 30, 2026, relating to the launch press release, filed by the Company under Rule 433(d) of the Securities Act</w:t>
      </w:r>
    </w:p>
    <w:p>
      <w:pPr>
        <w:spacing w:after="0" w:line="252"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dated July 1, 2026, relating to the pricing press release, to be filed by the Company under Rule 433(d) of the Securities Act</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 orally communicated by the Underwriters:</w:t>
      </w:r>
    </w:p>
    <w:p>
      <w:pPr>
        <w:spacing w:after="0" w:line="25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Firm Securities: 6,400,000</w:t>
      </w:r>
    </w:p>
    <w:p>
      <w:pPr>
        <w:spacing w:after="0" w:line="25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Additional Securities: 960,000</w:t>
      </w:r>
    </w:p>
    <w:p>
      <w:pPr>
        <w:spacing w:after="0" w:line="25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Public: $125.00 per ADS</w:t>
      </w:r>
    </w:p>
    <w:p>
      <w:pPr>
        <w:sectPr>
          <w:pgSz w:w="11900" w:h="16838" w:orient="portrait"/>
          <w:cols w:equalWidth="0" w:num="1">
            <w:col w:w="11024"/>
          </w:cols>
          <w:pgMar w:left="436" w:top="266" w:right="4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w:t>
      </w:r>
    </w:p>
    <w:p>
      <w:pPr>
        <w:spacing w:after="0" w:line="256"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listed in Schedule I to the Underwriting Agreement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1301 Avenue of the Americas</w:t>
      </w:r>
    </w:p>
    <w:p>
      <w:pPr>
        <w:ind w:left="220"/>
        <w:spacing w:after="0" w:line="181" w:lineRule="auto"/>
        <w:rPr>
          <w:sz w:val="20"/>
          <w:szCs w:val="20"/>
          <w:color w:val="auto"/>
        </w:rPr>
      </w:pPr>
      <w:r>
        <w:rPr>
          <w:rFonts w:ascii="Times New Roman" w:cs="Times New Roman" w:eastAsia="Times New Roman" w:hAnsi="Times New Roman"/>
          <w:sz w:val="18"/>
          <w:szCs w:val="18"/>
          <w:color w:val="auto"/>
        </w:rPr>
        <w: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New York, NY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1585 Broadway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1251 Avenue of the Americas</w:t>
      </w:r>
    </w:p>
    <w:p>
      <w:pPr>
        <w:ind w:left="220"/>
        <w:spacing w:after="0" w:line="181" w:lineRule="auto"/>
        <w:rPr>
          <w:sz w:val="20"/>
          <w:szCs w:val="20"/>
          <w:color w:val="auto"/>
        </w:rPr>
      </w:pPr>
      <w:r>
        <w:rPr>
          <w:rFonts w:ascii="Times New Roman" w:cs="Times New Roman" w:eastAsia="Times New Roman" w:hAnsi="Times New Roman"/>
          <w:sz w:val="18"/>
          <w:szCs w:val="18"/>
          <w:color w:val="auto"/>
        </w:rPr>
        <w: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New York, NY 10020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330 Madison Avenue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New York, NY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The undersigned understands that Leerink Partners LLC (“</w:t>
      </w:r>
      <w:r>
        <w:rPr>
          <w:rFonts w:ascii="Times New Roman" w:cs="Times New Roman" w:eastAsia="Times New Roman" w:hAnsi="Times New Roman"/>
          <w:sz w:val="18"/>
          <w:szCs w:val="18"/>
          <w:b w:val="1"/>
          <w:bCs w:val="1"/>
          <w:color w:val="auto"/>
        </w:rPr>
        <w:t>Leerink Partners</w:t>
      </w:r>
      <w:r>
        <w:rPr>
          <w:rFonts w:ascii="Times New Roman" w:cs="Times New Roman" w:eastAsia="Times New Roman" w:hAnsi="Times New Roman"/>
          <w:sz w:val="18"/>
          <w:szCs w:val="18"/>
          <w:color w:val="auto"/>
        </w:rPr>
        <w:t>”),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and Guggenheim Securities, LLC (“</w:t>
      </w:r>
      <w:r>
        <w:rPr>
          <w:rFonts w:ascii="Times New Roman" w:cs="Times New Roman" w:eastAsia="Times New Roman" w:hAnsi="Times New Roman"/>
          <w:sz w:val="18"/>
          <w:szCs w:val="18"/>
          <w:b w:val="1"/>
          <w:bCs w:val="1"/>
          <w:color w:val="auto"/>
        </w:rPr>
        <w:t>Guggenheim Securities</w:t>
      </w:r>
      <w:r>
        <w:rPr>
          <w:rFonts w:ascii="Times New Roman" w:cs="Times New Roman" w:eastAsia="Times New Roman" w:hAnsi="Times New Roman"/>
          <w:sz w:val="18"/>
          <w:szCs w:val="18"/>
          <w:color w:val="auto"/>
        </w:rPr>
        <w:t>”, and together with Leerink Partners, Morgan Stanley and Piper Sandler,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on behalf of the several underwriters named in such agreement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xml:space="preserve">”) with Abivax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the French Republic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of ordinary shares, par value €0.01 per share, of the Company (the “</w:t>
      </w:r>
      <w:r>
        <w:rPr>
          <w:rFonts w:ascii="Times New Roman" w:cs="Times New Roman" w:eastAsia="Times New Roman" w:hAnsi="Times New Roman"/>
          <w:sz w:val="18"/>
          <w:szCs w:val="18"/>
          <w:b w:val="1"/>
          <w:bCs w:val="1"/>
          <w:color w:val="auto"/>
        </w:rPr>
        <w:t>Ordinary Share</w:t>
      </w:r>
      <w:r>
        <w:rPr>
          <w:rFonts w:ascii="Times New Roman" w:cs="Times New Roman" w:eastAsia="Times New Roman" w:hAnsi="Times New Roman"/>
          <w:sz w:val="18"/>
          <w:szCs w:val="18"/>
          <w:color w:val="auto"/>
        </w:rPr>
        <w:t>s”) in the form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60" w:name="page61"/>
    <w:bookmarkEnd w:id="60"/>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induce the Underwriters that may participate in the Public Offering to continue their efforts in connection with the Public Offering, the undersigned hereby agrees that, without the prior written consent of Leerink Partners, Morgan Stanley, Piper Sandler and Guggenheim Securities on behalf of the Underwriters, it will not, and will not publicly disclose an intention to, during the period commencing on the date hereof and ending 60 days after the date of the final prospectus supplement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ADSs or Ordinary Shares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or redeemable for ADSs or Ordinary Shares (such other securities, including any received upon grant or vesting pursuant to a free share plan,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or (2) enter into any hedging, swap or other arrangement that transfers to another, in whole or in part, any of the economic consequences of ownership of the ADSs or Ordinary Shares or Derivative Securities, whether any such transaction described in clause (1) or (2) above is to be settled by delivery of ADSs, Ordinary Shares or Derivative Securities, in cash or otherwise.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sentence shall not apply to:</w:t>
      </w:r>
    </w:p>
    <w:p>
      <w:pPr>
        <w:spacing w:after="0" w:line="131" w:lineRule="exact"/>
        <w:rPr>
          <w:sz w:val="20"/>
          <w:szCs w:val="20"/>
          <w:color w:val="auto"/>
        </w:rPr>
      </w:pPr>
    </w:p>
    <w:p>
      <w:pPr>
        <w:ind w:left="960" w:right="100" w:hanging="532"/>
        <w:spacing w:after="0" w:line="258"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ADSs, Ordinary Shares or Derivative Securities acquired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or other applicable law (in particular Article L. 621-18-2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Article 223-23 of the General Regulation of the French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shall be required or shall be voluntarily made in connection with subsequent sales of ADSs, Ordinary Shares or Derivative Securities acquired in such open market transactions;</w:t>
      </w:r>
    </w:p>
    <w:p>
      <w:pPr>
        <w:spacing w:after="0" w:line="86"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ADSs, Ordinary Shares or Derivative Securities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(ii) to any trust for the direct or indirect benefit of the undersigned or the immediate family of the undersigned, (iii) as a distribution or other transfer by a partnership to its partners or former partners or by a limited liability company to its members or retired members or by a corporation to its shareholders or former shareholders or to any wholly-owned subsidiary of such corporation, (iv) to the undersigned’s affiliates or to any investment fund or other entity controlled or managed by the undersigned, (v) pursuant to a qualified domestic relations order or in connection with a divorce settlement, or (vi) by will or intestate succession or intestate distribution upon the death of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pursuant to this clause (b), (A) each donee, trustee, distributee or other transferee shall sign and deliver a lock-up agreement substantially in the form of this agreement for the balance of the Restricted Period, (B) such transfer shall not involve a disposition for value and (C) no filing under Section 16(a) of the Exchange Act or other applicable law (in particular Article L. 621-18-2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Article 223-23 of the General Regulation of the French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reporting a reduction in beneficial ownership of ADSs or Ordinary Shares, shall be required or shall be voluntarily made during the Restricted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61" w:name="page62"/>
    <w:bookmarkEnd w:id="61"/>
    <w:p>
      <w:pPr>
        <w:ind w:left="540" w:right="60" w:hanging="532"/>
        <w:spacing w:after="0" w:line="255"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surrender of Ordinary Shares to the Depositary (as defined in the Underwriting Agreement) or the Depositary’s custodian, for the purpose of receiving an equivalent number of ADSs in lieu of such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ADSs received by the undersigned shall remain subject to the restrictions on transfer set forth in this agreement, (ii) any such surrender shall not involve a disposition for value and (iii) no filing under Section 16(a) of the Exchange Act or other applicable law (in particular Article L. 621-18-2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Article 223-23 of the General Regulation of the French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reporting a reduction in beneficial ownership of ADSs, shall be required or shall be voluntarily made during the Restricted Period;</w:t>
      </w:r>
    </w:p>
    <w:p>
      <w:pPr>
        <w:spacing w:after="0" w:line="9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ADSs, Ordinary Shares or Derivative Securities to the Company in satisfaction of any tax withholding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rFonts w:ascii="Times New Roman" w:cs="Times New Roman" w:eastAsia="Times New Roman" w:hAnsi="Times New Roman"/>
          <w:sz w:val="18"/>
          <w:szCs w:val="18"/>
          <w:color w:val="auto"/>
        </w:rPr>
      </w:pPr>
    </w:p>
    <w:p>
      <w:pPr>
        <w:jc w:val="both"/>
        <w:ind w:left="5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such transfer shall not involve a disposition for value and (ii) no filing under Section 16(a) of the Exchange Act or other applicable law (in particular Article L. 621-18-2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Article 223-23 of the General Regulation of the French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reporting a reduction in beneficial ownership of ADSs or Ordinary Shares, shall be required or shall be voluntarily made during the Restricted Period;</w:t>
      </w:r>
    </w:p>
    <w:p>
      <w:pPr>
        <w:spacing w:after="0" w:line="94" w:lineRule="exact"/>
        <w:rPr>
          <w:rFonts w:ascii="Times New Roman" w:cs="Times New Roman" w:eastAsia="Times New Roman" w:hAnsi="Times New Roman"/>
          <w:sz w:val="18"/>
          <w:szCs w:val="18"/>
          <w:color w:val="auto"/>
        </w:rPr>
      </w:pPr>
    </w:p>
    <w:p>
      <w:pPr>
        <w:ind w:left="540" w:right="80" w:hanging="532"/>
        <w:spacing w:after="0" w:line="254"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sales of up to 1,000,000 ADSs or Ordinary Shares (in the aggregate for all of the Company’s directors, officers and affiliates) used for the primary purpose of satisfying any withholding tax or other governmental withholding or payment obligation, through cashless surrender or otherwise, in all such cases, pursuant to equity awards granted under a share incentive plan or other equity award plan that is described in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undersigned does not voluntarily effect any public filing or report regarding any such transfer or sale, (ii) no public announcement or filing under Section 16(a) of the Exchange Act, reporting a reduction in beneficial ownership of ADSs or Ordinary Shares, shall be required during the Restricted Period, and (iii) if any public announcement, filing or disclosure reporting a reduction in beneficial ownership of ADSs or Ordinary Shares is required by any applicable laws, other than those required by the Exchange Act, the undersigned shall include a statement in such report to the effect that the disposition relates to the satisfaction of withholding tax or other governmental withholding or payment obligation;</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00"/>
          </w:cols>
          <w:pgMar w:left="860" w:top="270" w:right="439" w:bottom="1440" w:gutter="0" w:footer="0" w:header="0"/>
        </w:sectPr>
      </w:pPr>
    </w:p>
    <w:bookmarkStart w:id="62" w:name="page63"/>
    <w:bookmarkEnd w:id="62"/>
    <w:p>
      <w:pPr>
        <w:ind w:left="540" w:right="40" w:hanging="532"/>
        <w:spacing w:after="0" w:line="25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transfers of ADSs, Ordinary Shares or Derivative Securities to the Company pursuant to any contractual arrangement in effect on the date of this agreement that provides for the repurchase of the ADSs, Ordinary Shares or Derivative Securities held by the undersigned by the Company in connection with the termination of the undersigned’s services to the Company or the undersigned’s failure to meet certain conditions set out upon receipt of such ADSs, Ordinary Shares or Derivative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public announcement or filing shall be required in connection with any such transfer, such announcement or filing shall clearly indicate in the footnotes thereto that the securities were repurchased or reacquired by the Company pursuant to such repurchase right;</w:t>
      </w:r>
    </w:p>
    <w:p>
      <w:pPr>
        <w:spacing w:after="0" w:line="92"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or exchange by the undersigned of any option or warrant to acquire any ADSs or Ordinary Shares or options to purchase ADSs or Ordinary Shares, in each case for cash or on a “cashless” or “net exercise” basis, pursuant to any share option, share bonus or other share plan or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underlying ADSs and Ordinary Shares shall continue to be subject to the restrictions on transfer set forth in this agreement and (ii) if any public announcement or filing under Section 16(a) of the Exchange Act, under the rules and regulations of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and/or the French Financial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or otherwise shall be required in connection with such exercise or exchange, such announcement or filing shall clearly indicate in the footnotes thereto that it relates to the conversion of a convertible security into, or the exercise of any option or warrant for, the Ordinary Shares or ADSs, that no Ordinary Shares or ADSs were sold by the reporting person and that the Ordinary Shares or ADSs received upon such conversion or exercise are subject to a lock-up agreement;</w:t>
      </w:r>
    </w:p>
    <w:p>
      <w:pPr>
        <w:spacing w:after="0" w:line="91"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ADSs, Ordinary Shares or Derivative Securities upon the completion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third-party tender offer, merger, consolidation or other similar transaction that is approved by the board of directors of the Company, made to all holders of the Company’s securities and involves a change of control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such securities held by the undersigned shall remain subject to the restrictions on transfer set forth in this agreement; or</w:t>
      </w:r>
    </w:p>
    <w:p>
      <w:pPr>
        <w:spacing w:after="0" w:line="90" w:lineRule="exact"/>
        <w:rPr>
          <w:rFonts w:ascii="Times New Roman" w:cs="Times New Roman" w:eastAsia="Times New Roman" w:hAnsi="Times New Roman"/>
          <w:sz w:val="18"/>
          <w:szCs w:val="18"/>
          <w:color w:val="auto"/>
        </w:rPr>
      </w:pPr>
    </w:p>
    <w:p>
      <w:pPr>
        <w:ind w:left="540" w:right="140" w:hanging="532"/>
        <w:spacing w:after="0" w:line="25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shareholder, officer or director of the Company pursuant to Rule 10b5-1 under the Exchange Act (“</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xml:space="preserve">”) for the transfer of ADSs or Ordinary Shares or the amendment of an existing 10b5-1 Trading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ADSs or Ordinary Shares during the Restricted Period and (ii) no public announcement or filing under the Exchange Act, the rules and regulations of the French Financial Markets Authority (</w:t>
      </w:r>
      <w:r>
        <w:rPr>
          <w:rFonts w:ascii="Times New Roman" w:cs="Times New Roman" w:eastAsia="Times New Roman" w:hAnsi="Times New Roman"/>
          <w:sz w:val="18"/>
          <w:szCs w:val="18"/>
          <w:i w:val="1"/>
          <w:iCs w:val="1"/>
          <w:color w:val="auto"/>
        </w:rPr>
        <w:t>Autorité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Marchés Financiers</w:t>
      </w:r>
      <w:r>
        <w:rPr>
          <w:rFonts w:ascii="Times New Roman" w:cs="Times New Roman" w:eastAsia="Times New Roman" w:hAnsi="Times New Roman"/>
          <w:sz w:val="18"/>
          <w:szCs w:val="18"/>
          <w:color w:val="auto"/>
        </w:rPr>
        <w:t>) or otherwise shall be required of or voluntarily made by or on behalf of the undersigned or the Company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establishment or amendment of such plan.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63" w:name="page64"/>
    <w:bookmarkEnd w:id="63"/>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“immediate family” shall mean any relationship by blood, domestic partnership, marriage or adoption, not more remote than first cousin, and “change of control” shall mean the transfer (whether by tender offer, merger, consolidation or other similar transaction), in one transaction or a series of related transactions, to a person or group of affiliated persons, of share capital if, after such transfer, such person or group of affiliated persons would hold at least a majority of the outstanding voting securities of the Company (or the surviving entity).</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Leerink Partners, Morgan Stanley, Piper Sandler and Guggenheim Securities on behalf of the Underwriters, it will not, during the Restricted Period, make any demand for or exercise any right with respect to, the registration of any ADSs, Ordinary Shares or any Derivative Securities. The undersigned also agrees and consents to the entry of stop transfer instructions with the Company’s transfer agent and registrar against the transfer of the undersigned’s ADSs, Ordinary Shares and Derivative Securities except in compliance with the foregoing restrictions.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ADSs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ADSs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agreement shall automatically terminate, and the undersigned shall be released from the undersigned’s obligations hereunder, upon the earliest to occur, if any, of: (i) prior to the execution of the Underwriting Agreement, the Company advises Leerink Partners, Morgan Stanley, Piper Sandler and Guggenheim Securities in writing that it has determined not to proceed with the Public Offering, (ii) the Underwriting Agreement is executed but is terminated prior to the closing of the Public Offering (other than the provisions thereof which survive termination), or (iii) September 30, 2026, in the event that the Underwriting Agreement has not been executed by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by written notice to the undersigned prior to September 30, 2026 extend such date for a period of up to an additional three months).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4" w:name="page65"/>
    <w:bookmarkEnd w:id="6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undersigned hereby consents to receipt of this agreement in electronic form and understand and agree that this agreement may be signed electronically. If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2871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71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71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-502285</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294005</wp:posOffset>
            </wp:positionV>
            <wp:extent cx="40544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40544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4054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292735</wp:posOffset>
            </wp:positionV>
            <wp:extent cx="40544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292735</wp:posOffset>
            </wp:positionV>
            <wp:extent cx="40544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ectPr>
          <w:pgSz w:w="11900" w:h="16838" w:orient="portrait"/>
          <w:cols w:equalWidth="0" w:num="2">
            <w:col w:w="3900" w:space="720"/>
            <w:col w:w="5399"/>
          </w:cols>
          <w:pgMar w:left="440" w:top="270"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CHIEF FINANCIAL OFFICER’S CERTIFICATE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-7620</wp:posOffset>
            </wp:positionV>
            <wp:extent cx="571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3"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 Didier Blondel, do hereby certify that I am the Chief Financial Officer of Abivax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the French Republic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solely in my capacity as such, and not in my personal capacity, and based upon an examination of the Company’s consolidated financial records, schedules and other books, records and systems undertaken by myself or members of my staff who are responsible for the Company’s financial and accounting matters, do, as of the date hereof, hereby certify that:</w:t>
      </w:r>
    </w:p>
    <w:p>
      <w:pPr>
        <w:spacing w:after="0" w:line="83" w:lineRule="exact"/>
        <w:rPr>
          <w:sz w:val="20"/>
          <w:szCs w:val="20"/>
          <w:color w:val="auto"/>
        </w:rPr>
      </w:pPr>
    </w:p>
    <w:p>
      <w:pPr>
        <w:ind w:left="960" w:right="180" w:hanging="532"/>
        <w:spacing w:after="0" w:line="283"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providing this certificate in connection with the Company’s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 ] American Depositary Shares, each representing one ordinary share, par value €0.01 per share, pursuant to an underwriting agreement, dated [ ], 2026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by and among the Company and Leerink Partners LLC, Morgan Stanley &amp; Co. LLC, Piper Sandler &amp; Co. and Guggenheim Securities, LLC, as representatives of the several underwriters named in Schedule I thereto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familiar with the internal accounting records of the Company and its consolidated subsidiary and am responsible for financial and accounting matters with respect to the Company and its consolidated subsidiary.</w:t>
      </w:r>
    </w:p>
    <w:p>
      <w:pPr>
        <w:spacing w:after="0" w:line="67" w:lineRule="exact"/>
        <w:rPr>
          <w:rFonts w:ascii="Times New Roman" w:cs="Times New Roman" w:eastAsia="Times New Roman" w:hAnsi="Times New Roman"/>
          <w:sz w:val="18"/>
          <w:szCs w:val="18"/>
          <w:color w:val="auto"/>
        </w:rPr>
      </w:pPr>
    </w:p>
    <w:p>
      <w:pPr>
        <w:ind w:left="960" w:right="46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(i) read the Registration Statement in connection with the Offering, (ii) read the Time of Sale Prospectus and (iii) reviewed the circled items contained in the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Covered Information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preparation of the Registration Statement and the Time of Sale Prospectus, I or members of my staff who are responsible for the Company’s financial and accounting matters have reviewed the Covered Information and have compared the Covered Information to the Company’s accounting books and records and found the Covered Information to be in agreement with, or derived from, the corresponding information in such accounting books and records in all material respects for the periods indicated.</w:t>
      </w:r>
    </w:p>
    <w:p>
      <w:pPr>
        <w:spacing w:after="0" w:line="85" w:lineRule="exact"/>
        <w:rPr>
          <w:rFonts w:ascii="Times New Roman" w:cs="Times New Roman" w:eastAsia="Times New Roman" w:hAnsi="Times New Roman"/>
          <w:sz w:val="18"/>
          <w:szCs w:val="18"/>
          <w:color w:val="auto"/>
        </w:rPr>
      </w:pPr>
    </w:p>
    <w:p>
      <w:pPr>
        <w:jc w:val="both"/>
        <w:ind w:left="960" w:right="20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my attention that causes me to believe that (i) any of the Covered Information is not true, correct and accurate in all material respects for the periods indicated or (ii) the assumptions used to determine any of the Covered Information were not reasonable.</w:t>
      </w:r>
    </w:p>
    <w:p>
      <w:pPr>
        <w:sectPr>
          <w:pgSz w:w="11900" w:h="16838" w:orient="portrait"/>
          <w:cols w:equalWidth="0" w:num="1">
            <w:col w:w="11020"/>
          </w:cols>
          <w:pgMar w:left="440" w:top="266" w:right="439" w:bottom="1440" w:gutter="0" w:footer="0" w:header="0"/>
        </w:sectPr>
      </w:pPr>
    </w:p>
    <w:bookmarkStart w:id="67" w:name="page68"/>
    <w:bookmarkEnd w:id="6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Capitalized terms used but not defined herein shall have the meanings ascribed to such terms in the Underwriting Agreement. This certificate is being furnished to the Underwriters pursuant to Section 5(u) of the Underwriting Agreement to assist them in conducting their investigation of the Company in connection with the Offering. This certificate may be relied upon by the Underwriters for such purpose. Each of Latham &amp; Watkins LLP and Cooley LLP is entitled to rely on this certificate in connection with the legal opinions and letters that each such firm is rendering pursuant to the Underwriting Agreement.</w:t>
      </w:r>
    </w:p>
    <w:p>
      <w:pPr>
        <w:spacing w:after="0" w:line="18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760"/>
          </w:cols>
          <w:pgMar w:left="440" w:top="270" w:right="699" w:bottom="1440" w:gutter="0" w:footer="0" w:header="0"/>
        </w:sectPr>
      </w:pPr>
    </w:p>
    <w:bookmarkStart w:id="68" w:name="page69"/>
    <w:bookmarkEnd w:id="6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executed and delivered this Chief Financial Officer’s Certificate on behalf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 his personal capacity,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Didier Blondel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20"/>
          </w:cols>
          <w:pgMar w:left="440" w:top="266" w:right="5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 2026</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7-11 boulevard Haussmann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75009 Paris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France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 xml:space="preserve">We are acting as special French counsel to Abivax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offering and sale by the Company of 6,400,000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which represent 6,400,000 ordinary shares of the Company (the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with a par value of €0.01 per ordinary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which number may be increased by up to 960,000 additional Ordinary Shares delivered in the form of ADSs (the “</w:t>
      </w:r>
      <w:r>
        <w:rPr>
          <w:rFonts w:ascii="Times New Roman" w:cs="Times New Roman" w:eastAsia="Times New Roman" w:hAnsi="Times New Roman"/>
          <w:sz w:val="18"/>
          <w:szCs w:val="18"/>
          <w:b w:val="1"/>
          <w:bCs w:val="1"/>
          <w:color w:val="auto"/>
        </w:rPr>
        <w:t>Additional New Shares</w:t>
      </w:r>
      <w:r>
        <w:rPr>
          <w:rFonts w:ascii="Times New Roman" w:cs="Times New Roman" w:eastAsia="Times New Roman" w:hAnsi="Times New Roman"/>
          <w:sz w:val="18"/>
          <w:szCs w:val="18"/>
          <w:color w:val="auto"/>
        </w:rPr>
        <w:t>” and, together with the New Shares,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and, together with the ADSs,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pursuant to the Underwriting Agreement, dated June 30, 2026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by and among the Company and Leerink Partners LLC, Morgan Stanley &amp; Co. LLC, Piper Sandler &amp; Co., and Guggenheim Securities, LLC, for themselves and as representatives of the other underwriters named therein.</w:t>
      </w:r>
    </w:p>
    <w:p>
      <w:pPr>
        <w:spacing w:after="0" w:line="187" w:lineRule="exact"/>
        <w:rPr>
          <w:sz w:val="20"/>
          <w:szCs w:val="20"/>
          <w:color w:val="auto"/>
        </w:rPr>
      </w:pPr>
    </w:p>
    <w:p>
      <w:pPr>
        <w:jc w:val="both"/>
        <w:ind w:left="4" w:right="300"/>
        <w:spacing w:after="0" w:line="261" w:lineRule="auto"/>
        <w:rPr>
          <w:sz w:val="20"/>
          <w:szCs w:val="20"/>
          <w:color w:val="auto"/>
        </w:rPr>
      </w:pPr>
      <w:r>
        <w:rPr>
          <w:rFonts w:ascii="Times New Roman" w:cs="Times New Roman" w:eastAsia="Times New Roman" w:hAnsi="Times New Roman"/>
          <w:sz w:val="18"/>
          <w:szCs w:val="18"/>
          <w:color w:val="auto"/>
        </w:rPr>
        <w:t>In rendering the opinion expressed below, we have examined and relied on originals or copies, certified or otherwise identified to our satisfaction, of such agreements, corporate records and other instruments and such documents, certificates and receipts of public officials, certificates of officers and other representatives of the Company and others, and such other documents as we have deemed necessary or appropriate as a basis for rendering the opinion set forth below, including the following documents:</w:t>
      </w:r>
    </w:p>
    <w:p>
      <w:pPr>
        <w:spacing w:after="0" w:line="85" w:lineRule="exact"/>
        <w:rPr>
          <w:sz w:val="20"/>
          <w:szCs w:val="20"/>
          <w:color w:val="auto"/>
        </w:rPr>
      </w:pPr>
    </w:p>
    <w:p>
      <w:pPr>
        <w:ind w:left="544" w:hanging="544"/>
        <w:spacing w:after="0"/>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F-3ASR (Registration No. 333-288884) with respect to the Offered Securities filed by the Company on</w:t>
      </w:r>
    </w:p>
    <w:p>
      <w:pPr>
        <w:spacing w:after="0" w:line="27" w:lineRule="exact"/>
        <w:rPr>
          <w:rFonts w:ascii="Times New Roman" w:cs="Times New Roman" w:eastAsia="Times New Roman" w:hAnsi="Times New Roman"/>
          <w:sz w:val="18"/>
          <w:szCs w:val="18"/>
          <w:color w:val="auto"/>
        </w:rPr>
      </w:pPr>
    </w:p>
    <w:p>
      <w:pPr>
        <w:ind w:left="54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23, 2025,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(such registration statement, as amended, including information deemed to be a part of such registration statement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pursuant to Rule 430B promulgated under the Securities Act, being hereinafter referred to as the “</w:t>
      </w:r>
      <w:r>
        <w:rPr>
          <w:rFonts w:ascii="Times New Roman" w:cs="Times New Roman" w:eastAsia="Times New Roman" w:hAnsi="Times New Roman"/>
          <w:sz w:val="18"/>
          <w:szCs w:val="18"/>
          <w:b w:val="1"/>
          <w:bCs w:val="1"/>
          <w:color w:val="auto"/>
        </w:rPr>
        <w:t>Initial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544" w:right="540" w:hanging="544"/>
        <w:spacing w:after="0" w:line="312" w:lineRule="auto"/>
        <w:tabs>
          <w:tab w:leader="none" w:pos="54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post effective amendment No. 1 to the Registration Statement filed by the Company on June 30, 2026, with the Commission under the Securities Act (the “</w:t>
      </w:r>
      <w:r>
        <w:rPr>
          <w:rFonts w:ascii="Times New Roman" w:cs="Times New Roman" w:eastAsia="Times New Roman" w:hAnsi="Times New Roman"/>
          <w:sz w:val="17"/>
          <w:szCs w:val="17"/>
          <w:b w:val="1"/>
          <w:bCs w:val="1"/>
          <w:color w:val="auto"/>
        </w:rPr>
        <w:t>Post-Effective Amendment</w:t>
      </w:r>
      <w:r>
        <w:rPr>
          <w:rFonts w:ascii="Times New Roman" w:cs="Times New Roman" w:eastAsia="Times New Roman" w:hAnsi="Times New Roman"/>
          <w:sz w:val="17"/>
          <w:szCs w:val="17"/>
          <w:color w:val="auto"/>
        </w:rPr>
        <w:t>”, and together with the Initial Registration Statement,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544" w:right="340" w:hanging="544"/>
        <w:spacing w:after="0" w:line="282" w:lineRule="auto"/>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to the base Registration Statement relating to the Offered Securities, dated June 30, 2026, filed by the Company with the Commission under the Securities Act pursuant to Rule 424(b)(5);</w:t>
      </w:r>
    </w:p>
    <w:p>
      <w:pPr>
        <w:spacing w:after="0" w:line="67"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supplement, as filed on July 1, 2026, with the Commission pursuant to Rule 424(b)(5) promulgated under the Securities Act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w:t>
      </w:r>
    </w:p>
    <w:p>
      <w:pPr>
        <w:spacing w:after="0" w:line="130" w:lineRule="exact"/>
        <w:rPr>
          <w:rFonts w:ascii="Times New Roman" w:cs="Times New Roman" w:eastAsia="Times New Roman" w:hAnsi="Times New Roman"/>
          <w:sz w:val="18"/>
          <w:szCs w:val="18"/>
          <w:color w:val="auto"/>
        </w:rPr>
      </w:pPr>
    </w:p>
    <w:p>
      <w:pPr>
        <w:ind w:left="544" w:right="380" w:hanging="544"/>
        <w:spacing w:after="0" w:line="266" w:lineRule="auto"/>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deposit agreement entered into on October 24, 2023, by and among the Company, Citibank,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all Holders and Beneficial Owners of ADSs issued thereunder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and, together with the Underwriting Agreement,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i w:val="1"/>
          <w:iCs w:val="1"/>
          <w:color w:val="auto"/>
        </w:rPr>
        <w:t>Extrait K-bis</w:t>
      </w:r>
      <w:r>
        <w:rPr>
          <w:rFonts w:ascii="Times New Roman" w:cs="Times New Roman" w:eastAsia="Times New Roman" w:hAnsi="Times New Roman"/>
          <w:sz w:val="18"/>
          <w:szCs w:val="18"/>
          <w:color w:val="auto"/>
        </w:rPr>
        <w:t xml:space="preserve"> of the Company delivered by the clerk of the Commercial Court of Paris, dated June 30, 2026 (the “</w:t>
      </w:r>
      <w:r>
        <w:rPr>
          <w:rFonts w:ascii="Times New Roman" w:cs="Times New Roman" w:eastAsia="Times New Roman" w:hAnsi="Times New Roman"/>
          <w:sz w:val="18"/>
          <w:szCs w:val="18"/>
          <w:b w:val="1"/>
          <w:bCs w:val="1"/>
          <w:color w:val="auto"/>
        </w:rPr>
        <w:t>K-bis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4" w:right="280" w:hanging="544"/>
        <w:spacing w:after="0" w:line="284" w:lineRule="auto"/>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Certificat en matière de procédures collectives</w:t>
      </w:r>
      <w:r>
        <w:rPr>
          <w:rFonts w:ascii="Times New Roman" w:cs="Times New Roman" w:eastAsia="Times New Roman" w:hAnsi="Times New Roman"/>
          <w:sz w:val="18"/>
          <w:szCs w:val="18"/>
          <w:color w:val="auto"/>
        </w:rPr>
        <w:t xml:space="preserve"> for the Company delivered by the clerk of the Commercial Court of Paris, dated July 1, 2026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w:t>
      </w:r>
    </w:p>
    <w:p>
      <w:pPr>
        <w:spacing w:after="0" w:line="6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of the Company, updated as of June 26, 2026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70" w:name="page71"/>
    <w:bookmarkEnd w:id="70"/>
    <w:p>
      <w:pPr>
        <w:ind w:left="544" w:hanging="544"/>
        <w:spacing w:after="0"/>
        <w:tabs>
          <w:tab w:leader="none" w:pos="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minutes of the shareholders’ meeting of the Company, dated May 11, 2026;</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the board of directors of the Company, dated June 29, 2026;</w:t>
      </w:r>
    </w:p>
    <w:p>
      <w:pPr>
        <w:spacing w:after="0" w:line="1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the CEO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of the Company, dated June 30, 2026; and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the CEO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of the Company, dated July 1, 2026;</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Examined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8"/>
          <w:szCs w:val="18"/>
          <w:color w:val="auto"/>
        </w:rPr>
        <w:t>As to the facts upon which this opinion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is based, we have relied, with your consent, upon the foregoing and upon certificates of public officials and certificates and written statements (including the representations and warranties made in the Transaction Documents) of officers, management board members, directors, employees and representatives of, and accountants and auditors for the Company, and the due performance by the parties of their respective obligations set forth in the Transaction Documents, and we have assumed, in this regard, the truthfulness of such representations. We have not independently established the facts so relied on.</w:t>
      </w:r>
    </w:p>
    <w:p>
      <w:pPr>
        <w:spacing w:after="0" w:line="183"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authenticity of all documents submitted to us as original documents and the conformity to original documents of all documents submitted to us as copies. In addition, we have assumed that:</w:t>
      </w:r>
    </w:p>
    <w:p>
      <w:pPr>
        <w:spacing w:after="0" w:line="67" w:lineRule="exact"/>
        <w:rPr>
          <w:sz w:val="20"/>
          <w:szCs w:val="20"/>
          <w:color w:val="auto"/>
        </w:rPr>
      </w:pPr>
    </w:p>
    <w:p>
      <w:pPr>
        <w:ind w:left="544" w:right="80" w:hanging="544"/>
        <w:spacing w:after="0" w:line="266" w:lineRule="auto"/>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natural persons who are signatories to the Transaction Documents have the full legal capacity and competence to enter into and perform their respective obligations under the Transaction Documents and none of them is subject to a restriction or inability (</w:t>
      </w:r>
      <w:r>
        <w:rPr>
          <w:rFonts w:ascii="Times New Roman" w:cs="Times New Roman" w:eastAsia="Times New Roman" w:hAnsi="Times New Roman"/>
          <w:sz w:val="18"/>
          <w:szCs w:val="18"/>
          <w:i w:val="1"/>
          <w:iCs w:val="1"/>
          <w:color w:val="auto"/>
        </w:rPr>
        <w:t>mesure d’incapacité 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d’interdiction</w:t>
      </w:r>
      <w:r>
        <w:rPr>
          <w:rFonts w:ascii="Times New Roman" w:cs="Times New Roman" w:eastAsia="Times New Roman" w:hAnsi="Times New Roman"/>
          <w:sz w:val="18"/>
          <w:szCs w:val="18"/>
          <w:color w:val="auto"/>
        </w:rPr>
        <w:t>) within the meaning of article 1160 of the French Civil Code;</w:t>
      </w:r>
    </w:p>
    <w:p>
      <w:pPr>
        <w:spacing w:after="0" w:line="81" w:lineRule="exact"/>
        <w:rPr>
          <w:rFonts w:ascii="Times New Roman" w:cs="Times New Roman" w:eastAsia="Times New Roman" w:hAnsi="Times New Roman"/>
          <w:sz w:val="18"/>
          <w:szCs w:val="18"/>
          <w:color w:val="auto"/>
        </w:rPr>
      </w:pPr>
    </w:p>
    <w:p>
      <w:pPr>
        <w:ind w:left="544" w:right="200" w:hanging="544"/>
        <w:spacing w:after="0" w:line="282" w:lineRule="auto"/>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Transaction Documents (other than the Company under its constitutive documents and French law) is duly organized, validly existing and in good standing under the laws of the jurisdiction of its organization;</w:t>
      </w:r>
    </w:p>
    <w:p>
      <w:pPr>
        <w:spacing w:after="0" w:line="67" w:lineRule="exact"/>
        <w:rPr>
          <w:rFonts w:ascii="Times New Roman" w:cs="Times New Roman" w:eastAsia="Times New Roman" w:hAnsi="Times New Roman"/>
          <w:sz w:val="18"/>
          <w:szCs w:val="18"/>
          <w:color w:val="auto"/>
        </w:rPr>
      </w:pPr>
    </w:p>
    <w:p>
      <w:pPr>
        <w:ind w:left="544" w:right="300" w:hanging="544"/>
        <w:spacing w:after="0" w:line="289" w:lineRule="auto"/>
        <w:tabs>
          <w:tab w:leader="none" w:pos="54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to the Transaction Documents (other than the Company under its constitutive documents and French law) has the requisite power and authority and has taken the legal action necessary to enter into and perform all of its respective obligations thereunder and to consummate the transactions contemplated thereby in accordance with the constitutive documents of such party and all laws applicable to it;</w:t>
      </w:r>
    </w:p>
    <w:p>
      <w:pPr>
        <w:spacing w:after="0" w:line="63" w:lineRule="exact"/>
        <w:rPr>
          <w:rFonts w:ascii="Times New Roman" w:cs="Times New Roman" w:eastAsia="Times New Roman" w:hAnsi="Times New Roman"/>
          <w:sz w:val="17"/>
          <w:szCs w:val="17"/>
          <w:color w:val="auto"/>
        </w:rPr>
      </w:pPr>
    </w:p>
    <w:p>
      <w:pPr>
        <w:ind w:left="544" w:right="100" w:hanging="544"/>
        <w:spacing w:after="0" w:line="258" w:lineRule="auto"/>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Documents have been duly authorized, executed and delivered by each of the parties thereto in accordance with the constitutive documents of such party and all laws applicable to it (other than the Company under its constitutive documents and French law) and none of the signatories is acting without power (</w:t>
      </w:r>
      <w:r>
        <w:rPr>
          <w:rFonts w:ascii="Times New Roman" w:cs="Times New Roman" w:eastAsia="Times New Roman" w:hAnsi="Times New Roman"/>
          <w:sz w:val="18"/>
          <w:szCs w:val="18"/>
          <w:i w:val="1"/>
          <w:iCs w:val="1"/>
          <w:color w:val="auto"/>
        </w:rPr>
        <w:t>sans pouvoir</w:t>
      </w:r>
      <w:r>
        <w:rPr>
          <w:rFonts w:ascii="Times New Roman" w:cs="Times New Roman" w:eastAsia="Times New Roman" w:hAnsi="Times New Roman"/>
          <w:sz w:val="18"/>
          <w:szCs w:val="18"/>
          <w:color w:val="auto"/>
        </w:rPr>
        <w:t>) or beyond its power limitations (</w:t>
      </w:r>
      <w:r>
        <w:rPr>
          <w:rFonts w:ascii="Times New Roman" w:cs="Times New Roman" w:eastAsia="Times New Roman" w:hAnsi="Times New Roman"/>
          <w:sz w:val="18"/>
          <w:szCs w:val="18"/>
          <w:i w:val="1"/>
          <w:iCs w:val="1"/>
          <w:color w:val="auto"/>
        </w:rPr>
        <w:t>au delà des limites de ses pouvoirs</w:t>
      </w:r>
      <w:r>
        <w:rPr>
          <w:rFonts w:ascii="Times New Roman" w:cs="Times New Roman" w:eastAsia="Times New Roman" w:hAnsi="Times New Roman"/>
          <w:sz w:val="18"/>
          <w:szCs w:val="18"/>
          <w:color w:val="auto"/>
        </w:rPr>
        <w:t>) (within the meaning of article 1156 of the French Civil Code) or is misusing its powers to the detriment of a represented party (</w:t>
      </w:r>
      <w:r>
        <w:rPr>
          <w:rFonts w:ascii="Times New Roman" w:cs="Times New Roman" w:eastAsia="Times New Roman" w:hAnsi="Times New Roman"/>
          <w:sz w:val="18"/>
          <w:szCs w:val="18"/>
          <w:i w:val="1"/>
          <w:iCs w:val="1"/>
          <w:color w:val="auto"/>
        </w:rPr>
        <w:t>agi en détournement de ses pouvoirs au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détriment du représenté</w:t>
      </w:r>
      <w:r>
        <w:rPr>
          <w:rFonts w:ascii="Times New Roman" w:cs="Times New Roman" w:eastAsia="Times New Roman" w:hAnsi="Times New Roman"/>
          <w:sz w:val="18"/>
          <w:szCs w:val="18"/>
          <w:color w:val="auto"/>
        </w:rPr>
        <w:t>) (within the meaning of article 1157 of the French Civil Code);</w:t>
      </w:r>
    </w:p>
    <w:p>
      <w:pPr>
        <w:spacing w:after="0" w:line="88" w:lineRule="exact"/>
        <w:rPr>
          <w:rFonts w:ascii="Times New Roman" w:cs="Times New Roman" w:eastAsia="Times New Roman" w:hAnsi="Times New Roman"/>
          <w:sz w:val="18"/>
          <w:szCs w:val="18"/>
          <w:color w:val="auto"/>
        </w:rPr>
      </w:pPr>
    </w:p>
    <w:p>
      <w:pPr>
        <w:ind w:left="544" w:right="80" w:hanging="544"/>
        <w:spacing w:after="0" w:line="266" w:lineRule="auto"/>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meetings and shareholders’ meeting mentioned in the Examined Documents were duly convened and held, the required quorums were, in each event, duly satisfied, and the directors were duly appointed and were validly exercising their term of office in accordance with the constitutive documents of the Company and all laws applicable to it;</w:t>
      </w:r>
    </w:p>
    <w:p>
      <w:pPr>
        <w:spacing w:after="0" w:line="81" w:lineRule="exact"/>
        <w:rPr>
          <w:rFonts w:ascii="Times New Roman" w:cs="Times New Roman" w:eastAsia="Times New Roman" w:hAnsi="Times New Roman"/>
          <w:sz w:val="18"/>
          <w:szCs w:val="18"/>
          <w:color w:val="auto"/>
        </w:rPr>
      </w:pPr>
    </w:p>
    <w:p>
      <w:pPr>
        <w:ind w:left="544" w:right="240" w:hanging="544"/>
        <w:spacing w:after="0" w:line="266" w:lineRule="auto"/>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authorizations of any kind (including corporate, legal, regulatory, governmental, contractual, etc.), other than with respect to the Company under its constitutive documents and French law, have been validly and unconditionally obtained by any appropriate means by each signatory, and remain in full force and effect;</w:t>
      </w:r>
    </w:p>
    <w:p>
      <w:pPr>
        <w:spacing w:after="0" w:line="81" w:lineRule="exact"/>
        <w:rPr>
          <w:rFonts w:ascii="Times New Roman" w:cs="Times New Roman" w:eastAsia="Times New Roman" w:hAnsi="Times New Roman"/>
          <w:sz w:val="18"/>
          <w:szCs w:val="18"/>
          <w:color w:val="auto"/>
        </w:rPr>
      </w:pPr>
    </w:p>
    <w:p>
      <w:pPr>
        <w:ind w:left="544" w:hanging="544"/>
        <w:spacing w:after="0" w:line="256" w:lineRule="auto"/>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Transaction Documents by the Company and the performance of its obligations thereunder was serving its corporate interests (</w:t>
      </w:r>
      <w:r>
        <w:rPr>
          <w:rFonts w:ascii="Times New Roman" w:cs="Times New Roman" w:eastAsia="Times New Roman" w:hAnsi="Times New Roman"/>
          <w:sz w:val="18"/>
          <w:szCs w:val="18"/>
          <w:i w:val="1"/>
          <w:iCs w:val="1"/>
          <w:color w:val="auto"/>
        </w:rPr>
        <w:t>conforme à son intérêt social</w:t>
      </w:r>
      <w:r>
        <w:rPr>
          <w:rFonts w:ascii="Times New Roman" w:cs="Times New Roman" w:eastAsia="Times New Roman" w:hAnsi="Times New Roman"/>
          <w:sz w:val="18"/>
          <w:szCs w:val="18"/>
          <w:color w:val="auto"/>
        </w:rPr>
        <w:t>) and not serving the interest of the Chairman (</w:t>
      </w:r>
      <w:r>
        <w:rPr>
          <w:rFonts w:ascii="Times New Roman" w:cs="Times New Roman" w:eastAsia="Times New Roman" w:hAnsi="Times New Roman"/>
          <w:sz w:val="18"/>
          <w:szCs w:val="18"/>
          <w:i w:val="1"/>
          <w:iCs w:val="1"/>
          <w:color w:val="auto"/>
        </w:rPr>
        <w:t>président du Conseil d’administration</w:t>
      </w:r>
      <w:r>
        <w:rPr>
          <w:rFonts w:ascii="Times New Roman" w:cs="Times New Roman" w:eastAsia="Times New Roman" w:hAnsi="Times New Roman"/>
          <w:sz w:val="18"/>
          <w:szCs w:val="18"/>
          <w:color w:val="auto"/>
        </w:rPr>
        <w:t>), CEO (</w:t>
      </w:r>
      <w:r>
        <w:rPr>
          <w:rFonts w:ascii="Times New Roman" w:cs="Times New Roman" w:eastAsia="Times New Roman" w:hAnsi="Times New Roman"/>
          <w:sz w:val="18"/>
          <w:szCs w:val="18"/>
          <w:i w:val="1"/>
          <w:iCs w:val="1"/>
          <w:color w:val="auto"/>
        </w:rPr>
        <w:t>directeur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général</w:t>
      </w:r>
      <w:r>
        <w:rPr>
          <w:rFonts w:ascii="Times New Roman" w:cs="Times New Roman" w:eastAsia="Times New Roman" w:hAnsi="Times New Roman"/>
          <w:sz w:val="18"/>
          <w:szCs w:val="18"/>
          <w:color w:val="auto"/>
        </w:rPr>
        <w:t>), deputy general manager (</w:t>
      </w:r>
      <w:r>
        <w:rPr>
          <w:rFonts w:ascii="Times New Roman" w:cs="Times New Roman" w:eastAsia="Times New Roman" w:hAnsi="Times New Roman"/>
          <w:sz w:val="18"/>
          <w:szCs w:val="18"/>
          <w:i w:val="1"/>
          <w:iCs w:val="1"/>
          <w:color w:val="auto"/>
        </w:rPr>
        <w:t>directeur général délégué</w:t>
      </w:r>
      <w:r>
        <w:rPr>
          <w:rFonts w:ascii="Times New Roman" w:cs="Times New Roman" w:eastAsia="Times New Roman" w:hAnsi="Times New Roman"/>
          <w:sz w:val="18"/>
          <w:szCs w:val="18"/>
          <w:color w:val="auto"/>
        </w:rPr>
        <w:t>), director (</w:t>
      </w:r>
      <w:r>
        <w:rPr>
          <w:rFonts w:ascii="Times New Roman" w:cs="Times New Roman" w:eastAsia="Times New Roman" w:hAnsi="Times New Roman"/>
          <w:sz w:val="18"/>
          <w:szCs w:val="18"/>
          <w:i w:val="1"/>
          <w:iCs w:val="1"/>
          <w:color w:val="auto"/>
        </w:rPr>
        <w:t>administrateur</w:t>
      </w:r>
      <w:r>
        <w:rPr>
          <w:rFonts w:ascii="Times New Roman" w:cs="Times New Roman" w:eastAsia="Times New Roman" w:hAnsi="Times New Roman"/>
          <w:sz w:val="18"/>
          <w:szCs w:val="18"/>
          <w:color w:val="auto"/>
        </w:rPr>
        <w:t>), or any other officers (</w:t>
      </w:r>
      <w:r>
        <w:rPr>
          <w:rFonts w:ascii="Times New Roman" w:cs="Times New Roman" w:eastAsia="Times New Roman" w:hAnsi="Times New Roman"/>
          <w:sz w:val="18"/>
          <w:szCs w:val="18"/>
          <w:i w:val="1"/>
          <w:iCs w:val="1"/>
          <w:color w:val="auto"/>
        </w:rPr>
        <w:t>dirigeants</w:t>
      </w:r>
      <w:r>
        <w:rPr>
          <w:rFonts w:ascii="Times New Roman" w:cs="Times New Roman" w:eastAsia="Times New Roman" w:hAnsi="Times New Roman"/>
          <w:sz w:val="18"/>
          <w:szCs w:val="18"/>
          <w:color w:val="auto"/>
        </w:rPr>
        <w:t>) of the Company 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business or entity in relation to which any of them has a direct or indirect interest and (ii) the Company is managed for its corporate interest (</w:t>
      </w:r>
      <w:r>
        <w:rPr>
          <w:rFonts w:ascii="Times New Roman" w:cs="Times New Roman" w:eastAsia="Times New Roman" w:hAnsi="Times New Roman"/>
          <w:sz w:val="18"/>
          <w:szCs w:val="18"/>
          <w:i w:val="1"/>
          <w:iCs w:val="1"/>
          <w:color w:val="auto"/>
        </w:rPr>
        <w:t>dans son intérêt social</w:t>
      </w:r>
      <w:r>
        <w:rPr>
          <w:rFonts w:ascii="Times New Roman" w:cs="Times New Roman" w:eastAsia="Times New Roman" w:hAnsi="Times New Roman"/>
          <w:sz w:val="18"/>
          <w:szCs w:val="18"/>
          <w:color w:val="auto"/>
        </w:rPr>
        <w:t>), taking into account the environmental and social stakes of its activity (</w:t>
      </w:r>
      <w:r>
        <w:rPr>
          <w:rFonts w:ascii="Times New Roman" w:cs="Times New Roman" w:eastAsia="Times New Roman" w:hAnsi="Times New Roman"/>
          <w:sz w:val="18"/>
          <w:szCs w:val="18"/>
          <w:i w:val="1"/>
          <w:iCs w:val="1"/>
          <w:color w:val="auto"/>
        </w:rPr>
        <w:t>en prenant en considération les enjeux sociaux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environnementaux de son activité</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71" w:name="page72"/>
    <w:bookmarkEnd w:id="71"/>
    <w:p>
      <w:pPr>
        <w:ind w:left="544" w:right="120" w:hanging="544"/>
        <w:spacing w:after="0" w:line="284"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decision, proceedings, filing or request relating to any proceedings set out in Book VI of the French Commercial Code (</w:t>
      </w:r>
      <w:r>
        <w:rPr>
          <w:rFonts w:ascii="Times New Roman" w:cs="Times New Roman" w:eastAsia="Times New Roman" w:hAnsi="Times New Roman"/>
          <w:sz w:val="18"/>
          <w:szCs w:val="18"/>
          <w:i w:val="1"/>
          <w:iCs w:val="1"/>
          <w:color w:val="auto"/>
        </w:rPr>
        <w:t>Livre VI du Code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commerce</w:t>
      </w:r>
      <w:r>
        <w:rPr>
          <w:rFonts w:ascii="Times New Roman" w:cs="Times New Roman" w:eastAsia="Times New Roman" w:hAnsi="Times New Roman"/>
          <w:sz w:val="18"/>
          <w:szCs w:val="18"/>
          <w:color w:val="auto"/>
        </w:rPr>
        <w:t>) has been taken, initiated or filed against the Company between the date of the Examined Documents and this Opinion;</w:t>
      </w:r>
    </w:p>
    <w:p>
      <w:pPr>
        <w:spacing w:after="0" w:line="63" w:lineRule="exact"/>
        <w:rPr>
          <w:rFonts w:ascii="Times New Roman" w:cs="Times New Roman" w:eastAsia="Times New Roman" w:hAnsi="Times New Roman"/>
          <w:sz w:val="18"/>
          <w:szCs w:val="18"/>
          <w:color w:val="auto"/>
        </w:rPr>
      </w:pPr>
    </w:p>
    <w:p>
      <w:pPr>
        <w:ind w:left="544" w:right="60" w:hanging="544"/>
        <w:spacing w:after="0" w:line="256"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of the corporate bodies of the Company and each of the persons holding a </w:t>
      </w:r>
      <w:r>
        <w:rPr>
          <w:rFonts w:ascii="Times New Roman" w:cs="Times New Roman" w:eastAsia="Times New Roman" w:hAnsi="Times New Roman"/>
          <w:sz w:val="18"/>
          <w:szCs w:val="18"/>
          <w:i w:val="1"/>
          <w:iCs w:val="1"/>
          <w:color w:val="auto"/>
        </w:rPr>
        <w:t>mandat social</w:t>
      </w:r>
      <w:r>
        <w:rPr>
          <w:rFonts w:ascii="Times New Roman" w:cs="Times New Roman" w:eastAsia="Times New Roman" w:hAnsi="Times New Roman"/>
          <w:sz w:val="18"/>
          <w:szCs w:val="18"/>
          <w:color w:val="auto"/>
        </w:rPr>
        <w:t xml:space="preserve"> (corporate management mandate) within the Company holds its position or mandate in each case in compliance with all applicable laws; all consents, formalities, or licenses for the performance of their roles have been obtained and are being complied with; the corporate resolutions pursuant to which each of the persons holding a </w:t>
      </w:r>
      <w:r>
        <w:rPr>
          <w:rFonts w:ascii="Times New Roman" w:cs="Times New Roman" w:eastAsia="Times New Roman" w:hAnsi="Times New Roman"/>
          <w:sz w:val="18"/>
          <w:szCs w:val="18"/>
          <w:i w:val="1"/>
          <w:iCs w:val="1"/>
          <w:color w:val="auto"/>
        </w:rPr>
        <w:t>mandat social</w:t>
      </w:r>
      <w:r>
        <w:rPr>
          <w:rFonts w:ascii="Times New Roman" w:cs="Times New Roman" w:eastAsia="Times New Roman" w:hAnsi="Times New Roman"/>
          <w:sz w:val="18"/>
          <w:szCs w:val="18"/>
          <w:color w:val="auto"/>
        </w:rPr>
        <w:t xml:space="preserve"> (corporate management mandate) was appointed have not been amended or revoked, and such corporate resolutions are in full force and effect as at the date hereof and, where applicable, were validly adopted by the competent corporate bodies of the Company (or legal entity holding a </w:t>
      </w:r>
      <w:r>
        <w:rPr>
          <w:rFonts w:ascii="Times New Roman" w:cs="Times New Roman" w:eastAsia="Times New Roman" w:hAnsi="Times New Roman"/>
          <w:sz w:val="18"/>
          <w:szCs w:val="18"/>
          <w:i w:val="1"/>
          <w:iCs w:val="1"/>
          <w:color w:val="auto"/>
        </w:rPr>
        <w:t>mandat social</w:t>
      </w:r>
      <w:r>
        <w:rPr>
          <w:rFonts w:ascii="Times New Roman" w:cs="Times New Roman" w:eastAsia="Times New Roman" w:hAnsi="Times New Roman"/>
          <w:sz w:val="18"/>
          <w:szCs w:val="18"/>
          <w:color w:val="auto"/>
        </w:rPr>
        <w:t xml:space="preserve"> (corporate management mandate) within the Company) convened, composed, held, or taken (as the case may be) in accordance with then-applicable laws;</w:t>
      </w:r>
    </w:p>
    <w:p>
      <w:pPr>
        <w:spacing w:after="0" w:line="90"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Documents have been entered into by each of the parties thereto in full knowledge thereof, without any deliberate concealment of decisive information or other deceit within the meaning of article 1137 of the French Civil Code, and freely (without any violence or abuse of a state of dependence within the meaning of articles 1140 and 1143 of the French Civil Code);</w:t>
      </w:r>
    </w:p>
    <w:p>
      <w:pPr>
        <w:spacing w:after="0" w:line="81"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process used to establish, sign, keep and make available to the parties thereto the Transaction Documents, and any transfer document from time to time, complies with the conditions required for such documents to produce the same effects and have the same value as a matter of proof as if they had been established, signed, kept and made available in hard copy, as provided for by articles 1366 and 1367 of the French Civil Code (and the related decree) and the last paragraph of article 1375 of the French Civil Code;</w:t>
      </w:r>
    </w:p>
    <w:p>
      <w:pPr>
        <w:spacing w:after="0" w:line="85"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Examined Documents was accurate on, and has not been altered since, the date as at which the relevant resolution set forth in the Examined Documents was adopted or the date as at which the relevant Examined Document is expressed to have been drawn up or issued;</w:t>
      </w:r>
    </w:p>
    <w:p>
      <w:pPr>
        <w:spacing w:after="0" w:line="81" w:lineRule="exact"/>
        <w:rPr>
          <w:rFonts w:ascii="Times New Roman" w:cs="Times New Roman" w:eastAsia="Times New Roman" w:hAnsi="Times New Roman"/>
          <w:sz w:val="18"/>
          <w:szCs w:val="18"/>
          <w:color w:val="auto"/>
        </w:rPr>
      </w:pPr>
    </w:p>
    <w:p>
      <w:pPr>
        <w:jc w:val="both"/>
        <w:ind w:left="544" w:right="260" w:hanging="544"/>
        <w:spacing w:after="0" w:line="266"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(and was not as at the date of each of the Transaction Documents) any other agreement or undertaking, whether oral or in writing, that could change or supersede the parties’ respective obligations under the Transaction Documents or the performance by any of them of the said obligations;</w:t>
      </w:r>
    </w:p>
    <w:p>
      <w:pPr>
        <w:spacing w:after="0" w:line="79" w:lineRule="exact"/>
        <w:rPr>
          <w:rFonts w:ascii="Times New Roman" w:cs="Times New Roman" w:eastAsia="Times New Roman" w:hAnsi="Times New Roman"/>
          <w:sz w:val="18"/>
          <w:szCs w:val="18"/>
          <w:color w:val="auto"/>
        </w:rPr>
      </w:pPr>
    </w:p>
    <w:p>
      <w:pPr>
        <w:ind w:left="544" w:right="240" w:hanging="544"/>
        <w:spacing w:after="0" w:line="267"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Documents constitute for each party thereto a transaction which has been negotiated and entered into for lawful and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commercial reasons, on arm’s length terms between independent parties and for the agreed upon consideration which is neither illusory nor derisory within the meaning of article 1169 of the French Civil Code;</w:t>
      </w:r>
    </w:p>
    <w:p>
      <w:pPr>
        <w:spacing w:after="0" w:line="80" w:lineRule="exact"/>
        <w:rPr>
          <w:rFonts w:ascii="Times New Roman" w:cs="Times New Roman" w:eastAsia="Times New Roman" w:hAnsi="Times New Roman"/>
          <w:sz w:val="18"/>
          <w:szCs w:val="18"/>
          <w:color w:val="auto"/>
        </w:rPr>
      </w:pPr>
    </w:p>
    <w:p>
      <w:pPr>
        <w:ind w:left="544" w:right="540" w:hanging="544"/>
        <w:spacing w:after="0" w:line="282"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Documents have been negotiated freely, without any provisions whatsoever of such agreement having been retained from negotiation;</w:t>
      </w:r>
    </w:p>
    <w:p>
      <w:pPr>
        <w:spacing w:after="0" w:line="67"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negotiated in good faith, and complied, in particular, with the precontractual duty of information in accordance with article 1112-1 of the French Civil Code;</w:t>
      </w:r>
    </w:p>
    <w:p>
      <w:pPr>
        <w:spacing w:after="0" w:line="67" w:lineRule="exact"/>
        <w:rPr>
          <w:rFonts w:ascii="Times New Roman" w:cs="Times New Roman" w:eastAsia="Times New Roman" w:hAnsi="Times New Roman"/>
          <w:sz w:val="18"/>
          <w:szCs w:val="18"/>
          <w:color w:val="auto"/>
        </w:rPr>
      </w:pPr>
    </w:p>
    <w:p>
      <w:pPr>
        <w:ind w:left="544" w:right="440" w:hanging="544"/>
        <w:spacing w:after="0" w:line="266"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legal matters on which we express a specific opinion herein, all representations and warranties contained in the Transaction Documents or made in connection with the transactions contemplated thereby, and the statements of fact contained therein, are accurate;</w:t>
      </w:r>
    </w:p>
    <w:p>
      <w:pPr>
        <w:spacing w:after="0" w:line="81"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formalities, deeds, acts and procedures required under any applicable laws (excluding, in respect of the Company only, the laws of France but subject to the other assumptions set out herein) in order to ensure the validity between the parties and enforceability (</w:t>
      </w:r>
      <w:r>
        <w:rPr>
          <w:rFonts w:ascii="Times New Roman" w:cs="Times New Roman" w:eastAsia="Times New Roman" w:hAnsi="Times New Roman"/>
          <w:sz w:val="18"/>
          <w:szCs w:val="18"/>
          <w:i w:val="1"/>
          <w:iCs w:val="1"/>
          <w:color w:val="auto"/>
        </w:rPr>
        <w:t>opposabilité</w:t>
      </w:r>
      <w:r>
        <w:rPr>
          <w:rFonts w:ascii="Times New Roman" w:cs="Times New Roman" w:eastAsia="Times New Roman" w:hAnsi="Times New Roman"/>
          <w:sz w:val="18"/>
          <w:szCs w:val="18"/>
          <w:color w:val="auto"/>
        </w:rPr>
        <w:t>) of the Transaction Documents have been duly carried out and performed, or that no such formalities, deeds, acts or procedures are required to this effect under said laws (other, in respect of the Company only, than French law but subject to the other assumptions set out herein);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8" w:right="479" w:bottom="1440" w:gutter="0" w:footer="0" w:header="0"/>
        </w:sectPr>
      </w:pPr>
    </w:p>
    <w:bookmarkStart w:id="72" w:name="page73"/>
    <w:bookmarkEnd w:id="72"/>
    <w:p>
      <w:pPr>
        <w:ind w:left="544" w:hanging="544"/>
        <w:spacing w:after="0" w:line="282" w:lineRule="auto"/>
        <w:tabs>
          <w:tab w:leader="none" w:pos="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lack of bad faith and the absence of fraud, coercion, duress or undue influence on the part of any of the parties to the Transaction Documents, their respective directors, employees, agents and advisers (excepting, ourselves);</w:t>
      </w:r>
    </w:p>
    <w:p>
      <w:pPr>
        <w:spacing w:after="0" w:line="67" w:lineRule="exact"/>
        <w:rPr>
          <w:rFonts w:ascii="Times New Roman" w:cs="Times New Roman" w:eastAsia="Times New Roman" w:hAnsi="Times New Roman"/>
          <w:sz w:val="18"/>
          <w:szCs w:val="18"/>
          <w:color w:val="auto"/>
        </w:rPr>
      </w:pPr>
    </w:p>
    <w:p>
      <w:pPr>
        <w:ind w:left="544" w:right="260" w:hanging="544"/>
        <w:spacing w:after="0" w:line="261" w:lineRule="auto"/>
        <w:tabs>
          <w:tab w:leader="none" w:pos="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and the performance by any party to the Transaction Documents do not entail, directly or indirectly, any infringement upon, or any violation or non-performance or any conflict or incompatibility with, any agreement, mortgage, bond issue, other financing or any other arrangement entered into by such party or any memorandum and articles of association or by-laws (except with respect to the by-laws of the Company);</w:t>
      </w:r>
    </w:p>
    <w:p>
      <w:pPr>
        <w:spacing w:after="0" w:line="85" w:lineRule="exact"/>
        <w:rPr>
          <w:rFonts w:ascii="Times New Roman" w:cs="Times New Roman" w:eastAsia="Times New Roman" w:hAnsi="Times New Roman"/>
          <w:sz w:val="18"/>
          <w:szCs w:val="18"/>
          <w:color w:val="auto"/>
        </w:rPr>
      </w:pPr>
    </w:p>
    <w:p>
      <w:pPr>
        <w:ind w:left="544" w:right="280" w:hanging="544"/>
        <w:spacing w:after="0" w:line="282" w:lineRule="auto"/>
        <w:tabs>
          <w:tab w:leader="none" w:pos="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restrictions contained in the Underwriting Agreement, the Registration Statement, and the Prospectus Supplement have been and will be complied with; and</w:t>
      </w:r>
    </w:p>
    <w:p>
      <w:pPr>
        <w:spacing w:after="0" w:line="67" w:lineRule="exact"/>
        <w:rPr>
          <w:rFonts w:ascii="Times New Roman" w:cs="Times New Roman" w:eastAsia="Times New Roman" w:hAnsi="Times New Roman"/>
          <w:sz w:val="18"/>
          <w:szCs w:val="18"/>
          <w:color w:val="auto"/>
        </w:rPr>
      </w:pPr>
    </w:p>
    <w:p>
      <w:pPr>
        <w:ind w:left="544" w:right="220" w:hanging="544"/>
        <w:spacing w:after="0" w:line="289" w:lineRule="auto"/>
        <w:tabs>
          <w:tab w:leader="none" w:pos="54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Documents constitute the legal, valid and binding obligations of each of the parties thereto (other than the Company), enforceable against each such party in accordance with its terms under any applicable laws and, in any jurisdiction where any such obligation falls to be performed, such performance will not be illegal or ineffective by virtue of the laws or doctrines of public policy of that jurisdiction.</w:t>
      </w:r>
    </w:p>
    <w:p>
      <w:pPr>
        <w:spacing w:after="0" w:line="158"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 have further assumed that there has been no oral modification of, or amendment or supplement (including any express or implied waiver, however arising) to, any of the Examined Documents or any other documents or instruments used by us to form the basis of the opinion expressed below and that such documents are in full force and effect at all times at which the Offered Securities are issued, offered, or sold by the Company.</w:t>
      </w:r>
    </w:p>
    <w:p>
      <w:pPr>
        <w:spacing w:after="0" w:line="176"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 xml:space="preserve">This Opinion is furnished to you in connection with the legal matters enumerated below, speaks only as of the date hereof, and is limited to the laws of France as in effect on the date hereof as currently construed by the French </w:t>
      </w:r>
      <w:r>
        <w:rPr>
          <w:rFonts w:ascii="Times New Roman" w:cs="Times New Roman" w:eastAsia="Times New Roman" w:hAnsi="Times New Roman"/>
          <w:sz w:val="18"/>
          <w:szCs w:val="18"/>
          <w:i w:val="1"/>
          <w:iCs w:val="1"/>
          <w:color w:val="auto"/>
        </w:rPr>
        <w:t>Conseil Constitutionnel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Cour de Cassation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Conseil d’État</w:t>
      </w:r>
      <w:r>
        <w:rPr>
          <w:rFonts w:ascii="Times New Roman" w:cs="Times New Roman" w:eastAsia="Times New Roman" w:hAnsi="Times New Roman"/>
          <w:sz w:val="18"/>
          <w:szCs w:val="18"/>
          <w:color w:val="auto"/>
        </w:rPr>
        <w:t xml:space="preserve"> in their decisions as published in major legal journals. We do not express any opinion as to any laws other than French laws as in effect on the date hereof. The Opinion is given as to matters of French law only and has been prepared without considering the implications of any laws of any jurisdiction (including those jurisdictions in which our firm has an office or correspondent) other than the French Republic. We express no opinion as to matters of fact. We did not establish or verify the accuracy of facts or the reasonableness of any statement or intention contained in the Examined Documents, or verify that no substantial fact or contractual stipulation has been omitted from the Examined Documents. This Opinion is strictly confined to the specific matters of French law expressly stated herein (as qualified by the qualifications and subject to the assumptions set forth in this matter), is not to be read as extending by implication to any other matter in connection with the Examined Documents, and should not be treated as detailed and comprehensive legal advice pertaining to any legal or tax matter in connection with any Examined Document. In particular, but without limiting the generality of the foregoing, we express no opinion as to tax matters. We have not undertaken to inform you of any subsequent changes in French law, in the legal status of the Company, or any other fact that hereafter may come to our attention and would be likely to affect the matters evoked herein, and shall have no duty in this respect.</w:t>
      </w:r>
    </w:p>
    <w:p>
      <w:pPr>
        <w:spacing w:after="0" w:line="187"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On the basis of the foregoing and such examination of law as we have deemed necessary, and subject to the assumptions, limitations, and qualifications set forth in this letter, we are of the opinion that (i) the issuance of the Offered Shares has been duly authorized by the Company; and (ii) the Offered Shares, when issued by the Company in accordance with the shareholders’ resolutions and the decisions of the Board and of the CEO, pursuant to, and in accordance with, the Underwriting Agreement, upon payment of the consideration provided therein to the Company and issuance of the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in respect of the Offered Shares, will be validly issued, fully paid, and non-assessable.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 expressed above is subject to the following qualifications:</w:t>
      </w:r>
    </w:p>
    <w:p>
      <w:pPr>
        <w:spacing w:after="0" w:line="129" w:lineRule="exact"/>
        <w:rPr>
          <w:sz w:val="20"/>
          <w:szCs w:val="20"/>
          <w:color w:val="auto"/>
        </w:rPr>
      </w:pPr>
    </w:p>
    <w:p>
      <w:pPr>
        <w:ind w:left="544" w:right="20" w:hanging="544"/>
        <w:spacing w:after="0" w:line="256" w:lineRule="auto"/>
        <w:tabs>
          <w:tab w:leader="none" w:pos="5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Opinion is subject to the effect of any laws or regulations relating to bankruptcy, insolvency, moratorium,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mandate (</w:t>
      </w:r>
      <w:r>
        <w:rPr>
          <w:rFonts w:ascii="Times New Roman" w:cs="Times New Roman" w:eastAsia="Times New Roman" w:hAnsi="Times New Roman"/>
          <w:sz w:val="18"/>
          <w:szCs w:val="18"/>
          <w:i w:val="1"/>
          <w:iCs w:val="1"/>
          <w:color w:val="auto"/>
        </w:rPr>
        <w:t>mandat ad hoc</w:t>
      </w:r>
      <w:r>
        <w:rPr>
          <w:rFonts w:ascii="Times New Roman" w:cs="Times New Roman" w:eastAsia="Times New Roman" w:hAnsi="Times New Roman"/>
          <w:sz w:val="18"/>
          <w:szCs w:val="18"/>
          <w:color w:val="auto"/>
        </w:rPr>
        <w:t>), conciliation, accelerated judicial safeguard (</w:t>
      </w:r>
      <w:r>
        <w:rPr>
          <w:rFonts w:ascii="Times New Roman" w:cs="Times New Roman" w:eastAsia="Times New Roman" w:hAnsi="Times New Roman"/>
          <w:sz w:val="18"/>
          <w:szCs w:val="18"/>
          <w:i w:val="1"/>
          <w:iCs w:val="1"/>
          <w:color w:val="auto"/>
        </w:rPr>
        <w:t>procédure de sauvegarde accélérée</w:t>
      </w:r>
      <w:r>
        <w:rPr>
          <w:rFonts w:ascii="Times New Roman" w:cs="Times New Roman" w:eastAsia="Times New Roman" w:hAnsi="Times New Roman"/>
          <w:sz w:val="18"/>
          <w:szCs w:val="18"/>
          <w:color w:val="auto"/>
        </w:rPr>
        <w:t>), safeguard procedure (</w:t>
      </w:r>
      <w:r>
        <w:rPr>
          <w:rFonts w:ascii="Times New Roman" w:cs="Times New Roman" w:eastAsia="Times New Roman" w:hAnsi="Times New Roman"/>
          <w:sz w:val="18"/>
          <w:szCs w:val="18"/>
          <w:i w:val="1"/>
          <w:iCs w:val="1"/>
          <w:color w:val="auto"/>
        </w:rPr>
        <w:t>procédure de sauvegarde</w:t>
      </w:r>
      <w:r>
        <w:rPr>
          <w:rFonts w:ascii="Times New Roman" w:cs="Times New Roman" w:eastAsia="Times New Roman" w:hAnsi="Times New Roman"/>
          <w:sz w:val="18"/>
          <w:szCs w:val="18"/>
          <w:color w:val="auto"/>
        </w:rPr>
        <w:t>), judicial recovery proceedings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or judicial liquidation proceedings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winding-up, or any other analogous proceedings or circumstances and, as a general rule, subject to the effect of any laws or regulations amending and/or protecting creditors’ rights. In particular, we do not express any opinion herein as to the enforceability and effectiveness of rights, obligations, or recourses of any party to the Examined Documents in the event where one of the proceedings set out in Book VI of the French Commercial Code (</w:t>
      </w:r>
      <w:r>
        <w:rPr>
          <w:rFonts w:ascii="Times New Roman" w:cs="Times New Roman" w:eastAsia="Times New Roman" w:hAnsi="Times New Roman"/>
          <w:sz w:val="18"/>
          <w:szCs w:val="18"/>
          <w:i w:val="1"/>
          <w:iCs w:val="1"/>
          <w:color w:val="auto"/>
        </w:rPr>
        <w:t>Livre VI du Code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commerce</w:t>
      </w:r>
      <w:r>
        <w:rPr>
          <w:rFonts w:ascii="Times New Roman" w:cs="Times New Roman" w:eastAsia="Times New Roman" w:hAnsi="Times New Roman"/>
          <w:sz w:val="18"/>
          <w:szCs w:val="18"/>
          <w:color w:val="auto"/>
        </w:rPr>
        <w:t>) would be initiated, or any other similar proceedings would be initiated in a foreign jurisdiction.</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73" w:name="page74"/>
    <w:bookmarkEnd w:id="73"/>
    <w:p>
      <w:pPr>
        <w:ind w:left="544" w:hanging="544"/>
        <w:spacing w:after="0" w:line="258" w:lineRule="auto"/>
        <w:tabs>
          <w:tab w:leader="none" w:pos="5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should be noted that any such event affecting the Company does not necessarily give rise to immediate formalities at the relevant Register of Commerce and Companies (</w:t>
      </w:r>
      <w:r>
        <w:rPr>
          <w:rFonts w:ascii="Times New Roman" w:cs="Times New Roman" w:eastAsia="Times New Roman" w:hAnsi="Times New Roman"/>
          <w:sz w:val="18"/>
          <w:szCs w:val="18"/>
          <w:i w:val="1"/>
          <w:iCs w:val="1"/>
          <w:color w:val="auto"/>
        </w:rPr>
        <w:t>Registre du Commerce et des Sociétés</w:t>
      </w:r>
      <w:r>
        <w:rPr>
          <w:rFonts w:ascii="Times New Roman" w:cs="Times New Roman" w:eastAsia="Times New Roman" w:hAnsi="Times New Roman"/>
          <w:sz w:val="18"/>
          <w:szCs w:val="18"/>
          <w:color w:val="auto"/>
        </w:rPr>
        <w:t xml:space="preserve">) and that, once such formalities have been carried out, they are not necessarily recorded immediately on the K-bis or the Good Standing Certificate, which are accordingly not conclusive as to the occurrence of any such event. It should also be noted that the opening of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mandate (</w:t>
      </w:r>
      <w:r>
        <w:rPr>
          <w:rFonts w:ascii="Times New Roman" w:cs="Times New Roman" w:eastAsia="Times New Roman" w:hAnsi="Times New Roman"/>
          <w:sz w:val="18"/>
          <w:szCs w:val="18"/>
          <w:i w:val="1"/>
          <w:iCs w:val="1"/>
          <w:color w:val="auto"/>
        </w:rPr>
        <w:t>mandat ad hoc</w:t>
      </w:r>
      <w:r>
        <w:rPr>
          <w:rFonts w:ascii="Times New Roman" w:cs="Times New Roman" w:eastAsia="Times New Roman" w:hAnsi="Times New Roman"/>
          <w:sz w:val="18"/>
          <w:szCs w:val="18"/>
          <w:color w:val="auto"/>
        </w:rPr>
        <w:t>) or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proceedings never appears on such document.</w:t>
      </w:r>
    </w:p>
    <w:p>
      <w:pPr>
        <w:spacing w:after="0" w:line="88" w:lineRule="exact"/>
        <w:rPr>
          <w:rFonts w:ascii="Times New Roman" w:cs="Times New Roman" w:eastAsia="Times New Roman" w:hAnsi="Times New Roman"/>
          <w:sz w:val="18"/>
          <w:szCs w:val="18"/>
          <w:color w:val="auto"/>
        </w:rPr>
      </w:pPr>
    </w:p>
    <w:p>
      <w:pPr>
        <w:ind w:left="544" w:right="120" w:hanging="544"/>
        <w:spacing w:after="0" w:line="282" w:lineRule="auto"/>
        <w:tabs>
          <w:tab w:leader="none" w:pos="5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subject to French courts’ sovereign powers of interpretation of agreements (to find out the original intention of the parties when it has not been clearly stated) and appreciation of facts.</w:t>
      </w:r>
    </w:p>
    <w:p>
      <w:pPr>
        <w:spacing w:after="0" w:line="67" w:lineRule="exact"/>
        <w:rPr>
          <w:rFonts w:ascii="Times New Roman" w:cs="Times New Roman" w:eastAsia="Times New Roman" w:hAnsi="Times New Roman"/>
          <w:sz w:val="18"/>
          <w:szCs w:val="18"/>
          <w:color w:val="auto"/>
        </w:rPr>
      </w:pPr>
    </w:p>
    <w:p>
      <w:pPr>
        <w:ind w:left="544" w:right="80" w:hanging="544"/>
        <w:spacing w:after="0" w:line="282" w:lineRule="auto"/>
        <w:tabs>
          <w:tab w:leader="none" w:pos="5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French courts are not bound by their previous judicial decisions or those of other courts, the case law may vary over time and, in some cases, result from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decisions.</w:t>
      </w:r>
    </w:p>
    <w:p>
      <w:pPr>
        <w:spacing w:after="0" w:line="67" w:lineRule="exact"/>
        <w:rPr>
          <w:rFonts w:ascii="Times New Roman" w:cs="Times New Roman" w:eastAsia="Times New Roman" w:hAnsi="Times New Roman"/>
          <w:sz w:val="18"/>
          <w:szCs w:val="18"/>
          <w:color w:val="auto"/>
        </w:rPr>
      </w:pPr>
    </w:p>
    <w:p>
      <w:pPr>
        <w:ind w:left="544" w:right="180" w:hanging="544"/>
        <w:spacing w:after="0" w:line="256" w:lineRule="auto"/>
        <w:tabs>
          <w:tab w:leader="none" w:pos="5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provisions of article 61-1 of the French Constitution, any person may, in connection with a proceeding pending before a court, argue that a law violates the rights and freedoms guaranteed by the Constitution. A provision declared unconstitutional on that basis would be repealed from the publication of the decision of the </w:t>
      </w:r>
      <w:r>
        <w:rPr>
          <w:rFonts w:ascii="Times New Roman" w:cs="Times New Roman" w:eastAsia="Times New Roman" w:hAnsi="Times New Roman"/>
          <w:sz w:val="18"/>
          <w:szCs w:val="18"/>
          <w:i w:val="1"/>
          <w:iCs w:val="1"/>
          <w:color w:val="auto"/>
        </w:rPr>
        <w:t>Conseil Constitutionnel</w:t>
      </w:r>
      <w:r>
        <w:rPr>
          <w:rFonts w:ascii="Times New Roman" w:cs="Times New Roman" w:eastAsia="Times New Roman" w:hAnsi="Times New Roman"/>
          <w:sz w:val="18"/>
          <w:szCs w:val="18"/>
          <w:color w:val="auto"/>
        </w:rPr>
        <w:t xml:space="preserve"> or a later date fixed by the relevant decision. The </w:t>
      </w:r>
      <w:r>
        <w:rPr>
          <w:rFonts w:ascii="Times New Roman" w:cs="Times New Roman" w:eastAsia="Times New Roman" w:hAnsi="Times New Roman"/>
          <w:sz w:val="18"/>
          <w:szCs w:val="18"/>
          <w:i w:val="1"/>
          <w:iCs w:val="1"/>
          <w:color w:val="auto"/>
        </w:rPr>
        <w:t>Conseil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Constitutionnel </w:t>
      </w:r>
      <w:r>
        <w:rPr>
          <w:rFonts w:ascii="Times New Roman" w:cs="Times New Roman" w:eastAsia="Times New Roman" w:hAnsi="Times New Roman"/>
          <w:sz w:val="18"/>
          <w:szCs w:val="18"/>
          <w:color w:val="auto"/>
        </w:rPr>
        <w:t>determines the conditions and limits within which the effects that the provision has produced are likely to be challenged.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 no opinion as to the conformity of any provisions of any law with the French Constitution or as to the impact of the unconstitutionality of any provision of any law on the Examined Documents.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addressed to you solely for your benefit in connection with the Prospectus Supplement.</w:t>
      </w:r>
    </w:p>
    <w:p>
      <w:pPr>
        <w:spacing w:after="0" w:line="225"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It is not to be transmitted to anyone else nor is it to be relied upon by anyone else or for any other purpose or quoted or referred to in any public document (other than the Prospectus Supplement) or filed with anyone without our prior written express consent.</w:t>
      </w:r>
    </w:p>
    <w:p>
      <w:pPr>
        <w:spacing w:after="0" w:line="162"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We hereby consent to the filing with the U.S. Securities and Exchange Commission of this Opinion as Exhibit 5.1 to the Current Report on Form 6-K, filed on the date hereof by the Company and incorporated by reference into the Registration Statement filed by the Company to effect the registration of the New Shares under the Securities Act, and to the reference to Orrick Herrington &amp; Sutcliffe (Europe) LLP under the caption “Legal Matters” in the prospectus constituting a part of such Registration Statement and the Prospectus Supplement. In giving such consent, we do not thereby admit that we are included in the category of persons whose consent is required under Section 7 of the Securities Act of 1933, as amended, or the rules and regulations of the U.S. Securities and Exchange Commission promulgated thereunder and we assume no duty or liability whatsoever to, and do not accept any client-attorney relationship with, any person or entity, other than the Company.</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governed by French law and must be construed in accordance with French law.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Orrick Herrington &amp; Sutcliffe (Europe) LLP</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330"/>
    </w:lvl>
  </w:abstractNum>
  <w:abstractNum w:abstractNumId="1">
    <w:nsid w:val="5E884ADC"/>
    <w:multiLevelType w:val="hybridMultilevel"/>
    <w:lvl w:ilvl="0">
      <w:lvlJc w:val="left"/>
      <w:lvlText w:val="%1."/>
      <w:numFmt w:val="decimal"/>
      <w:start w:val="1"/>
    </w:lvl>
    <w:lvl w:ilvl="1">
      <w:lvlJc w:val="left"/>
      <w:lvlText w:val="(%2)"/>
      <w:numFmt w:val="lowerLetter"/>
      <w:start w:val="1"/>
    </w:lvl>
  </w:abstractNum>
  <w:abstractNum w:abstractNumId="2">
    <w:nsid w:val="51EAD36B"/>
    <w:multiLevelType w:val="hybridMultilevel"/>
    <w:lvl w:ilvl="0">
      <w:lvlJc w:val="left"/>
      <w:lvlText w:val="(%1)"/>
      <w:numFmt w:val="lowerLetter"/>
      <w:start w:val="2"/>
    </w:lvl>
  </w:abstractNum>
  <w:abstractNum w:abstractNumId="3">
    <w:nsid w:val="2D517796"/>
    <w:multiLevelType w:val="hybridMultilevel"/>
    <w:lvl w:ilvl="0">
      <w:lvlJc w:val="left"/>
      <w:lvlText w:val="(%1)"/>
      <w:numFmt w:val="lowerLetter"/>
      <w:start w:val="4"/>
    </w:lvl>
  </w:abstractNum>
  <w:abstractNum w:abstractNumId="4">
    <w:nsid w:val="580BD78F"/>
    <w:multiLevelType w:val="hybridMultilevel"/>
    <w:lvl w:ilvl="0">
      <w:lvlJc w:val="left"/>
      <w:lvlText w:val="(%1)"/>
      <w:numFmt w:val="lowerLetter"/>
      <w:start w:val="5"/>
    </w:lvl>
  </w:abstractNum>
  <w:abstractNum w:abstractNumId="5">
    <w:nsid w:val="153EA438"/>
    <w:multiLevelType w:val="hybridMultilevel"/>
    <w:lvl w:ilvl="0">
      <w:lvlJc w:val="left"/>
      <w:lvlText w:val="(%1)"/>
      <w:numFmt w:val="lowerRoman"/>
      <w:start w:val="1"/>
    </w:lvl>
  </w:abstractNum>
  <w:abstractNum w:abstractNumId="6">
    <w:nsid w:val="3855585C"/>
    <w:multiLevelType w:val="hybridMultilevel"/>
    <w:lvl w:ilvl="0">
      <w:lvlJc w:val="left"/>
      <w:lvlText w:val="(%1)"/>
      <w:numFmt w:val="lowerLetter"/>
      <w:start w:val="10"/>
    </w:lvl>
  </w:abstractNum>
  <w:abstractNum w:abstractNumId="7">
    <w:nsid w:val="70A64E2A"/>
    <w:multiLevelType w:val="hybridMultilevel"/>
    <w:lvl w:ilvl="0">
      <w:lvlJc w:val="left"/>
      <w:lvlText w:val="(%1)"/>
      <w:numFmt w:val="lowerLetter"/>
      <w:start w:val="13"/>
    </w:lvl>
  </w:abstractNum>
  <w:abstractNum w:abstractNumId="8">
    <w:nsid w:val="6A2342EC"/>
    <w:multiLevelType w:val="hybridMultilevel"/>
    <w:lvl w:ilvl="0">
      <w:lvlJc w:val="left"/>
      <w:lvlText w:val="%1"/>
      <w:numFmt w:val="lowerLetter"/>
      <w:start w:val="1"/>
    </w:lvl>
    <w:lvl w:ilvl="1">
      <w:lvlJc w:val="left"/>
      <w:lvlText w:val="(%2)"/>
      <w:numFmt w:val="lowerLetter"/>
      <w:start w:val="17"/>
    </w:lvl>
  </w:abstractNum>
  <w:abstractNum w:abstractNumId="9">
    <w:nsid w:val="2A487CB0"/>
    <w:multiLevelType w:val="hybridMultilevel"/>
    <w:lvl w:ilvl="0">
      <w:lvlJc w:val="left"/>
      <w:lvlText w:val="(%1)"/>
      <w:numFmt w:val="lowerLetter"/>
      <w:start w:val="9"/>
    </w:lvl>
    <w:lvl w:ilvl="1">
      <w:lvlJc w:val="left"/>
      <w:lvlText w:val="(%2)"/>
      <w:numFmt w:val="lowerLetter"/>
      <w:start w:val="18"/>
    </w:lvl>
  </w:abstractNum>
  <w:abstractNum w:abstractNumId="10">
    <w:nsid w:val="1D4ED43B"/>
    <w:multiLevelType w:val="hybridMultilevel"/>
    <w:lvl w:ilvl="0">
      <w:lvlJc w:val="left"/>
      <w:lvlText w:val="(%1)"/>
      <w:numFmt w:val="lowerLetter"/>
      <w:start w:val="20"/>
    </w:lvl>
  </w:abstractNum>
  <w:abstractNum w:abstractNumId="11">
    <w:nsid w:val="725A06FB"/>
    <w:multiLevelType w:val="hybridMultilevel"/>
    <w:lvl w:ilvl="0">
      <w:lvlJc w:val="left"/>
      <w:lvlText w:val="(%1)"/>
      <w:numFmt w:val="lowerLetter"/>
      <w:start w:val="25"/>
    </w:lvl>
  </w:abstractNum>
  <w:abstractNum w:abstractNumId="12">
    <w:nsid w:val="2CD89A32"/>
    <w:multiLevelType w:val="hybridMultilevel"/>
    <w:lvl w:ilvl="0">
      <w:lvlJc w:val="left"/>
      <w:lvlText w:val="(%1)"/>
      <w:numFmt w:val="lowerLetter"/>
      <w:start w:val="27"/>
    </w:lvl>
  </w:abstractNum>
  <w:abstractNum w:abstractNumId="13">
    <w:nsid w:val="57E4CCAF"/>
    <w:multiLevelType w:val="hybridMultilevel"/>
    <w:lvl w:ilvl="0">
      <w:lvlJc w:val="left"/>
      <w:lvlText w:val="(%1)"/>
      <w:numFmt w:val="lowerLetter"/>
      <w:start w:val="30"/>
    </w:lvl>
  </w:abstractNum>
  <w:abstractNum w:abstractNumId="14">
    <w:nsid w:val="7A6D8D3C"/>
    <w:multiLevelType w:val="hybridMultilevel"/>
    <w:lvl w:ilvl="0">
      <w:lvlJc w:val="left"/>
      <w:lvlText w:val="(%1)"/>
      <w:numFmt w:val="lowerLetter"/>
      <w:start w:val="33"/>
    </w:lvl>
    <w:lvl w:ilvl="1">
      <w:lvlJc w:val="left"/>
      <w:lvlText w:val="(%2)"/>
      <w:numFmt w:val="lowerRoman"/>
      <w:start w:val="1"/>
    </w:lvl>
    <w:lvl w:ilvl="2">
      <w:lvlJc w:val="left"/>
      <w:lvlText w:val="(%3)"/>
      <w:numFmt w:val="upperLetter"/>
      <w:start w:val="1"/>
    </w:lvl>
  </w:abstractNum>
  <w:abstractNum w:abstractNumId="15">
    <w:nsid w:val="4B588F54"/>
    <w:multiLevelType w:val="hybridMultilevel"/>
    <w:lvl w:ilvl="0">
      <w:lvlJc w:val="left"/>
      <w:lvlText w:val="%1"/>
      <w:numFmt w:val="lowerLetter"/>
      <w:start w:val="1"/>
    </w:lvl>
    <w:lvl w:ilvl="1">
      <w:lvlJc w:val="left"/>
      <w:lvlText w:val="(%2)"/>
      <w:numFmt w:val="lowerRoman"/>
      <w:start w:val="4"/>
    </w:lvl>
  </w:abstractNum>
  <w:abstractNum w:abstractNumId="16">
    <w:nsid w:val="542289EC"/>
    <w:multiLevelType w:val="hybridMultilevel"/>
    <w:lvl w:ilvl="0">
      <w:lvlJc w:val="left"/>
      <w:lvlText w:val="(%1)"/>
      <w:numFmt w:val="lowerLetter"/>
      <w:start w:val="34"/>
    </w:lvl>
    <w:lvl w:ilvl="1">
      <w:lvlJc w:val="left"/>
      <w:lvlText w:val="%2"/>
      <w:numFmt w:val="lowerRoman"/>
      <w:start w:val="1"/>
    </w:lvl>
  </w:abstractNum>
  <w:abstractNum w:abstractNumId="17">
    <w:nsid w:val="6DE91B18"/>
    <w:multiLevelType w:val="hybridMultilevel"/>
    <w:lvl w:ilvl="0">
      <w:lvlJc w:val="left"/>
      <w:lvlText w:val="%1"/>
      <w:numFmt w:val="lowerRoman"/>
      <w:start w:val="1"/>
    </w:lvl>
    <w:lvl w:ilvl="1">
      <w:lvlJc w:val="left"/>
      <w:lvlText w:val="(%2)"/>
      <w:numFmt w:val="lowerLetter"/>
      <w:start w:val="36"/>
    </w:lvl>
  </w:abstractNum>
  <w:abstractNum w:abstractNumId="18">
    <w:nsid w:val="38437FDB"/>
    <w:multiLevelType w:val="hybridMultilevel"/>
    <w:lvl w:ilvl="0">
      <w:lvlJc w:val="left"/>
      <w:lvlText w:val="(%1)"/>
      <w:numFmt w:val="lowerRoman"/>
      <w:start w:val="8"/>
    </w:lvl>
    <w:lvl w:ilvl="1">
      <w:lvlJc w:val="left"/>
      <w:lvlText w:val="%2"/>
      <w:numFmt w:val="lowerLetter"/>
      <w:start w:val="1"/>
    </w:lvl>
  </w:abstractNum>
  <w:abstractNum w:abstractNumId="19">
    <w:nsid w:val="7644A45C"/>
    <w:multiLevelType w:val="hybridMultilevel"/>
    <w:lvl w:ilvl="0">
      <w:lvlJc w:val="left"/>
      <w:lvlText w:val="%1"/>
      <w:numFmt w:val="decimal"/>
      <w:start w:val="1"/>
    </w:lvl>
    <w:lvl w:ilvl="1">
      <w:lvlJc w:val="left"/>
      <w:lvlText w:val="(%2)"/>
      <w:numFmt w:val="lowerLetter"/>
      <w:start w:val="37"/>
    </w:lvl>
  </w:abstractNum>
  <w:abstractNum w:abstractNumId="20">
    <w:nsid w:val="32FFF902"/>
    <w:multiLevelType w:val="hybridMultilevel"/>
    <w:lvl w:ilvl="0">
      <w:lvlJc w:val="left"/>
      <w:lvlText w:val="(%1)"/>
      <w:numFmt w:val="decimal"/>
      <w:start w:val="3"/>
    </w:lvl>
    <w:lvl w:ilvl="1">
      <w:lvlJc w:val="left"/>
      <w:lvlText w:val="%2"/>
      <w:numFmt w:val="lowerLetter"/>
      <w:start w:val="1"/>
    </w:lvl>
  </w:abstractNum>
  <w:abstractNum w:abstractNumId="21">
    <w:nsid w:val="684A481A"/>
    <w:multiLevelType w:val="hybridMultilevel"/>
    <w:lvl w:ilvl="0">
      <w:lvlJc w:val="left"/>
      <w:lvlText w:val="(%1)"/>
      <w:numFmt w:val="lowerLetter"/>
      <w:start w:val="39"/>
    </w:lvl>
  </w:abstractNum>
  <w:abstractNum w:abstractNumId="22">
    <w:nsid w:val="579478FE"/>
    <w:multiLevelType w:val="hybridMultilevel"/>
    <w:lvl w:ilvl="0">
      <w:lvlJc w:val="left"/>
      <w:lvlText w:val="%1"/>
      <w:numFmt w:val="lowerLetter"/>
      <w:start w:val="1"/>
    </w:lvl>
    <w:lvl w:ilvl="1">
      <w:lvlJc w:val="left"/>
      <w:lvlText w:val="(%2)"/>
      <w:numFmt w:val="lowerLetter"/>
      <w:start w:val="40"/>
    </w:lvl>
  </w:abstractNum>
  <w:abstractNum w:abstractNumId="23">
    <w:nsid w:val="749ABB43"/>
    <w:multiLevelType w:val="hybridMultilevel"/>
    <w:lvl w:ilvl="0">
      <w:lvlJc w:val="left"/>
      <w:lvlText w:val="(%1)"/>
      <w:numFmt w:val="lowerLetter"/>
      <w:start w:val="22"/>
    </w:lvl>
    <w:lvl w:ilvl="1">
      <w:lvlJc w:val="left"/>
      <w:lvlText w:val="(%2)"/>
      <w:numFmt w:val="lowerLetter"/>
      <w:start w:val="41"/>
    </w:lvl>
  </w:abstractNum>
  <w:abstractNum w:abstractNumId="24">
    <w:nsid w:val="3DC240FB"/>
    <w:multiLevelType w:val="hybridMultilevel"/>
    <w:lvl w:ilvl="0">
      <w:lvlJc w:val="left"/>
      <w:lvlText w:val="(%1)"/>
      <w:numFmt w:val="lowerLetter"/>
      <w:start w:val="42"/>
    </w:lvl>
  </w:abstractNum>
  <w:abstractNum w:abstractNumId="25">
    <w:nsid w:val="1BA026FA"/>
    <w:multiLevelType w:val="hybridMultilevel"/>
    <w:lvl w:ilvl="0">
      <w:lvlJc w:val="left"/>
      <w:lvlText w:val="(%1)"/>
      <w:numFmt w:val="lowerLetter"/>
      <w:start w:val="43"/>
    </w:lvl>
  </w:abstractNum>
  <w:abstractNum w:abstractNumId="26">
    <w:nsid w:val="79A1DEAA"/>
    <w:multiLevelType w:val="hybridMultilevel"/>
    <w:lvl w:ilvl="0">
      <w:lvlJc w:val="left"/>
      <w:lvlText w:val="(%1)"/>
      <w:numFmt w:val="lowerLetter"/>
      <w:start w:val="46"/>
    </w:lvl>
  </w:abstractNum>
  <w:abstractNum w:abstractNumId="27">
    <w:nsid w:val="75C6C33A"/>
    <w:multiLevelType w:val="hybridMultilevel"/>
    <w:lvl w:ilvl="0">
      <w:lvlJc w:val="left"/>
      <w:lvlText w:val="%1"/>
      <w:numFmt w:val="lowerLetter"/>
      <w:start w:val="1"/>
    </w:lvl>
    <w:lvl w:ilvl="1">
      <w:lvlJc w:val="left"/>
      <w:lvlText w:val="(%2)"/>
      <w:numFmt w:val="lowerLetter"/>
      <w:start w:val="47"/>
    </w:lvl>
  </w:abstractNum>
  <w:abstractNum w:abstractNumId="28">
    <w:nsid w:val="12E685FB"/>
    <w:multiLevelType w:val="hybridMultilevel"/>
    <w:lvl w:ilvl="0">
      <w:lvlJc w:val="left"/>
      <w:lvlText w:val="(%1)"/>
      <w:numFmt w:val="lowerLetter"/>
      <w:start w:val="35"/>
    </w:lvl>
    <w:lvl w:ilvl="1">
      <w:lvlJc w:val="left"/>
      <w:lvlText w:val="%2"/>
      <w:numFmt w:val="lowerLetter"/>
      <w:start w:val="1"/>
    </w:lvl>
  </w:abstractNum>
  <w:abstractNum w:abstractNumId="29">
    <w:nsid w:val="70C6A529"/>
    <w:multiLevelType w:val="hybridMultilevel"/>
    <w:lvl w:ilvl="0">
      <w:lvlJc w:val="left"/>
      <w:lvlText w:val="(%1)"/>
      <w:numFmt w:val="lowerLetter"/>
      <w:start w:val="50"/>
    </w:lvl>
  </w:abstractNum>
  <w:abstractNum w:abstractNumId="30">
    <w:nsid w:val="520EEDD1"/>
    <w:multiLevelType w:val="hybridMultilevel"/>
    <w:lvl w:ilvl="0">
      <w:lvlJc w:val="left"/>
      <w:lvlText w:val="(%1)"/>
      <w:numFmt w:val="lowerLetter"/>
      <w:start w:val="53"/>
    </w:lvl>
  </w:abstractNum>
  <w:abstractNum w:abstractNumId="31">
    <w:nsid w:val="374A3FE6"/>
    <w:multiLevelType w:val="hybridMultilevel"/>
    <w:lvl w:ilvl="0">
      <w:lvlJc w:val="left"/>
      <w:lvlText w:val="(%1)"/>
      <w:numFmt w:val="lowerLetter"/>
      <w:start w:val="54"/>
    </w:lvl>
  </w:abstractNum>
  <w:abstractNum w:abstractNumId="32">
    <w:nsid w:val="4F4EF005"/>
    <w:multiLevelType w:val="hybridMultilevel"/>
    <w:lvl w:ilvl="0">
      <w:lvlJc w:val="left"/>
      <w:lvlText w:val="(%1)"/>
      <w:numFmt w:val="lowerLetter"/>
      <w:start w:val="57"/>
    </w:lvl>
  </w:abstractNum>
  <w:abstractNum w:abstractNumId="33">
    <w:nsid w:val="23F9C13C"/>
    <w:multiLevelType w:val="hybridMultilevel"/>
    <w:lvl w:ilvl="0">
      <w:lvlJc w:val="left"/>
      <w:lvlText w:val="(%1)"/>
      <w:numFmt w:val="lowerLetter"/>
      <w:start w:val="60"/>
    </w:lvl>
    <w:lvl w:ilvl="1">
      <w:lvlJc w:val="left"/>
      <w:lvlText w:val="(%2)"/>
      <w:numFmt w:val="lowerRoman"/>
      <w:start w:val="1"/>
    </w:lvl>
  </w:abstractNum>
  <w:abstractNum w:abstractNumId="34">
    <w:nsid w:val="649BB77C"/>
    <w:multiLevelType w:val="hybridMultilevel"/>
    <w:lvl w:ilvl="0">
      <w:lvlJc w:val="left"/>
      <w:lvlText w:val="%1"/>
      <w:numFmt w:val="decimal"/>
      <w:start w:val="1"/>
    </w:lvl>
    <w:lvl w:ilvl="1">
      <w:lvlJc w:val="left"/>
      <w:lvlText w:val="(%2)"/>
      <w:numFmt w:val="lowerLetter"/>
      <w:start w:val="62"/>
    </w:lvl>
  </w:abstractNum>
  <w:abstractNum w:abstractNumId="35">
    <w:nsid w:val="275AC794"/>
    <w:multiLevelType w:val="hybridMultilevel"/>
    <w:lvl w:ilvl="0">
      <w:lvlJc w:val="left"/>
      <w:lvlText w:val="%1."/>
      <w:numFmt w:val="decimal"/>
      <w:start w:val="2"/>
    </w:lvl>
    <w:lvl w:ilvl="1">
      <w:lvlJc w:val="left"/>
      <w:lvlText w:val="%2"/>
      <w:numFmt w:val="lowerLetter"/>
      <w:start w:val="1"/>
    </w:lvl>
  </w:abstractNum>
  <w:abstractNum w:abstractNumId="36">
    <w:nsid w:val="39386575"/>
    <w:multiLevelType w:val="hybridMultilevel"/>
    <w:lvl w:ilvl="0">
      <w:lvlJc w:val="left"/>
      <w:lvlText w:val="%1."/>
      <w:numFmt w:val="decimal"/>
      <w:start w:val="3"/>
    </w:lvl>
  </w:abstractNum>
  <w:abstractNum w:abstractNumId="37">
    <w:nsid w:val="1CF10FD8"/>
    <w:multiLevelType w:val="hybridMultilevel"/>
    <w:lvl w:ilvl="0">
      <w:lvlJc w:val="left"/>
      <w:lvlText w:val="%1."/>
      <w:numFmt w:val="decimal"/>
      <w:start w:val="5"/>
    </w:lvl>
  </w:abstractNum>
  <w:abstractNum w:abstractNumId="38">
    <w:nsid w:val="180115BE"/>
    <w:multiLevelType w:val="hybridMultilevel"/>
    <w:lvl w:ilvl="0">
      <w:lvlJc w:val="left"/>
      <w:lvlText w:val="(%1)"/>
      <w:numFmt w:val="lowerLetter"/>
      <w:start w:val="1"/>
    </w:lvl>
    <w:lvl w:ilvl="1">
      <w:lvlJc w:val="left"/>
      <w:lvlText w:val="(%2)"/>
      <w:numFmt w:val="lowerRoman"/>
      <w:start w:val="1"/>
    </w:lvl>
  </w:abstractNum>
  <w:abstractNum w:abstractNumId="39">
    <w:nsid w:val="235BA861"/>
    <w:multiLevelType w:val="hybridMultilevel"/>
    <w:lvl w:ilvl="0">
      <w:lvlJc w:val="left"/>
      <w:lvlText w:val="(%1)"/>
      <w:numFmt w:val="lowerLetter"/>
      <w:start w:val="6"/>
    </w:lvl>
  </w:abstractNum>
  <w:abstractNum w:abstractNumId="40">
    <w:nsid w:val="47398C89"/>
    <w:multiLevelType w:val="hybridMultilevel"/>
    <w:lvl w:ilvl="0">
      <w:lvlJc w:val="left"/>
      <w:lvlText w:val="(%1)"/>
      <w:numFmt w:val="lowerLetter"/>
      <w:start w:val="16"/>
    </w:lvl>
    <w:lvl w:ilvl="1">
      <w:lvlJc w:val="left"/>
      <w:lvlText w:val="(%2)"/>
      <w:numFmt w:val="lowerRoman"/>
      <w:start w:val="1"/>
    </w:lvl>
  </w:abstractNum>
  <w:abstractNum w:abstractNumId="41">
    <w:nsid w:val="354FE9F9"/>
    <w:multiLevelType w:val="hybridMultilevel"/>
    <w:lvl w:ilvl="0">
      <w:lvlJc w:val="left"/>
      <w:lvlText w:val="(%1)"/>
      <w:numFmt w:val="lowerRoman"/>
      <w:start w:val="3"/>
    </w:lvl>
  </w:abstractNum>
  <w:abstractNum w:abstractNumId="42">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43">
    <w:nsid w:val="741226B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4">
    <w:nsid w:val="D34B6A8"/>
    <w:multiLevelType w:val="hybridMultilevel"/>
    <w:lvl w:ilvl="0">
      <w:lvlJc w:val="left"/>
      <w:lvlText w:val="(%1)"/>
      <w:numFmt w:val="lowerLetter"/>
      <w:start w:val="3"/>
    </w:lvl>
  </w:abstractNum>
  <w:abstractNum w:abstractNumId="45">
    <w:nsid w:val="10233C99"/>
    <w:multiLevelType w:val="hybridMultilevel"/>
    <w:lvl w:ilvl="0">
      <w:lvlJc w:val="left"/>
      <w:lvlText w:val="(%1)"/>
      <w:numFmt w:val="lowerLetter"/>
      <w:start w:val="7"/>
    </w:lvl>
  </w:abstractNum>
  <w:abstractNum w:abstractNumId="46">
    <w:nsid w:val="3F6AB60F"/>
    <w:multiLevelType w:val="hybridMultilevel"/>
    <w:lvl w:ilvl="0">
      <w:lvlJc w:val="left"/>
      <w:lvlText w:val="%1"/>
      <w:numFmt w:val="lowerLetter"/>
      <w:start w:val="1"/>
    </w:lvl>
    <w:lvl w:ilvl="1">
      <w:lvlJc w:val="left"/>
      <w:lvlText w:val="(%2)"/>
      <w:numFmt w:val="lowerLetter"/>
      <w:start w:val="11"/>
    </w:lvl>
  </w:abstractNum>
  <w:abstractNum w:abstractNumId="47">
    <w:nsid w:val="61574095"/>
    <w:multiLevelType w:val="hybridMultilevel"/>
    <w:lvl w:ilvl="0">
      <w:lvlJc w:val="left"/>
      <w:lvlText w:val="(%1)"/>
      <w:numFmt w:val="lowerLetter"/>
      <w:start w:val="9"/>
    </w:lvl>
    <w:lvl w:ilvl="1">
      <w:lvlJc w:val="left"/>
      <w:lvlText w:val="(%2)"/>
      <w:numFmt w:val="lowerLetter"/>
      <w:start w:val="12"/>
    </w:lvl>
  </w:abstractNum>
  <w:abstractNum w:abstractNumId="48">
    <w:nsid w:val="7E0C57B1"/>
    <w:multiLevelType w:val="hybridMultilevel"/>
    <w:lvl w:ilvl="0">
      <w:lvlJc w:val="left"/>
      <w:lvlText w:val="(%1)"/>
      <w:numFmt w:val="lowerLetter"/>
      <w:start w:val="13"/>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upperLetter"/>
      <w:start w:val="5"/>
    </w:lvl>
  </w:abstractNum>
  <w:abstractNum w:abstractNumId="51">
    <w:nsid w:val="310C50B3"/>
    <w:multiLevelType w:val="hybridMultilevel"/>
    <w:lvl w:ilvl="0">
      <w:lvlJc w:val="left"/>
      <w:lvlText w:val="%1."/>
      <w:numFmt w:val="decimal"/>
      <w:start w:val="7"/>
    </w:lvl>
  </w:abstractNum>
  <w:abstractNum w:abstractNumId="52">
    <w:nsid w:val="5FF87E05"/>
    <w:multiLevelType w:val="hybridMultilevel"/>
    <w:lvl w:ilvl="0">
      <w:lvlJc w:val="left"/>
      <w:lvlText w:val="%1"/>
      <w:numFmt w:val="lowerLetter"/>
      <w:start w:val="1"/>
    </w:lvl>
    <w:lvl w:ilvl="1">
      <w:lvlJc w:val="left"/>
      <w:lvlText w:val="(%2)"/>
      <w:numFmt w:val="lowerLetter"/>
      <w:start w:val="2"/>
    </w:lvl>
  </w:abstractNum>
  <w:abstractNum w:abstractNumId="53">
    <w:nsid w:val="2F305DEF"/>
    <w:multiLevelType w:val="hybridMultilevel"/>
    <w:lvl w:ilvl="0">
      <w:lvlJc w:val="left"/>
      <w:lvlText w:val="(%1)"/>
      <w:numFmt w:val="lowerLetter"/>
      <w:start w:val="35"/>
    </w:lvl>
    <w:lvl w:ilvl="1">
      <w:lvlJc w:val="left"/>
      <w:lvlText w:val="%2"/>
      <w:numFmt w:val="lowerLetter"/>
      <w:start w:val="1"/>
    </w:lvl>
  </w:abstractNum>
  <w:abstractNum w:abstractNumId="54">
    <w:nsid w:val="25A70BF7"/>
    <w:multiLevelType w:val="hybridMultilevel"/>
    <w:lvl w:ilvl="0">
      <w:lvlJc w:val="left"/>
      <w:lvlText w:val="(%1)"/>
      <w:numFmt w:val="lowerLetter"/>
      <w:start w:val="4"/>
    </w:lvl>
  </w:abstractNum>
  <w:abstractNum w:abstractNumId="55">
    <w:nsid w:val="1DBABF00"/>
    <w:multiLevelType w:val="hybridMultilevel"/>
    <w:lvl w:ilvl="0">
      <w:lvlJc w:val="left"/>
      <w:lvlText w:val="%1"/>
      <w:numFmt w:val="lowerLetter"/>
      <w:start w:val="1"/>
    </w:lvl>
    <w:lvl w:ilvl="1">
      <w:lvlJc w:val="left"/>
      <w:lvlText w:val="(%2)"/>
      <w:numFmt w:val="lowerLetter"/>
      <w:start w:val="5"/>
    </w:lvl>
  </w:abstractNum>
  <w:abstractNum w:abstractNumId="56">
    <w:nsid w:val="4AD084E9"/>
    <w:multiLevelType w:val="hybridMultilevel"/>
    <w:lvl w:ilvl="0">
      <w:lvlJc w:val="left"/>
      <w:lvlText w:val="(%1)"/>
      <w:numFmt w:val="lowerLetter"/>
      <w:start w:val="35"/>
    </w:lvl>
    <w:lvl w:ilvl="1">
      <w:lvlJc w:val="left"/>
      <w:lvlText w:val="%2"/>
      <w:numFmt w:val="lowerLetter"/>
      <w:start w:val="1"/>
    </w:lvl>
  </w:abstractNum>
  <w:abstractNum w:abstractNumId="57">
    <w:nsid w:val="1F48EAA1"/>
    <w:multiLevelType w:val="hybridMultilevel"/>
    <w:lvl w:ilvl="0">
      <w:lvlJc w:val="left"/>
      <w:lvlText w:val="%1."/>
      <w:numFmt w:val="decimal"/>
      <w:start w:val="9"/>
    </w:lvl>
  </w:abstractNum>
  <w:abstractNum w:abstractNumId="58">
    <w:nsid w:val="1381823A"/>
    <w:multiLevelType w:val="hybridMultilevel"/>
    <w:lvl w:ilvl="0">
      <w:lvlJc w:val="left"/>
      <w:lvlText w:val="%1."/>
      <w:numFmt w:val="decimal"/>
      <w:start w:val="11"/>
    </w:lvl>
    <w:lvl w:ilvl="1">
      <w:lvlJc w:val="left"/>
      <w:lvlText w:val="(%2)"/>
      <w:numFmt w:val="lowerLetter"/>
      <w:start w:val="2"/>
    </w:lvl>
  </w:abstractNum>
  <w:abstractNum w:abstractNumId="59">
    <w:nsid w:val="5DB70AE5"/>
    <w:multiLevelType w:val="hybridMultilevel"/>
    <w:lvl w:ilvl="0">
      <w:lvlJc w:val="left"/>
      <w:lvlText w:val="%1."/>
      <w:numFmt w:val="decimal"/>
      <w:start w:val="14"/>
    </w:lvl>
    <w:lvl w:ilvl="1">
      <w:lvlJc w:val="left"/>
      <w:lvlText w:val="(%2)"/>
      <w:numFmt w:val="lowerLetter"/>
      <w:start w:val="2"/>
    </w:lvl>
  </w:abstractNum>
  <w:abstractNum w:abstractNumId="60">
    <w:nsid w:val="100F8FCA"/>
    <w:multiLevelType w:val="hybridMultilevel"/>
    <w:lvl w:ilvl="0">
      <w:lvlJc w:val="left"/>
      <w:lvlText w:val="%1."/>
      <w:numFmt w:val="decimal"/>
      <w:start w:val="16"/>
    </w:lvl>
  </w:abstractNum>
  <w:abstractNum w:abstractNumId="61">
    <w:nsid w:val="6590700B"/>
    <w:multiLevelType w:val="hybridMultilevel"/>
    <w:lvl w:ilvl="0">
      <w:lvlJc w:val="left"/>
      <w:lvlText w:val="%1."/>
      <w:numFmt w:val="decimal"/>
      <w:start w:val="20"/>
    </w:lvl>
  </w:abstractNum>
  <w:abstractNum w:abstractNumId="62">
    <w:nsid w:val="15014ACB"/>
    <w:multiLevelType w:val="hybridMultilevel"/>
    <w:lvl w:ilvl="0">
      <w:lvlJc w:val="left"/>
      <w:lvlText w:val=" "/>
      <w:numFmt w:val="bullet"/>
      <w:start w:val="1"/>
    </w:lvl>
  </w:abstractNum>
  <w:abstractNum w:abstractNumId="63">
    <w:nsid w:val="5F5E7FD0"/>
    <w:multiLevelType w:val="hybridMultilevel"/>
    <w:lvl w:ilvl="0">
      <w:lvlJc w:val="left"/>
      <w:lvlText w:val="%1."/>
      <w:numFmt w:val="decimal"/>
      <w:start w:val="1"/>
    </w:lvl>
    <w:lvl w:ilvl="1">
      <w:lvlJc w:val="left"/>
      <w:lvlText w:val="%2)"/>
      <w:numFmt w:val="lowerLetter"/>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3"/>
    </w:lvl>
  </w:abstractNum>
  <w:abstractNum w:abstractNumId="67">
    <w:nsid w:val="42C296BD"/>
    <w:multiLevelType w:val="hybridMultilevel"/>
    <w:lvl w:ilvl="0">
      <w:lvlJc w:val="left"/>
      <w:lvlText w:val="(%1)"/>
      <w:numFmt w:val="lowerLetter"/>
      <w:start w:val="6"/>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Letter"/>
      <w:start w:val="10"/>
    </w:lvl>
  </w:abstractNum>
  <w:abstractNum w:abstractNumId="71">
    <w:nsid w:val="5DC79EA8"/>
    <w:multiLevelType w:val="hybridMultilevel"/>
    <w:lvl w:ilvl="0">
      <w:lvlJc w:val="left"/>
      <w:lvlText w:val="(%1)"/>
      <w:numFmt w:val="lowerRoman"/>
      <w:start w:val="1"/>
    </w:lvl>
  </w:abstractNum>
  <w:abstractNum w:abstractNumId="72">
    <w:nsid w:val="540A471C"/>
    <w:multiLevelType w:val="hybridMultilevel"/>
    <w:lvl w:ilvl="0">
      <w:lvlJc w:val="left"/>
      <w:lvlText w:val="(%1)"/>
      <w:numFmt w:val="lowerRoman"/>
      <w:start w:val="8"/>
    </w:lvl>
  </w:abstractNum>
  <w:abstractNum w:abstractNumId="73">
    <w:nsid w:val="7BD3EE7B"/>
    <w:multiLevelType w:val="hybridMultilevel"/>
    <w:lvl w:ilvl="0">
      <w:lvlJc w:val="left"/>
      <w:lvlText w:val="(%1)"/>
      <w:numFmt w:val="lowerRoman"/>
      <w:start w:val="19"/>
    </w:lvl>
  </w:abstractNum>
  <w:abstractNum w:abstractNumId="74">
    <w:nsid w:val="51D9C564"/>
    <w:multiLevelType w:val="hybridMultilevel"/>
    <w:lvl w:ilvl="0">
      <w:lvlJc w:val="left"/>
      <w:lvlText w:val="(%1)"/>
      <w:numFmt w:val="lowerRoman"/>
      <w:start w:val="1"/>
    </w:lvl>
  </w:abstractNum>
  <w:abstractNum w:abstractNumId="75">
    <w:nsid w:val="613EFDC5"/>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2026-07-02T15:22:40Z</dcterms:created>
  <dcterms:modified xsi:type="dcterms:W3CDTF">2026-07-02T15:22:40Z</dcterms:modified>
</cp:coreProperties>
</file>