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Abivax S.A.</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Ordinary Shares, nominal value Euro 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L.P.</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BERMUDA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4,790,187.00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Invus Public Equities, L.P. holds an aggregate of 4,249,759 Ordinary Shares, nominal value Euro 0.01 per share (the "Shares"), and 540,428 American Depositary Shares ("ADSs"), each of which ADS represents one Share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Public Equities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4,790,187.00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Invus Public Equities, L.P. holds an aggregate of 4,249,759 Ordinary Shares, nominal value Euro 0.01 per share (the "Shares"), and 540,428 American Depositary Shares ("ADSs"), each of which ADS represents one Share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Invus Global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4,790,187.00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Invus Public Equities, L.P. holds an aggregate of 4,249,759 Ordinary Shares, nominal value Euro 0.01 per share (the "Shares"), and 540,428 American Depositary Shares ("ADSs"), each of which ADS represents one Share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Siren,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4,790,187.00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4,790,187.00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Invus Public Equities, L.P. holds an aggregate of 4,249,759 Ordinary Shares, nominal value Euro 0.01 per share (the "Shares"), and 540,428 American Depositary Shares ("ADSs"), each of which ADS represents one Share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029"/>
        <w:gridCol w:w="8176"/>
      </w:tblGrid>
      <w:tr>
        <w:trPr/>
        <w:tc>
          <w:tcPr>
            <w:tcW w:w="2029" w:type="dxa"/>
            <w:tcBorders/>
            <w:vAlign w:val="center"/>
          </w:tcPr>
          <w:p>
            <w:pPr>
              <w:pStyle w:val="TableContents"/>
              <w:bidi w:val="0"/>
              <w:spacing w:before="0" w:after="283"/>
              <w:jc w:val="left"/>
              <w:rPr/>
            </w:pPr>
            <w:r>
              <w:rPr/>
              <w:t>1</w:t>
            </w:r>
          </w:p>
        </w:tc>
        <w:tc>
          <w:tcPr>
            <w:tcW w:w="817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Fund LP</w:t>
            </w:r>
          </w:p>
        </w:tc>
      </w:tr>
      <w:tr>
        <w:trPr/>
        <w:tc>
          <w:tcPr>
            <w:tcW w:w="2029" w:type="dxa"/>
            <w:tcBorders/>
            <w:vAlign w:val="center"/>
          </w:tcPr>
          <w:p>
            <w:pPr>
              <w:pStyle w:val="TableContents"/>
              <w:bidi w:val="0"/>
              <w:spacing w:before="0" w:after="283"/>
              <w:jc w:val="left"/>
              <w:rPr/>
            </w:pPr>
            <w:r>
              <w:rPr/>
              <w:t>2</w:t>
            </w:r>
          </w:p>
        </w:tc>
        <w:tc>
          <w:tcPr>
            <w:tcW w:w="81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029" w:type="dxa"/>
            <w:tcBorders/>
            <w:vAlign w:val="center"/>
          </w:tcPr>
          <w:p>
            <w:pPr>
              <w:pStyle w:val="TableContents"/>
              <w:bidi w:val="0"/>
              <w:spacing w:before="0" w:after="283"/>
              <w:jc w:val="left"/>
              <w:rPr/>
            </w:pPr>
            <w:r>
              <w:rPr/>
              <w:t>3</w:t>
            </w:r>
          </w:p>
        </w:tc>
        <w:tc>
          <w:tcPr>
            <w:tcW w:w="8176" w:type="dxa"/>
            <w:tcBorders/>
            <w:vAlign w:val="center"/>
          </w:tcPr>
          <w:p>
            <w:pPr>
              <w:pStyle w:val="TableContents"/>
              <w:bidi w:val="0"/>
              <w:spacing w:before="0" w:after="283"/>
              <w:jc w:val="left"/>
              <w:rPr/>
            </w:pPr>
            <w:r>
              <w:rPr/>
              <w:t>Sec Use Only</w:t>
            </w:r>
          </w:p>
        </w:tc>
      </w:tr>
      <w:tr>
        <w:trPr/>
        <w:tc>
          <w:tcPr>
            <w:tcW w:w="2029" w:type="dxa"/>
            <w:tcBorders/>
            <w:vAlign w:val="center"/>
          </w:tcPr>
          <w:p>
            <w:pPr>
              <w:pStyle w:val="TableContents"/>
              <w:bidi w:val="0"/>
              <w:spacing w:before="0" w:after="283"/>
              <w:jc w:val="left"/>
              <w:rPr/>
            </w:pPr>
            <w:r>
              <w:rPr/>
              <w:t>4</w:t>
            </w:r>
          </w:p>
        </w:tc>
        <w:tc>
          <w:tcPr>
            <w:tcW w:w="81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CAYMAN ISLANDS </w:t>
            </w:r>
          </w:p>
        </w:tc>
      </w:tr>
      <w:tr>
        <w:trPr/>
        <w:tc>
          <w:tcPr>
            <w:tcW w:w="202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6" w:type="dxa"/>
            <w:tcBorders/>
            <w:vAlign w:val="center"/>
          </w:tcPr>
          <w:p>
            <w:pPr>
              <w:pStyle w:val="TableContents"/>
              <w:bidi w:val="0"/>
              <w:spacing w:before="0" w:after="283"/>
              <w:jc w:val="left"/>
              <w:rPr>
                <w:sz w:val="4"/>
                <w:szCs w:val="4"/>
              </w:rPr>
            </w:pPr>
            <w:r>
              <w:rPr>
                <w:sz w:val="4"/>
                <w:szCs w:val="4"/>
              </w:rPr>
            </w:r>
          </w:p>
        </w:tc>
      </w:tr>
      <w:tr>
        <w:trPr/>
        <w:tc>
          <w:tcPr>
            <w:tcW w:w="2029" w:type="dxa"/>
            <w:tcBorders/>
            <w:vAlign w:val="center"/>
          </w:tcPr>
          <w:p>
            <w:pPr>
              <w:pStyle w:val="TableContents"/>
              <w:bidi w:val="0"/>
              <w:spacing w:before="0" w:after="283"/>
              <w:jc w:val="left"/>
              <w:rPr/>
            </w:pPr>
            <w:r>
              <w:rPr/>
              <w:t>9</w:t>
            </w:r>
          </w:p>
        </w:tc>
        <w:tc>
          <w:tcPr>
            <w:tcW w:w="81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35,572.00</w:t>
            </w:r>
          </w:p>
        </w:tc>
      </w:tr>
      <w:tr>
        <w:trPr/>
        <w:tc>
          <w:tcPr>
            <w:tcW w:w="2029" w:type="dxa"/>
            <w:tcBorders/>
            <w:vAlign w:val="center"/>
          </w:tcPr>
          <w:p>
            <w:pPr>
              <w:pStyle w:val="TableContents"/>
              <w:bidi w:val="0"/>
              <w:spacing w:before="0" w:after="283"/>
              <w:jc w:val="left"/>
              <w:rPr/>
            </w:pPr>
            <w:r>
              <w:rPr/>
              <w:t>10</w:t>
            </w:r>
          </w:p>
        </w:tc>
        <w:tc>
          <w:tcPr>
            <w:tcW w:w="817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029" w:type="dxa"/>
            <w:tcBorders/>
            <w:vAlign w:val="center"/>
          </w:tcPr>
          <w:p>
            <w:pPr>
              <w:pStyle w:val="TableContents"/>
              <w:bidi w:val="0"/>
              <w:spacing w:before="0" w:after="283"/>
              <w:jc w:val="left"/>
              <w:rPr/>
            </w:pPr>
            <w:r>
              <w:rPr/>
              <w:t>11</w:t>
            </w:r>
          </w:p>
        </w:tc>
        <w:tc>
          <w:tcPr>
            <w:tcW w:w="817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9" w:type="dxa"/>
            <w:tcBorders/>
            <w:vAlign w:val="center"/>
          </w:tcPr>
          <w:p>
            <w:pPr>
              <w:pStyle w:val="TableContents"/>
              <w:bidi w:val="0"/>
              <w:spacing w:before="0" w:after="283"/>
              <w:jc w:val="left"/>
              <w:rPr/>
            </w:pPr>
            <w:r>
              <w:rPr/>
              <w:t>12</w:t>
            </w:r>
          </w:p>
        </w:tc>
        <w:tc>
          <w:tcPr>
            <w:tcW w:w="81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Avicenna Life Sci Master Fund LP holds an aggregate of 35,572 American Depositary Shares ("ADSs"), each of which ADS represents one Ordinary Share, nominal value Euro 0.01 per share (the "Shares"),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Avicenna Life Sci Master GP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35,572.00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Avicenna Life Sci Master Fund LP holds an aggregate of 35,572 American Depositary Shares ("ADSs"), each of which ADS represents one Ordinary Share, nominal value Euro 0.01 per share (the "Shares"),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020"/>
        <w:gridCol w:w="8185"/>
      </w:tblGrid>
      <w:tr>
        <w:trPr/>
        <w:tc>
          <w:tcPr>
            <w:tcW w:w="2020" w:type="dxa"/>
            <w:tcBorders/>
            <w:vAlign w:val="center"/>
          </w:tcPr>
          <w:p>
            <w:pPr>
              <w:pStyle w:val="TableContents"/>
              <w:bidi w:val="0"/>
              <w:spacing w:before="0" w:after="283"/>
              <w:jc w:val="left"/>
              <w:rPr/>
            </w:pPr>
            <w:r>
              <w:rPr/>
              <w:t>1</w:t>
            </w:r>
          </w:p>
        </w:tc>
        <w:tc>
          <w:tcPr>
            <w:tcW w:w="8185"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Ulys, L.L.C.</w:t>
            </w:r>
          </w:p>
        </w:tc>
      </w:tr>
      <w:tr>
        <w:trPr/>
        <w:tc>
          <w:tcPr>
            <w:tcW w:w="2020" w:type="dxa"/>
            <w:tcBorders/>
            <w:vAlign w:val="center"/>
          </w:tcPr>
          <w:p>
            <w:pPr>
              <w:pStyle w:val="TableContents"/>
              <w:bidi w:val="0"/>
              <w:spacing w:before="0" w:after="283"/>
              <w:jc w:val="left"/>
              <w:rPr/>
            </w:pPr>
            <w:r>
              <w:rPr/>
              <w:t>2</w:t>
            </w:r>
          </w:p>
        </w:tc>
        <w:tc>
          <w:tcPr>
            <w:tcW w:w="818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020" w:type="dxa"/>
            <w:tcBorders/>
            <w:vAlign w:val="center"/>
          </w:tcPr>
          <w:p>
            <w:pPr>
              <w:pStyle w:val="TableContents"/>
              <w:bidi w:val="0"/>
              <w:spacing w:before="0" w:after="283"/>
              <w:jc w:val="left"/>
              <w:rPr/>
            </w:pPr>
            <w:r>
              <w:rPr/>
              <w:t>3</w:t>
            </w:r>
          </w:p>
        </w:tc>
        <w:tc>
          <w:tcPr>
            <w:tcW w:w="8185" w:type="dxa"/>
            <w:tcBorders/>
            <w:vAlign w:val="center"/>
          </w:tcPr>
          <w:p>
            <w:pPr>
              <w:pStyle w:val="TableContents"/>
              <w:bidi w:val="0"/>
              <w:spacing w:before="0" w:after="283"/>
              <w:jc w:val="left"/>
              <w:rPr/>
            </w:pPr>
            <w:r>
              <w:rPr/>
              <w:t>Sec Use Only</w:t>
            </w:r>
          </w:p>
        </w:tc>
      </w:tr>
      <w:tr>
        <w:trPr/>
        <w:tc>
          <w:tcPr>
            <w:tcW w:w="2020" w:type="dxa"/>
            <w:tcBorders/>
            <w:vAlign w:val="center"/>
          </w:tcPr>
          <w:p>
            <w:pPr>
              <w:pStyle w:val="TableContents"/>
              <w:bidi w:val="0"/>
              <w:spacing w:before="0" w:after="283"/>
              <w:jc w:val="left"/>
              <w:rPr/>
            </w:pPr>
            <w:r>
              <w:rPr/>
              <w:t>4</w:t>
            </w:r>
          </w:p>
        </w:tc>
        <w:tc>
          <w:tcPr>
            <w:tcW w:w="818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20"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35,572.00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85" w:type="dxa"/>
            <w:tcBorders/>
            <w:vAlign w:val="center"/>
          </w:tcPr>
          <w:p>
            <w:pPr>
              <w:pStyle w:val="TableContents"/>
              <w:bidi w:val="0"/>
              <w:spacing w:before="0" w:after="283"/>
              <w:jc w:val="left"/>
              <w:rPr>
                <w:sz w:val="4"/>
                <w:szCs w:val="4"/>
              </w:rPr>
            </w:pPr>
            <w:r>
              <w:rPr>
                <w:sz w:val="4"/>
                <w:szCs w:val="4"/>
              </w:rPr>
            </w:r>
          </w:p>
        </w:tc>
      </w:tr>
      <w:tr>
        <w:trPr/>
        <w:tc>
          <w:tcPr>
            <w:tcW w:w="2020" w:type="dxa"/>
            <w:tcBorders/>
            <w:vAlign w:val="center"/>
          </w:tcPr>
          <w:p>
            <w:pPr>
              <w:pStyle w:val="TableContents"/>
              <w:bidi w:val="0"/>
              <w:spacing w:before="0" w:after="283"/>
              <w:jc w:val="left"/>
              <w:rPr/>
            </w:pPr>
            <w:r>
              <w:rPr/>
              <w:t>9</w:t>
            </w:r>
          </w:p>
        </w:tc>
        <w:tc>
          <w:tcPr>
            <w:tcW w:w="818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35,572.00</w:t>
            </w:r>
          </w:p>
        </w:tc>
      </w:tr>
      <w:tr>
        <w:trPr/>
        <w:tc>
          <w:tcPr>
            <w:tcW w:w="2020" w:type="dxa"/>
            <w:tcBorders/>
            <w:vAlign w:val="center"/>
          </w:tcPr>
          <w:p>
            <w:pPr>
              <w:pStyle w:val="TableContents"/>
              <w:bidi w:val="0"/>
              <w:spacing w:before="0" w:after="283"/>
              <w:jc w:val="left"/>
              <w:rPr/>
            </w:pPr>
            <w:r>
              <w:rPr/>
              <w:t>10</w:t>
            </w:r>
          </w:p>
        </w:tc>
        <w:tc>
          <w:tcPr>
            <w:tcW w:w="8185"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020" w:type="dxa"/>
            <w:tcBorders/>
            <w:vAlign w:val="center"/>
          </w:tcPr>
          <w:p>
            <w:pPr>
              <w:pStyle w:val="TableContents"/>
              <w:bidi w:val="0"/>
              <w:spacing w:before="0" w:after="283"/>
              <w:jc w:val="left"/>
              <w:rPr/>
            </w:pPr>
            <w:r>
              <w:rPr/>
              <w:t>11</w:t>
            </w:r>
          </w:p>
        </w:tc>
        <w:tc>
          <w:tcPr>
            <w:tcW w:w="8185"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0.0 % </w:t>
            </w:r>
          </w:p>
        </w:tc>
      </w:tr>
      <w:tr>
        <w:trPr/>
        <w:tc>
          <w:tcPr>
            <w:tcW w:w="2020" w:type="dxa"/>
            <w:tcBorders/>
            <w:vAlign w:val="center"/>
          </w:tcPr>
          <w:p>
            <w:pPr>
              <w:pStyle w:val="TableContents"/>
              <w:bidi w:val="0"/>
              <w:spacing w:before="0" w:after="283"/>
              <w:jc w:val="left"/>
              <w:rPr/>
            </w:pPr>
            <w:r>
              <w:rPr/>
              <w:t>12</w:t>
            </w:r>
          </w:p>
        </w:tc>
        <w:tc>
          <w:tcPr>
            <w:tcW w:w="818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Avicenna Life Sci Master Fund LP holds an aggregate of 35,572 American Depositary Shares ("ADSs"), each of which ADS represents one Ordinary Share, nominal value Euro 0.01 per share (the "Shares"),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Raymond Debbane</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PANAMA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4,825,759.00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4,825,759.00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4,825,759.00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Invus Public Equities, L.P. holds an aggregate of 4,249,759 Ordinary Shares, nominal value Euro 0.01 per share (the "Shares"), and 540,428 American Depositary Shares ("ADSs"), and Avicenna Life Sci Master Fund LP holds an aggregate of 35,572 ADSs, each of which ADS represents one Share of Abivax S.A. (the "Issuer").</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8" w:name="item1to9"/>
      <w:bookmarkStart w:id="39" w:name="item1to9"/>
      <w:bookmarkEnd w:id="39"/>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Abivax S.A.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7-11 boulevard Haussmann, 75009 Paris, France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See Item 2(c) below.</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(i) Invus Public Equities, L.P. ("Invus Public Equities") 750 Lexington Avenue, 30th Floor, New York, NY 10022 Citizenship: Bermuda limited partnership (ii) Invus Public Equities Advisors, LLC ("Invus PE Advisors") 750 Lexington Avenue, 30th Floor, New York, NY 10022 Citizenship: Delaware limited liability company (iii) Invus Global Management, LLC ("Global Management") 750 Lexington Avenue, 30th Floor, New York, NY 10022 Citizenship: Delaware limited liability company (iv) Siren, L.L.C. ("Siren") c/o The Invus Group, LLC, 750 Lexington Avenue, 30th Floor, New York, NY 10022 Citizenship: Delaware limited liability company (v) Avicenna Life Sci Master Fund LP ("Avicenna Fund") 750 Lexington Avenue, 30th Floor, New York, NY 10022 Citizenship: Cayman Islands limited partnership (vi) Avicenna Life Sci Master GP LLC ("Avicenna GP") 750 Lexington Avenue, 30th Floor, New York, NY 10022 Citizenship: Delaware limited liability company (vii) Ulys, L.L.C. ("Ulys") 750 Lexington Avenue, 30th Floor, New York, NY 10022 Citizenship: Delaware limited liability company (viii) Mr. Raymond Debbane 750 Lexington Avenue, 30th Floor, New York, NY 10022 Citizenship: Panama The foregoing persons are hereinafter sometimes collectively referred to as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Ordinary Shares, nominal value Euro 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As of June 30, 2026, Invus Public Equities beneficially held 4,790,187 Ordinary Shares, nominal value Euro 0.01 per share (the "Shares") of Abivax S.A. (the "Issuer"), represented by (i) 4,249,759 Shares and (ii) 540,428 American Depositary Shares ("ADSs") directly held by Invus Public Equities, and Avicenna Fund directly held 35,572 ADSs. Each ADS represents one Share. Invus PE Advisors, as the general partner of Invus Public Equities, controls Invus Public Equities and, accordingly, may be deemed to beneficially own the Shares beneficially held by Invus Public Equities. Global Management, as the managing member of Invus PE Advisors, controls Invus PE Advisors and, accordingly, may be deemed to beneficially own the Shares that Invus PE Advisors may be deemed to beneficially own. Siren, as the managing member of Global Management, controls Global Management and, accordingly, may be deemed to beneficially own the Shares that Global Management may be deemed to beneficially own. Avicenna GP, as the general partner of Avicenna Fund, controls Avicenna Fund and, accordingly, may be deemed to beneficially own the Shares beneficially held by Avicenna Fund. Ulys, as the managing member of Avicenna GP, controls Avicenna GP and, accordingly, may be deemed to beneficially own the Shares that Avicenna GP may be deemed to beneficially own. Mr. Raymond Debbane, as the managing member of Siren and Ulys, controls Siren and Ulys and, accordingly, may be deemed to beneficially own the Shares that Siren and Ulys may be deemed to beneficially own.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each of the Reporting Persons may be deemed to be the beneficial owner of the Shares listed on such Reporting Person's cover page. Calculations of the percentage of Shares beneficially owned are based on 79,800,669 Shares outstanding as of June 26, 2026, as reported in the Issuer's Form 424(b)(5) filed with the Securities and Exchange Commission on July 2, 2026.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each cover page hereof.</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certifications"/>
      <w:bookmarkStart w:id="41" w:name="certifications"/>
      <w:bookmarkEnd w:id="4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Each of the Reporting Persons hereby makes the following certification: 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2" w:name="signatureInfo"/>
      <w:bookmarkStart w:id="43" w:name="signatureInfo"/>
      <w:bookmarkEnd w:id="4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Invus Public Equities,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3"/>
        <w:gridCol w:w="4352"/>
      </w:tblGrid>
      <w:tr>
        <w:trPr/>
        <w:tc>
          <w:tcPr>
            <w:tcW w:w="58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President of Invus Public Equities Advisors,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2"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Invus Public Equities Advisors, LLC</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Invus Global Management, LLC</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3056" w:type="dxa"/>
        <w:jc w:val="left"/>
        <w:tblInd w:w="0" w:type="dxa"/>
        <w:tblLayout w:type="fixed"/>
        <w:tblCellMar>
          <w:top w:w="28" w:type="dxa"/>
          <w:left w:w="28" w:type="dxa"/>
          <w:bottom w:w="28" w:type="dxa"/>
          <w:right w:w="28" w:type="dxa"/>
        </w:tblCellMar>
      </w:tblPr>
      <w:tblGrid>
        <w:gridCol w:w="1528"/>
        <w:gridCol w:w="1528"/>
      </w:tblGrid>
      <w:tr>
        <w:trPr/>
        <w:tc>
          <w:tcPr>
            <w:tcW w:w="1528" w:type="dxa"/>
            <w:tcBorders/>
            <w:vAlign w:val="center"/>
          </w:tcPr>
          <w:p>
            <w:pPr>
              <w:pStyle w:val="TableContents"/>
              <w:bidi w:val="0"/>
              <w:spacing w:before="0" w:after="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0"/>
                    <w:jc w:val="left"/>
                    <w:rPr/>
                  </w:pPr>
                  <w:r>
                    <w:rPr/>
                    <w:t>Siren, L.L.C.</w:t>
                  </w:r>
                </w:p>
              </w:tc>
            </w:tr>
          </w:tbl>
          <w:p>
            <w:pPr>
              <w:pStyle w:val="TableContents"/>
              <w:bidi w:val="0"/>
              <w:spacing w:before="0" w:after="283"/>
              <w:jc w:val="left"/>
              <w:rPr/>
            </w:pPr>
            <w:r>
              <w:rPr/>
            </w:r>
          </w:p>
        </w:tc>
        <w:tc>
          <w:tcPr>
            <w:tcW w:w="152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Fund LP</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8"/>
        <w:gridCol w:w="4347"/>
      </w:tblGrid>
      <w:tr>
        <w:trPr/>
        <w:tc>
          <w:tcPr>
            <w:tcW w:w="585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Raymond Debbane</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Raymond Debbane, Chief Executive Officer of Avicenna Life Sci Master GP LLC, its general partner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7" w:type="dxa"/>
            <w:tcBorders/>
            <w:vAlign w:val="center"/>
          </w:tcPr>
          <w:p>
            <w:pPr>
              <w:pStyle w:val="TableContents"/>
              <w:bidi w:val="0"/>
              <w:spacing w:before="0" w:after="283"/>
              <w:jc w:val="left"/>
              <w:rPr>
                <w:sz w:val="4"/>
                <w:szCs w:val="4"/>
              </w:rPr>
            </w:pPr>
            <w:r>
              <w:rPr>
                <w:sz w:val="4"/>
                <w:szCs w:val="4"/>
              </w:rPr>
            </w:r>
          </w:p>
        </w:tc>
      </w:tr>
    </w:tbl>
    <w:tbl>
      <w:tblPr>
        <w:tblW w:w="7212" w:type="dxa"/>
        <w:jc w:val="left"/>
        <w:tblInd w:w="0" w:type="dxa"/>
        <w:tblLayout w:type="fixed"/>
        <w:tblCellMar>
          <w:top w:w="28" w:type="dxa"/>
          <w:left w:w="28" w:type="dxa"/>
          <w:bottom w:w="28" w:type="dxa"/>
          <w:right w:w="28" w:type="dxa"/>
        </w:tblCellMar>
      </w:tblPr>
      <w:tblGrid>
        <w:gridCol w:w="3606"/>
        <w:gridCol w:w="3606"/>
      </w:tblGrid>
      <w:tr>
        <w:trPr/>
        <w:tc>
          <w:tcPr>
            <w:tcW w:w="3606" w:type="dxa"/>
            <w:tcBorders/>
            <w:vAlign w:val="center"/>
          </w:tcPr>
          <w:p>
            <w:pPr>
              <w:pStyle w:val="TableContents"/>
              <w:bidi w:val="0"/>
              <w:spacing w:before="0" w:after="0"/>
              <w:jc w:val="left"/>
              <w:rPr/>
            </w:pPr>
            <w:r>
              <w:rPr/>
              <w:t> </w:t>
            </w:r>
          </w:p>
          <w:tbl>
            <w:tblPr>
              <w:tblW w:w="3496" w:type="dxa"/>
              <w:jc w:val="left"/>
              <w:tblInd w:w="0" w:type="dxa"/>
              <w:tblLayout w:type="fixed"/>
              <w:tblCellMar>
                <w:top w:w="28" w:type="dxa"/>
                <w:left w:w="28" w:type="dxa"/>
                <w:bottom w:w="28" w:type="dxa"/>
                <w:right w:w="28" w:type="dxa"/>
              </w:tblCellMar>
            </w:tblPr>
            <w:tblGrid>
              <w:gridCol w:w="3496"/>
            </w:tblGrid>
            <w:tr>
              <w:trPr/>
              <w:tc>
                <w:tcPr>
                  <w:tcW w:w="3496" w:type="dxa"/>
                  <w:tcBorders/>
                  <w:vAlign w:val="center"/>
                </w:tcPr>
                <w:p>
                  <w:pPr>
                    <w:pStyle w:val="TableContents"/>
                    <w:bidi w:val="0"/>
                    <w:spacing w:before="0" w:after="0"/>
                    <w:jc w:val="left"/>
                    <w:rPr/>
                  </w:pPr>
                  <w:r>
                    <w:rPr/>
                    <w:t>Avicenna Life Sci Master GP LLC</w:t>
                  </w:r>
                </w:p>
              </w:tc>
            </w:tr>
          </w:tbl>
          <w:p>
            <w:pPr>
              <w:pStyle w:val="TableContents"/>
              <w:bidi w:val="0"/>
              <w:spacing w:before="0" w:after="283"/>
              <w:jc w:val="left"/>
              <w:rPr/>
            </w:pPr>
            <w:r>
              <w:rPr/>
            </w:r>
          </w:p>
        </w:tc>
        <w:tc>
          <w:tcPr>
            <w:tcW w:w="36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Raymond Debbane</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Raymond Debbane, Chief Executive Officer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Ulys, L.L.C.</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4"/>
        <w:gridCol w:w="4351"/>
      </w:tblGrid>
      <w:tr>
        <w:trPr/>
        <w:tc>
          <w:tcPr>
            <w:tcW w:w="585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Raymond Debbane</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Raymond Debbane, President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51" w:type="dxa"/>
            <w:tcBorders/>
            <w:vAlign w:val="center"/>
          </w:tcPr>
          <w:p>
            <w:pPr>
              <w:pStyle w:val="TableContents"/>
              <w:bidi w:val="0"/>
              <w:spacing w:before="0" w:after="283"/>
              <w:jc w:val="left"/>
              <w:rPr>
                <w:sz w:val="4"/>
                <w:szCs w:val="4"/>
              </w:rPr>
            </w:pPr>
            <w:r>
              <w:rPr>
                <w:sz w:val="4"/>
                <w:szCs w:val="4"/>
              </w:rPr>
            </w:r>
          </w:p>
        </w:tc>
      </w:tr>
    </w:tbl>
    <w:tbl>
      <w:tblPr>
        <w:tblW w:w="4274" w:type="dxa"/>
        <w:jc w:val="left"/>
        <w:tblInd w:w="0" w:type="dxa"/>
        <w:tblLayout w:type="fixed"/>
        <w:tblCellMar>
          <w:top w:w="28" w:type="dxa"/>
          <w:left w:w="28" w:type="dxa"/>
          <w:bottom w:w="28" w:type="dxa"/>
          <w:right w:w="28" w:type="dxa"/>
        </w:tblCellMar>
      </w:tblPr>
      <w:tblGrid>
        <w:gridCol w:w="2137"/>
        <w:gridCol w:w="2137"/>
      </w:tblGrid>
      <w:tr>
        <w:trPr/>
        <w:tc>
          <w:tcPr>
            <w:tcW w:w="2137" w:type="dxa"/>
            <w:tcBorders/>
            <w:vAlign w:val="center"/>
          </w:tcPr>
          <w:p>
            <w:pPr>
              <w:pStyle w:val="TableContents"/>
              <w:bidi w:val="0"/>
              <w:spacing w:before="0" w:after="0"/>
              <w:jc w:val="left"/>
              <w:rPr/>
            </w:pPr>
            <w:r>
              <w:rPr/>
              <w:t> </w:t>
            </w:r>
          </w:p>
          <w:tbl>
            <w:tblPr>
              <w:tblW w:w="2011" w:type="dxa"/>
              <w:jc w:val="left"/>
              <w:tblInd w:w="0" w:type="dxa"/>
              <w:tblLayout w:type="fixed"/>
              <w:tblCellMar>
                <w:top w:w="28" w:type="dxa"/>
                <w:left w:w="28" w:type="dxa"/>
                <w:bottom w:w="28" w:type="dxa"/>
                <w:right w:w="28" w:type="dxa"/>
              </w:tblCellMar>
            </w:tblPr>
            <w:tblGrid>
              <w:gridCol w:w="2011"/>
            </w:tblGrid>
            <w:tr>
              <w:trPr/>
              <w:tc>
                <w:tcPr>
                  <w:tcW w:w="2011" w:type="dxa"/>
                  <w:tcBorders/>
                  <w:vAlign w:val="center"/>
                </w:tcPr>
                <w:p>
                  <w:pPr>
                    <w:pStyle w:val="TableContents"/>
                    <w:bidi w:val="0"/>
                    <w:spacing w:before="0" w:after="0"/>
                    <w:jc w:val="left"/>
                    <w:rPr/>
                  </w:pPr>
                  <w:r>
                    <w:rPr/>
                    <w:t>Raymond Debbane</w:t>
                  </w:r>
                </w:p>
              </w:tc>
            </w:tr>
          </w:tbl>
          <w:p>
            <w:pPr>
              <w:pStyle w:val="TableContents"/>
              <w:bidi w:val="0"/>
              <w:spacing w:before="0" w:after="283"/>
              <w:jc w:val="left"/>
              <w:rPr/>
            </w:pPr>
            <w:r>
              <w:rPr/>
            </w:r>
          </w:p>
        </w:tc>
        <w:tc>
          <w:tcPr>
            <w:tcW w:w="213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9"/>
        <w:gridCol w:w="4346"/>
      </w:tblGrid>
      <w:tr>
        <w:trPr/>
        <w:tc>
          <w:tcPr>
            <w:tcW w:w="5859"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Raymond Debbane</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Raymond Debbane</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346" w:type="dxa"/>
            <w:tcBorders/>
            <w:vAlign w:val="center"/>
          </w:tcPr>
          <w:p>
            <w:pPr>
              <w:pStyle w:val="TableContents"/>
              <w:bidi w:val="0"/>
              <w:spacing w:before="0" w:after="283"/>
              <w:jc w:val="left"/>
              <w:rPr>
                <w:sz w:val="4"/>
                <w:szCs w:val="4"/>
              </w:rPr>
            </w:pPr>
            <w:r>
              <w:rPr>
                <w:sz w:val="4"/>
                <w:szCs w:val="4"/>
              </w:rPr>
            </w:r>
          </w:p>
        </w:tc>
      </w:tr>
    </w:tbl>
    <w:p>
      <w:pPr>
        <w:pStyle w:val="TextBody"/>
        <w:shd w:fill="FFFFFF" w:val="clear"/>
        <w:bidi w:val="0"/>
        <w:jc w:val="right"/>
        <w:rPr>
          <w:rFonts w:ascii="Times New Roman;Times;Serif" w:hAnsi="Times New Roman;Times;Serif"/>
          <w:b w:val="false"/>
          <w:i w:val="false"/>
          <w:caps w:val="false"/>
          <w:smallCaps w:val="false"/>
          <w:sz w:val="20"/>
        </w:rPr>
      </w:pPr>
      <w:bookmarkStart w:id="44" w:name="exhibit991.htm"/>
      <w:bookmarkStart w:id="45" w:name="ksexhibit991"/>
      <w:bookmarkEnd w:id="44"/>
      <w:bookmarkEnd w:id="45"/>
      <w:r>
        <w:rPr>
          <w:rFonts w:ascii="Times New Roman;Times;Serif" w:hAnsi="Times New Roman;Times;Serif"/>
          <w:b w:val="false"/>
          <w:i w:val="false"/>
          <w:caps w:val="false"/>
          <w:smallCaps w:val="false"/>
          <w:sz w:val="20"/>
        </w:rPr>
        <w:t>Exhibit 99.1</w:t>
      </w:r>
      <w:r>
        <w:br w:type="page"/>
      </w:r>
    </w:p>
    <w:p>
      <w:pPr>
        <w:pStyle w:val="TextBody"/>
        <w:shd w:fill="FFFFFF" w:val="clear"/>
        <w:bidi w:val="0"/>
        <w:spacing w:before="240" w:after="240"/>
        <w:ind w:left="240" w:right="24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JOINT FILING AGREEMENT</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agree that the statement on Schedule 13G with respect to the securities of Abivax S.A. is, and any amendments thereto signed by each or any of the undersigned shall be, filed on behalf of each of such person pursuant to, and in accordance with, the provisions of Rule 13d-1(k) under the Securities Exchange Act of 1934, as amended.</w:t>
      </w:r>
    </w:p>
    <w:p>
      <w:pPr>
        <w:pStyle w:val="TextBody"/>
        <w:shd w:fill="FFFFFF" w:val="clear"/>
        <w:bidi w:val="0"/>
        <w:spacing w:before="240" w:after="240"/>
        <w:ind w:left="240" w:right="2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August 13, 2026</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INVUS PUBLIC EQUITIES ADVISORS,</w:t>
      </w:r>
    </w:p>
    <w:p>
      <w:pPr>
        <w:pStyle w:val="TextBody"/>
        <w:bidi w:val="0"/>
        <w:ind w:left="5040" w:right="504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PUBLIC EQUITIES ADVISORS, LLC</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President</w:t>
      </w:r>
    </w:p>
    <w:p>
      <w:pPr>
        <w:pStyle w:val="TextBody"/>
        <w:bidi w:val="0"/>
        <w:ind w:left="5040" w:right="5040" w:firstLine="1440"/>
        <w:jc w:val="left"/>
        <w:rPr>
          <w:caps w:val="false"/>
          <w:smallCaps w:val="false"/>
        </w:rPr>
      </w:pPr>
      <w:r>
        <w:rPr>
          <w:caps w:val="false"/>
          <w:smallCaps w:val="false"/>
        </w:rPr>
        <w:t> </w:t>
      </w:r>
    </w:p>
    <w:p>
      <w:pPr>
        <w:pStyle w:val="TextBody"/>
        <w:bidi w:val="0"/>
        <w:ind w:left="5040" w:right="5040" w:hanging="0"/>
        <w:jc w:val="left"/>
        <w:rPr>
          <w:caps w:val="false"/>
          <w:smallCaps w:val="false"/>
        </w:rPr>
      </w:pPr>
      <w:r>
        <w:rPr>
          <w:caps w:val="false"/>
          <w:smallCaps w:val="false"/>
        </w:rPr>
        <w:t> </w:t>
      </w:r>
    </w:p>
    <w:p>
      <w:pPr>
        <w:pStyle w:val="TextBody"/>
        <w:bidi w:val="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INVUS GLOBAL MANAGEMENT,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SIREN,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FUND LP</w:t>
      </w:r>
    </w:p>
    <w:p>
      <w:pPr>
        <w:pStyle w:val="TextBody"/>
        <w:bidi w:val="0"/>
        <w:ind w:left="5040" w:right="5040" w:firstLine="720"/>
        <w:jc w:val="left"/>
        <w:rPr>
          <w:caps w:val="false"/>
          <w:smallCaps w:val="false"/>
        </w:rPr>
      </w:pPr>
      <w:r>
        <w:rPr>
          <w:caps w:val="false"/>
          <w:smallCaps w:val="false"/>
        </w:rPr>
        <w:t> </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tab/>
        <w:t>AVICENNA LIFE SCI MASTER GP LLC, its general partner</w:t>
      </w:r>
    </w:p>
    <w:p>
      <w:pPr>
        <w:pStyle w:val="TextBody"/>
        <w:bidi w:val="0"/>
        <w:ind w:left="5040" w:right="5040" w:firstLine="72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ind w:left="5040" w:right="504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tab/>
        <w:t>Chief Executive Officer</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AVICENNA LIFE SCI MASTER GP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p>
      <w:pPr>
        <w:pStyle w:val="TextBody"/>
        <w:bidi w:val="0"/>
        <w:ind w:left="4954" w:right="4954" w:hanging="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ULYS, L.L.C.</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Raymond Debbane</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President</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caps w:val="false"/>
          <w:smallCaps w:val="false"/>
        </w:rPr>
      </w:pPr>
      <w:r>
        <w:rPr>
          <w:caps w:val="false"/>
          <w:smallCaps w:val="false"/>
        </w:rPr>
        <w:t> </w:t>
      </w:r>
    </w:p>
    <w:p>
      <w:pPr>
        <w:pStyle w:val="TextBody"/>
        <w:bidi w:val="0"/>
        <w:ind w:left="4954" w:right="4954"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MR. RAYMOND DEBBANE</w:t>
      </w:r>
    </w:p>
    <w:p>
      <w:pPr>
        <w:pStyle w:val="TextBody"/>
        <w:bidi w:val="0"/>
        <w:ind w:left="4954" w:right="4954"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r>
        <w:rPr>
          <w:rFonts w:ascii="Times New Roman;Times;Serif" w:hAnsi="Times New Roman;Times;Serif"/>
          <w:b w:val="false"/>
          <w:i w:val="false"/>
          <w:caps w:val="false"/>
          <w:smallCaps w:val="false"/>
          <w:sz w:val="20"/>
          <w:u w:val="single"/>
        </w:rPr>
        <w:t>/s/ Raymond Debbane</w:t>
        <w:tab/>
      </w:r>
    </w:p>
    <w:p>
      <w:pPr>
        <w:pStyle w:val="TextBody"/>
        <w:bidi w:val="0"/>
        <w:jc w:val="left"/>
        <w:rPr>
          <w:caps w:val="false"/>
          <w:smallCaps w:val="false"/>
        </w:rPr>
      </w:pPr>
      <w:r>
        <w:rPr>
          <w:caps w:val="false"/>
          <w:smallCaps w:val="false"/>
        </w:rPr>
        <w:t> </w:t>
      </w:r>
    </w:p>
    <w:p>
      <w:pPr>
        <w:pStyle w:val="TextBody"/>
        <w:bidi w:val="0"/>
        <w:jc w:val="left"/>
        <w:rPr>
          <w:caps w:val="false"/>
          <w:smallCaps w:val="false"/>
        </w:rPr>
      </w:pPr>
      <w:r>
        <w:rPr>
          <w:caps w:val="false"/>
          <w:smallCaps w:val="false"/>
        </w:rPr>
        <w:t> </w:t>
      </w:r>
    </w:p>
    <w:p>
      <w:pPr>
        <w:pStyle w:val="TextBody"/>
        <w:bidi w:val="0"/>
        <w:spacing w:lineRule="auto" w:line="256" w:before="0" w:after="16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unchecked.jpg" TargetMode="External"/><Relationship Id="rId39" Type="http://schemas.openxmlformats.org/officeDocument/2006/relationships/image" Target="https://cdn.kscope.io/box-unchecked.jpg" TargetMode="External"/><Relationship Id="rId40" Type="http://schemas.openxmlformats.org/officeDocument/2006/relationships/fontTable" Target="fontTable.xml"/><Relationship Id="rId4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2687</Words>
  <Characters>14309</Characters>
  <CharactersWithSpaces>16846</CharactersWithSpaces>
  <Paragraphs>556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