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Abivax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Euro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4,924,377.00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4,924,377.00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4,924,377.00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4,924,377 ordinary shares (as defined in Item 2(d) below) in the form of American Depositary Shares ("ADSs") of the Issuer (as defined in Item 1(a) below) held of record by TCG Crossover I (as defined in Item 2(a) below). Each ADS represents one (1) ordinary share. TCG Crossover GP I (as defined in Item 2(a) below) is the general partner of TCG Crossover I and may be deemed to have voting, investment, and dispositive power with respect to these securities. Chen Yu is the sole managing member of TCG Crossover GP I and may be deemed to share voting, investment and dispositive power with respect to these securities. Based on 86,094,535 shares of Common Stock outstanding as of July 2, 2026, following the underwritten offering that closed on July 2, 2026 (the Offering), as reported by the Issuer in its prospectus filed with the United States Securities and Exchange Commission (the Commission) on July 2, 2026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4,924,377.00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4,924,377.00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4,924,377.00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4,924,377 ordinary shares in the form of ADSs of the Issuer held of record by TCG Crossover I. Each ADS represents one (1) ordinary share. TCG Crossover GP I is the general partner of TCG Crossover I and may be deemed to have voting, investment, and dispositive power with respect to these securities. Chen Yu is the sole managing member of TCG Crossover GP I and may be deemed to share voting, investment and dispositive power with respect to these securities. Based on 86,094,535 shares of Common Stock outstanding as of July 2, 2026, following the Offering, as reported by the Issuer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1,083,457.00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1,083,457.00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1,083,457.00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1,083,457 ordinary shares in the form of ADSs of the Issuer held of record by TCG Crossover II (as defined in Item 2(a) below). Each ADS represents one (1) ordinary share.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86,094,535 shares of Common Stock outstanding as of July 2, 2026, following the Offering, as reported by the Issuer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1,083,457.00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1,083,457.00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1,083,457.00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1,083,457 ordinary shares in the form of ADSs of the Issuer held of record by TCG Crossover II. Each ADS represents one (1) ordinary share.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86,094,535 shares of Common Stock outstanding as of July 2, 2026, following the Offering, as reported by the Issuer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6,007,834.00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6,007,834.00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6,007,834.00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4,924,377 ordinary shares in the form of ADSs of the Issuer held of record by TCG Crossover I and (ii) 1,083,457 ordinary shares in the form of ADSs of the Issuer held of record by TCG Crossover II. TCG Crossover GP I is the general partner of TCG Crossover I and may be deemed to have voting, investment, and dispositive power with respect to the securities held of record by TCG Crossover I. TCG Crossover GP II is the general partner of TCG Crossover II and may be deemed to have voting, investment, and dispositive power with respect to the securities held of record by TCG Crossover II. Chen Yu is the sole managing member of each of TCG Crossover GP I and TCG Crossover GP II and may be deemed to share voting, investment and dispositive power with respect to the securities held of record by TCG Crossover II and TCG Crossover II. Based on 86,094,535 shares of Common Stock outstanding as of July 2, 2026, following the Offering, as reported by the Issuer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Abivax SA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7-11 boulevard Haussman, Paris, France, 75009</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2 (Amendment No. 2) amends and supplements the Schedule 13G initially filed with the Commission on April 19, 2024, as amended by Amendment No. 1 filed with the Commission on November 14, 2025 (the Original Schedule 13G) and is being filed by TCG Crossover Fund I, L.P. (TCG Crossover I), TCG Crossover GP I, LLC (TCG Crossover GP I), TCG Crossover Fund II, L.P. (TCG Crossover II) and TCG Crossover GP II, LLC (TCG Crossover GP II and together with TCG Crossover I, TCG Crossover GP I and TCG Crossover 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2 to the Original Schedule 13G. Other than those securities reported herein as being held directly by such Reporting Person, each Reporting Person disclaims beneficial ownership of all securities reported in this Amendment No. 2 except to the extent of such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 and TCG Crossover GP II are each a limited liability company organized under the laws of the State of Delaware. TCG Crossover I and TCG Crossover II are each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Euro 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footnotes. Each of the Reporting Persons disclaims beneficial ownership as to such securities, except to the extent of his or its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footnotes. Each of the Reporting Persons disclaims beneficial ownership as to such securities, except to the extent of his or its pecuniary interest therein.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footnotes.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footnotes.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footnotes.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footnotes.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TCG Crossover I and TCG Crossover II and the limited liability company agreements of TCG Crossover GP I and TCG Crossover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TCG Crossover GP I,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TCG Crossover Fund I, L.P.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TCG Crossover GP II,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TCG Crossover Fund II,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2620</Words>
  <Characters>13095</Characters>
  <CharactersWithSpaces>15630</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