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1359d424b5.htm"/>
        <w:bookmarkStart w:id="1" w:name="ksd111359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As Filed Pursuant to Rule 424(b)(5)</w:t>
        <w:br/>
        <w:t xml:space="preserve">Registration No. 333-288884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This preliminary prospectus supplement and accompanying prospectus are not an offer to sell these securities and are not soliciting an offer to buy these securities in any jurisdiction where the offer or the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June 30,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June 30, 2026)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5149215" cy="7442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49215" cy="74422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$600,000,000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American Depositary Shares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Representing Ordinary Shares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offering    of our American Depositary Shares (“ADSs”), each representing one ordinary share, 0.01 nominal value per share, in a public offering.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ordinary shares are listed on the regulated market of Euronext in Paris (“Euronext Paris”) under the symbol “ABVX.” Our ADSs are listed on The Nasdaq Global Market (“Nasdaq”) under the symbol “ABVX.” On June 29, 2026, the last reported sale price of our ordinary shares on Euronext Paris was 83.30 per ordinary share and the last reported sale price of our ADSs on Nasdaq was $96.15 per ADS.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a high degree of risk. Before deciding whether to invest in our securities, you should consider carefully the risks that we have described beginning on page S-9 of this prospectus supplement under the caption “</w:t>
      </w:r>
      <w:hyperlink w:anchor="supptoc111359_4">
        <w:r>
          <w:rPr>
            <w:rStyle w:val="InternetLink"/>
            <w:rFonts w:ascii="Times New Roman" w:hAnsi="Times New Roman"/>
            <w:b/>
            <w:sz w:val="24"/>
          </w:rPr>
          <w:t>Risk  Factors</w:t>
        </w:r>
      </w:hyperlink>
      <w:r>
        <w:rPr>
          <w:rFonts w:ascii="Times New Roman" w:hAnsi="Times New Roman"/>
          <w:b/>
          <w:sz w:val="24"/>
        </w:rPr>
        <w:t>” and under the caption “</w:t>
      </w:r>
      <w:hyperlink w:anchor="rom86113_3">
        <w:r>
          <w:rPr>
            <w:rStyle w:val="InternetLink"/>
            <w:rFonts w:ascii="Times New Roman" w:hAnsi="Times New Roman"/>
            <w:b/>
            <w:sz w:val="24"/>
          </w:rPr>
          <w:t>Risk Factors</w:t>
        </w:r>
      </w:hyperlink>
      <w:r>
        <w:rPr>
          <w:rFonts w:ascii="Times New Roman" w:hAnsi="Times New Roman"/>
          <w:b/>
          <w:sz w:val="24"/>
        </w:rPr>
        <w:t xml:space="preserve">” on page 6 of the accompanying prospectus and in our most recent Annual Report on Form 20-F and any other reports or documents incorporated by reference into this prospectus supplement and the accompanying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U.S. state or other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4471"/>
        <w:gridCol w:w="395"/>
        <w:gridCol w:w="172"/>
        <w:gridCol w:w="999"/>
        <w:gridCol w:w="74"/>
        <w:gridCol w:w="395"/>
        <w:gridCol w:w="173"/>
        <w:gridCol w:w="999"/>
        <w:gridCol w:w="77"/>
      </w:tblGrid>
      <w:tr>
        <w:trPr/>
        <w:tc>
          <w:tcPr>
            <w:tcW w:w="4471"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47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ADS</w:t>
            </w:r>
          </w:p>
        </w:tc>
        <w:tc>
          <w:tcPr>
            <w:tcW w:w="74"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4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447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4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refer you to “Underwriting” beginning on page S-29 of this prospectus supplement for additional information regarding underwriting compensation.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Delivery of the ADSs is expected to be made on or about   , 2026 (the “initial settlement date”), through the book-entry facilities of The Depository Trust Company. We have granted an option to the underwriters, exercisable on or before the initial settlement date, to purchase up to an aggregate of     additional ADSs at the public offering price.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2342"/>
        <w:gridCol w:w="92"/>
        <w:gridCol w:w="2343"/>
        <w:gridCol w:w="92"/>
        <w:gridCol w:w="2348"/>
        <w:gridCol w:w="92"/>
        <w:gridCol w:w="2896"/>
      </w:tblGrid>
      <w:tr>
        <w:trPr/>
        <w:tc>
          <w:tcPr>
            <w:tcW w:w="234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b/>
              </w:rPr>
            </w:pPr>
            <w:r>
              <w:rPr>
                <w:b/>
              </w:rPr>
              <w:t>Leerink Partners</w:t>
            </w:r>
          </w:p>
        </w:tc>
        <w:tc>
          <w:tcPr>
            <w:tcW w:w="92" w:type="dxa"/>
            <w:tcBorders/>
            <w:vAlign w:val="bottom"/>
          </w:tcPr>
          <w:p>
            <w:pPr>
              <w:pStyle w:val="TableContents"/>
              <w:bidi w:val="0"/>
              <w:spacing w:before="0" w:after="283"/>
              <w:jc w:val="left"/>
              <w:rPr/>
            </w:pPr>
            <w:r>
              <w:rPr/>
              <w:t> </w:t>
            </w:r>
          </w:p>
        </w:tc>
        <w:tc>
          <w:tcPr>
            <w:tcW w:w="2343" w:type="dxa"/>
            <w:tcBorders/>
          </w:tcPr>
          <w:p>
            <w:pPr>
              <w:pStyle w:val="TableContents"/>
              <w:bidi w:val="0"/>
              <w:spacing w:before="0" w:after="283"/>
              <w:jc w:val="left"/>
              <w:rPr/>
            </w:pPr>
            <w:r>
              <w:rPr/>
              <w:t> </w:t>
            </w:r>
            <w:r>
              <w:rPr>
                <w:b/>
              </w:rPr>
              <w:t>Morgan Stanley</w:t>
            </w:r>
          </w:p>
        </w:tc>
        <w:tc>
          <w:tcPr>
            <w:tcW w:w="9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left"/>
              <w:rPr/>
            </w:pPr>
            <w:r>
              <w:rPr/>
              <w:t> </w:t>
            </w:r>
            <w:r>
              <w:rPr>
                <w:b/>
              </w:rPr>
              <w:t>Piper Sandler</w:t>
            </w:r>
          </w:p>
        </w:tc>
        <w:tc>
          <w:tcPr>
            <w:tcW w:w="92" w:type="dxa"/>
            <w:tcBorders/>
            <w:vAlign w:val="bottom"/>
          </w:tcPr>
          <w:p>
            <w:pPr>
              <w:pStyle w:val="TableContents"/>
              <w:bidi w:val="0"/>
              <w:spacing w:before="0" w:after="283"/>
              <w:jc w:val="left"/>
              <w:rPr/>
            </w:pPr>
            <w:r>
              <w:rPr/>
              <w:t> </w:t>
            </w:r>
          </w:p>
        </w:tc>
        <w:tc>
          <w:tcPr>
            <w:tcW w:w="2896" w:type="dxa"/>
            <w:tcBorders/>
          </w:tcPr>
          <w:p>
            <w:pPr>
              <w:pStyle w:val="TableContents"/>
              <w:bidi w:val="0"/>
              <w:spacing w:before="0" w:after="283"/>
              <w:jc w:val="left"/>
              <w:rPr>
                <w:b/>
              </w:rPr>
            </w:pPr>
            <w:r>
              <w:rPr>
                <w:b/>
              </w:rPr>
              <w:t>Guggenheim Securities</w:t>
            </w:r>
          </w:p>
        </w:tc>
      </w:tr>
    </w:tbl>
    <w:p>
      <w:pPr>
        <w:pStyle w:val="TextBody"/>
        <w:bidi w:val="0"/>
        <w:spacing w:before="240" w:after="0"/>
        <w:ind w:left="960" w:right="960" w:hanging="0"/>
        <w:jc w:val="center"/>
        <w:rPr>
          <w:rFonts w:ascii="Times New Roman" w:hAnsi="Times New Roman"/>
          <w:b/>
          <w:i/>
          <w:sz w:val="20"/>
        </w:rPr>
      </w:pPr>
      <w:r>
        <w:rPr>
          <w:rFonts w:ascii="Times New Roman" w:hAnsi="Times New Roman"/>
          <w:b/>
          <w:i/>
          <w:sz w:val="20"/>
        </w:rPr>
        <w:t xml:space="preserve">Bookrunning Manager </w:t>
      </w:r>
    </w:p>
    <w:p>
      <w:pPr>
        <w:pStyle w:val="TextBody"/>
        <w:bidi w:val="0"/>
        <w:spacing w:before="240" w:after="0"/>
        <w:ind w:left="960" w:right="960" w:hanging="0"/>
        <w:jc w:val="center"/>
        <w:rPr>
          <w:rFonts w:ascii="Times New Roman" w:hAnsi="Times New Roman"/>
          <w:b/>
          <w:sz w:val="22"/>
        </w:rPr>
      </w:pPr>
      <w:r>
        <w:rPr>
          <w:rFonts w:ascii="Times New Roman" w:hAnsi="Times New Roman"/>
          <w:b/>
          <w:sz w:val="22"/>
        </w:rPr>
        <w:t xml:space="preserve">LifeSci Capital </w:t>
      </w:r>
    </w:p>
    <w:p>
      <w:pPr>
        <w:pStyle w:val="TextBody"/>
        <w:bidi w:val="0"/>
        <w:spacing w:before="240" w:after="0"/>
        <w:ind w:left="960" w:right="960" w:hanging="0"/>
        <w:jc w:val="center"/>
        <w:rPr>
          <w:rFonts w:ascii="Times New Roman" w:hAnsi="Times New Roman"/>
          <w:b/>
          <w:i/>
          <w:sz w:val="20"/>
        </w:rPr>
      </w:pPr>
      <w:r>
        <w:rPr>
          <w:rFonts w:ascii="Times New Roman" w:hAnsi="Times New Roman"/>
          <w:b/>
          <w:i/>
          <w:sz w:val="20"/>
        </w:rPr>
        <w:t xml:space="preserve">Lead Manager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Van Lanschot Kempen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Prospectus Supplement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2">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3">
              <w:r>
                <w:rPr>
                  <w:rStyle w:val="InternetLink"/>
                  <w:rFonts w:ascii="Times New Roman" w:hAnsi="Times New Roman"/>
                  <w:sz w:val="20"/>
                </w:rPr>
                <w:t>PROSPECTUS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8">
              <w:r>
                <w:rPr>
                  <w:rStyle w:val="InternetLink"/>
                  <w:rFonts w:ascii="Times New Roman" w:hAnsi="Times New Roman"/>
                  <w:sz w:val="20"/>
                </w:rPr>
                <w:t>TAXATION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10">
              <w:r>
                <w:rPr>
                  <w:rStyle w:val="InternetLink"/>
                  <w:rFonts w:ascii="Times New Roman" w:hAnsi="Times New Roman"/>
                  <w:sz w:val="20"/>
                </w:rPr>
                <w:t>MATERIAL CHANGES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11">
              <w:r>
                <w:rPr>
                  <w:rStyle w:val="InternetLink"/>
                  <w:rFonts w:ascii="Times New Roman" w:hAnsi="Times New Roman"/>
                  <w:sz w:val="20"/>
                </w:rPr>
                <w:t>ENFORCEMENT OF CIVIL LIABILITIES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14">
              <w:r>
                <w:rPr>
                  <w:rStyle w:val="InternetLink"/>
                  <w:rFonts w:ascii="Times New Roman" w:hAnsi="Times New Roman"/>
                  <w:sz w:val="20"/>
                </w:rPr>
                <w:t>WHERE YOU CAN FIND ADDITIONAL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11359_15">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S-45</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6"/>
        <w:gridCol w:w="418"/>
        <w:gridCol w:w="130"/>
        <w:gridCol w:w="579"/>
        <w:gridCol w:w="62"/>
      </w:tblGrid>
      <w:tr>
        <w:trPr/>
        <w:tc>
          <w:tcPr>
            <w:tcW w:w="901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1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
              <w:r>
                <w:rPr>
                  <w:rStyle w:val="InternetLink"/>
                  <w:rFonts w:ascii="Times New Roman" w:hAnsi="Times New Roman"/>
                  <w:sz w:val="20"/>
                </w:rPr>
                <w:t>ABOUT THIS PROSPECTUS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2">
              <w:r>
                <w:rPr>
                  <w:rStyle w:val="InternetLink"/>
                  <w:rFonts w:ascii="Times New Roman" w:hAnsi="Times New Roman"/>
                  <w:sz w:val="20"/>
                </w:rPr>
                <w:t>PROSPECTUS SUMMARY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3">
              <w:r>
                <w:rPr>
                  <w:rStyle w:val="InternetLink"/>
                  <w:rFonts w:ascii="Times New Roman" w:hAnsi="Times New Roman"/>
                  <w:sz w:val="20"/>
                </w:rPr>
                <w:t>RISK FACTORS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4">
              <w:r>
                <w:rPr>
                  <w:rStyle w:val="InternetLink"/>
                  <w:rFonts w:ascii="Times New Roman" w:hAnsi="Times New Roman"/>
                  <w:sz w:val="20"/>
                </w:rPr>
                <w:t>SPECIAL NOTE REGARDING FORWARD-LOOKING STATEMENTS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5">
              <w:r>
                <w:rPr>
                  <w:rStyle w:val="InternetLink"/>
                  <w:rFonts w:ascii="Times New Roman" w:hAnsi="Times New Roman"/>
                  <w:sz w:val="20"/>
                </w:rPr>
                <w:t>USE OF PROCEEDS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6">
              <w:r>
                <w:rPr>
                  <w:rStyle w:val="InternetLink"/>
                  <w:rFonts w:ascii="Times New Roman" w:hAnsi="Times New Roman"/>
                  <w:sz w:val="20"/>
                </w:rPr>
                <w:t>SELLING SECURITY HOLDERS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7">
              <w:r>
                <w:rPr>
                  <w:rStyle w:val="InternetLink"/>
                  <w:rFonts w:ascii="Times New Roman" w:hAnsi="Times New Roman"/>
                  <w:sz w:val="20"/>
                </w:rPr>
                <w:t>PLAN OF DISTRIBUTION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8">
              <w:r>
                <w:rPr>
                  <w:rStyle w:val="InternetLink"/>
                  <w:rFonts w:ascii="Times New Roman" w:hAnsi="Times New Roman"/>
                  <w:sz w:val="20"/>
                </w:rPr>
                <w:t>DESCRIPTION OF SHARE CAPITAL</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9">
              <w:r>
                <w:rPr>
                  <w:rStyle w:val="InternetLink"/>
                  <w:rFonts w:ascii="Times New Roman" w:hAnsi="Times New Roman"/>
                  <w:sz w:val="20"/>
                </w:rPr>
                <w:t>LIMITATIONS AFFECTING SHAREHOLDERS OF A FRENCH COMPANY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0">
              <w:r>
                <w:rPr>
                  <w:rStyle w:val="InternetLink"/>
                  <w:rFonts w:ascii="Times New Roman" w:hAnsi="Times New Roman"/>
                  <w:sz w:val="20"/>
                </w:rPr>
                <w:t>DESCRIPTION OF AMERICAN DEPOSITARY SHARES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1">
              <w:r>
                <w:rPr>
                  <w:rStyle w:val="InternetLink"/>
                  <w:rFonts w:ascii="Times New Roman" w:hAnsi="Times New Roman"/>
                  <w:sz w:val="20"/>
                </w:rPr>
                <w:t>DESCRIPTION OF WARRANTS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2">
              <w:r>
                <w:rPr>
                  <w:rStyle w:val="InternetLink"/>
                  <w:rFonts w:ascii="Times New Roman" w:hAnsi="Times New Roman"/>
                  <w:sz w:val="20"/>
                </w:rPr>
                <w:t>DESCRIPTION OF DEBT SECURITIES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3">
              <w:r>
                <w:rPr>
                  <w:rStyle w:val="InternetLink"/>
                  <w:rFonts w:ascii="Times New Roman" w:hAnsi="Times New Roman"/>
                  <w:sz w:val="20"/>
                </w:rPr>
                <w:t>TAXATION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4">
              <w:r>
                <w:rPr>
                  <w:rStyle w:val="InternetLink"/>
                  <w:rFonts w:ascii="Times New Roman" w:hAnsi="Times New Roman"/>
                  <w:sz w:val="20"/>
                </w:rPr>
                <w:t>LEGAL MATTERS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5">
              <w:r>
                <w:rPr>
                  <w:rStyle w:val="InternetLink"/>
                  <w:rFonts w:ascii="Times New Roman" w:hAnsi="Times New Roman"/>
                  <w:sz w:val="20"/>
                </w:rPr>
                <w:t>EXPERTS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6">
              <w:r>
                <w:rPr>
                  <w:rStyle w:val="InternetLink"/>
                  <w:rFonts w:ascii="Times New Roman" w:hAnsi="Times New Roman"/>
                  <w:sz w:val="20"/>
                </w:rPr>
                <w:t>ENFORCEMENT OF CIVIL LIABILITIES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7">
              <w:r>
                <w:rPr>
                  <w:rStyle w:val="InternetLink"/>
                  <w:rFonts w:ascii="Times New Roman" w:hAnsi="Times New Roman"/>
                  <w:sz w:val="20"/>
                </w:rPr>
                <w:t>WHERE YOU CAN FIND MORE INFORMATION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8">
              <w:r>
                <w:rPr>
                  <w:rStyle w:val="InternetLink"/>
                  <w:rFonts w:ascii="Times New Roman" w:hAnsi="Times New Roman"/>
                  <w:sz w:val="20"/>
                </w:rPr>
                <w:t>INCORPORATION OF DOCUMENTS BY REFERENCE</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9">
              <w:r>
                <w:rPr>
                  <w:rStyle w:val="InternetLink"/>
                  <w:rFonts w:ascii="Times New Roman" w:hAnsi="Times New Roman"/>
                  <w:sz w:val="20"/>
                </w:rPr>
                <w:t>EXPENSES ASSOCIATED WITH REGISTRATION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have authorized anyone to provide any information other than that contained in this prospectus supplement, the accompanying prospectus or in any free writing prospectus prepared by or on behalf of us to which we have referred you. When you make a decision about whether to invest in our ADSs, you should not rely upon any information other than the information in this prospectus supplement. We take no responsibility for, and provide no assurances as to the reliability of, any other information that others may give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1135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part of an automatic shelf registration statement that we filed with the Securities and Exchange Commission (the “SEC”) using a “shelf” registration process available to us as a “well-known seasoned issuer,” as defined in Rule 405 under the Securities Act of 1933, as amended (the “Securities Act”) and consists of two parts. The first part is this prospectus supplement, including the documents incorporated by reference, which describes the specific terms of this offering and also adds to and updates information contained in the accompanying prospectus. The second part, the accompanying prospectus, including the documents incorporated by reference, gives more general information, some of which may not be applicable to this offering. Generally, when we refer to the “prospectus” we are referring to both parts combined. </w:t>
      </w:r>
    </w:p>
    <w:p>
      <w:pPr>
        <w:pStyle w:val="TextBody"/>
        <w:bidi w:val="0"/>
        <w:spacing w:before="240" w:after="0"/>
        <w:jc w:val="left"/>
        <w:rPr>
          <w:rFonts w:ascii="Times New Roman" w:hAnsi="Times New Roman"/>
          <w:sz w:val="20"/>
        </w:rPr>
      </w:pPr>
      <w:r>
        <w:rPr>
          <w:rFonts w:ascii="Times New Roman" w:hAnsi="Times New Roman"/>
          <w:sz w:val="20"/>
        </w:rPr>
        <w:t xml:space="preserve">If information in this prospectus supplement is inconsistent with the accompanying prospectus or with any document incorporated by reference that was filed with the SEC before the date of this prospectus supplement, you should rely on this prospectus supplement. If any statement in this prospectus supplement or the accompanying prospectus is inconsistent with a statement in another document that is incorporated by reference into this prospectus and having a later date, the statement in the document having the later date modifies or supersedes the earlier statement. This prospectus supplement, the accompanying prospectus and the documents incorporated by reference into each include important information about us, the ordinary shares (including in the form of ADSs) being offered and other information that you should know before investing in our ordinary shares (including in the form of ADSs). You should also read and consider information in the documents we have referred you to in the sections of this prospectus supplement and the accompanying prospectus entitled “Incorporation of Certain Information by Reference” and “Where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securities. Our business, financial condition, liquidity,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summaries of certain provisions contained in some of the documents described herein, but reference is made to the actual documents for complete information. In such instances, such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sections entitled “Incorporation of Certain Information by Reference” and “Where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are not making offers to sell or solicitations of offers to buy our ordinary shares (including in the form of ADSs) in any jurisdiction in which an offer or solicitation is not permitted or in which the person making that offer or solicitation is not qualified to do so or to anyone to whom it is unlawful to make an offer or solicitation. </w:t>
      </w:r>
    </w:p>
    <w:p>
      <w:pPr>
        <w:pStyle w:val="TextBody"/>
        <w:bidi w:val="0"/>
        <w:spacing w:before="240" w:after="0"/>
        <w:jc w:val="left"/>
        <w:rPr>
          <w:rFonts w:ascii="Times New Roman" w:hAnsi="Times New Roman"/>
          <w:b/>
          <w:sz w:val="20"/>
        </w:rPr>
      </w:pPr>
      <w:r>
        <w:rPr>
          <w:rFonts w:ascii="Times New Roman" w:hAnsi="Times New Roman"/>
          <w:b/>
          <w:sz w:val="20"/>
        </w:rPr>
        <w:t xml:space="preserve">For investors outside the United States: We have not done anything that would permit this offering or possession or distribution of this prospectus supplement in any jurisdiction where action for that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 </w:t>
      </w:r>
    </w:p>
    <w:p>
      <w:pPr>
        <w:pStyle w:val="TextBody"/>
        <w:bidi w:val="0"/>
        <w:spacing w:before="240" w:after="0"/>
        <w:jc w:val="left"/>
        <w:rPr>
          <w:rFonts w:ascii="Times New Roman" w:hAnsi="Times New Roman"/>
          <w:b/>
          <w:sz w:val="20"/>
        </w:rPr>
      </w:pPr>
      <w:r>
        <w:rPr>
          <w:rFonts w:ascii="Times New Roman" w:hAnsi="Times New Roman"/>
          <w:b/>
          <w:sz w:val="20"/>
        </w:rPr>
        <w:t xml:space="preserve">Owning our securities may subject you to tax consequences both in France and in the United States. You should read the tax discussion in this prospectus supplement fully, though this prospectus supplement and the accompanying prospectus may not describe these tax consequences fully. Each prospective investor is urged to consult its own tax advisor about the tax consequences to it of an investment in our securities in light of the investor’s own circumstances. In addition, your ability to enforce civil liabilities under U.S. federal securities laws may be affected adversely by the fact that we are incorporated under the laws of France, many of the members of our board of directors and experts named in this prospectus are residents of France or elsewhere outside of the United States, and a substantial portion of our assets and the assets of such persons are located outside the United States. See “Enforcement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all references in this prospectus supplement to “Abivax,” “the Company,” “our Company,” “we,” “us” and “our” refer to Abivax SA and its consolidated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that term is used in the Jumpstart Our Business Startups Act of 2012 (the “JOBS Act”) and, as such, have elected to comply with certain reduced public company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prepare our consolidated financial statements in accordance with International Financial Reporting Standards (“IFRS”) as issued by the International Accounting Standards Board (“IASB”). Our financial statements are presented in euros and, unless otherwise specified, all monetary amounts printed in this prospectus are in euros.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prospectus supplement to “$” and “U.S. dollars” mean U.S. dollars and all references to “” and “euros” mean euros, unless otherwise noted. In various places throughout this prospectus supplement, we show financial amounts in both U.S. dollars and euros. Unless otherwise noted, these translations, which are provided solely for convenience, are made at the exchange rate of 1.00 = $1.1498, the exchange rate as reported by the European Central Bank on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supplement, references to ADSs mean ADSs or ordinary shares represented by such ADSs,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11135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contain “forward-looking statements” within the meaning of applicable federal securities laws, including Section 27A of the Securities Act and Section 21E of the Securities Exchange Act of 1934, as amended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supplement, the accompanying prospectus and the documents incorporated by reference, the words “anticipate,” “believe,” “can,” “could,” “estimate,” “expect,” “intend,” “is designed to,” “may,” “might,” “objective,” “plan,” “potential,” “predict,” “should,” “will,” “would” or the negative of these and similar expressions identify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attaining, maintaining and expanding marketing authorization for our lead drug candidate, obefazimod;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attributes and clinical advantages of obefazimod and our future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preclinical and clinical trials (and those conducted by third parties) and other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availability of data from our clinical trials, including our Phase 2b trial of obefazimod in Crohn’s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advance drug candidates through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meetings and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obtain and maintain regulatory approvals for obefazimod and any of our future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new drug candidates from our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sales and marketing capabilities and transition into a commercial-stage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increased competition as well as innovations by new and existing competitors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strategic relationships or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protect and enforce our intellectual property rights and proprietary technologies and to operate our business without infringing the intellectual property rights and proprietary technology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revenues, capital requirements and the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conditions in our industry, the global economy or global supply chain, including financial and credit market fluctuations, international trade relations, political turmoil, natural catastrophes, warfare (such as the Russia-Ukraine war or the conflict in the Middle East), and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this offering, including our ability to consummate this offering, and our expected use of the net proceeds from such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indicated in this prospectus supplement and the documents incorporated by reference herein, including those under the heading “Risk Factors,” and the other documents filed or to be filed with the SEC by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statements are subject to risks and uncertainties, and actual results may differ materially from those expressed or implied in the forward-looking statements due to various factors, including, but not limited to, those identified under the caption “Risk Factors” in this prospectus supplement, the accompanying prospectus and the documents incorporated by reference. As a result of these factors, we cannot assure you that the forward-looking statements in this prospectus supplement, the accompanying prospectus and the documents incorporated by reference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statements that “we believe” and similar statements reflect our beliefs and opinions on the relevant subject. These statements are based upon information available to us as of the date of this prospectus supplement, the accompanying prospectus and the documents incorporated by reference,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Many important factors, in addition to the factors described in this prospectus supplement and the accompanying prospectus, which may adversely affect such forward-looking statements are set forth in Part I, Item 3.D. of our Annual Report on Form 20-F for the year ended December 31, 2025 (the “Annual Report”), as updated by our subsequent Reports on Form 6-K and the other documents incorporated by reference in this prospectus supplement and the accompanying prospectus. See “Where You Can Find Additional Information” and “Incorporation of Certain Information by Reference.” Many of these risks, uncertainties and assumptions are beyond our control, and may cause our actual results and performance to differ materially from our expectations. Accordingly, you should not place undue reliance on any forward-looking statements contained or incorporated by reference in this prospectus supplement, the accompanying prospectus and the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documents we incorporate by reference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11135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This summary is not complete and may not contain all of the information that is important to you. We encourage you to read this prospectus supplement and the accompanying prospectus, including any information incorporated by reference into this prospectus supplement and the accompanying prospectus, in their entirety.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developing therapeutics that harness the body’s natural regulatory mechanisms to stabilize the immune response in patients with chronic inflammatory diseases. We focus on indications where existing treatments have left patients with significant unmet needs, and where we believe our investigational agents have the potential to be meaningfully differentiated from currently available therapies. Our initial focus is on inflammatory bowel diseases (“IBD”), chronic conditions involving inflammation of the gastrointestinal tract, of which the two most common forms are ulcerative colitis (“UC”) and Crohn’s disease.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Royalty Certificate Repurchase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4, 2026, we entered into a purchase agreement with the royalty certificate holders named therein (the “Holders”) to repurchase all of the royalty certificates issued to them on September 7, 2022. We repurchased the royalty certificates in full by paying an aggregate consideration of $90.0 million, of which $45.0 million was paid in cash and $45.0 million was paid in shares through the issuance of 403,347 ordinary shares, including in the form of ADSs, to the Holders in a private placement that was exempt from registration under the Securities Act (the “Royalty Certificate Repurchase”). On May 7, 2026, we filed a prospectus supplement for the purpose of registering the offer and resale from time to time of up to 403,347 ADSs held by the Holders identified in such prospectus supplement.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Positive Topline Results from Part 2 of Our Phase 3 ABTECT 44-Week Maintenance Trial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29, 2026, we announced positive topline results from Part 2 of our Phase 3 ABTECT 44-week maintenance trial evaluating obefazimod, our potential first-in-class oral miR-124 enhancer, in moderate to severely active UC. Part 2 of the Phase 3 maintenance trial enrolled patients who either did not achieve clinical response following induction treatment or who experienced disease relapse during the re-randomized maintenance trial (Part 1), expanding both the efficacy and safety results in a more refractory patient population than the registrational maintenance cohort. The additional safety results generated through Part 2 expand the Phase 3 maintenance database and provide important context for interpreting the safety findings reported following the maintenance Part 1 readout.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Among patients who failed to achieve clinical response after 8 weeks of induction, continued treatment with obefazimod resulted in clinically meaningful rates of clinical, endoscopic, and combined histologic-endoscopic endpoints at Week 44. Patients treated continuously with 50 mg obefazimod demonstrated the strongest outcomes across all endpoints, including clinical remission (37.2%), clinical response (61.5%), endoscopic improvement (48.0%), Histologic-Endoscopic Mucosal Improvement (“HEMI”) (44.6%), and endoscopic remission (34.5%). These findings suggest that a clinically meaningful proportion of patients who do not initially respond may still derive substantial benefit from longer treatment exposure.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5905"/>
        <w:gridCol w:w="242"/>
        <w:gridCol w:w="645"/>
        <w:gridCol w:w="242"/>
        <w:gridCol w:w="721"/>
      </w:tblGrid>
      <w:tr>
        <w:trPr/>
        <w:tc>
          <w:tcPr>
            <w:tcW w:w="590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755" w:type="dxa"/>
            <w:gridSpan w:val="5"/>
            <w:tcBorders/>
            <w:vAlign w:val="bottom"/>
          </w:tcPr>
          <w:p>
            <w:pPr>
              <w:pStyle w:val="TableContents"/>
              <w:bidi w:val="0"/>
              <w:spacing w:before="0" w:after="283"/>
              <w:jc w:val="left"/>
              <w:rPr>
                <w:b/>
              </w:rPr>
            </w:pPr>
            <w:r>
              <w:rPr>
                <w:b/>
              </w:rPr>
              <w:t>Part 2 Induction Non-Responders – Exploratory Endpoints</w:t>
            </w:r>
          </w:p>
        </w:tc>
      </w:tr>
      <w:tr>
        <w:trPr/>
        <w:tc>
          <w:tcPr>
            <w:tcW w:w="59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45" w:type="dxa"/>
            <w:tcBorders>
              <w:bottom w:val="single" w:sz="8" w:space="0" w:color="000000"/>
            </w:tcBorders>
            <w:tcMar>
              <w:bottom w:w="28" w:type="dxa"/>
            </w:tcMar>
            <w:vAlign w:val="bottom"/>
          </w:tcPr>
          <w:p>
            <w:pPr>
              <w:pStyle w:val="TableContents"/>
              <w:bidi w:val="0"/>
              <w:spacing w:before="0" w:after="283"/>
              <w:jc w:val="center"/>
              <w:rPr/>
            </w:pPr>
            <w:r>
              <w:rPr>
                <w:b/>
              </w:rPr>
              <w:t>25 mg</w:t>
              <w:br/>
            </w:r>
            <w:r>
              <w:rPr/>
              <w:t>(N=81)</w:t>
            </w:r>
          </w:p>
        </w:tc>
        <w:tc>
          <w:tcPr>
            <w:tcW w:w="242" w:type="dxa"/>
            <w:tcBorders/>
            <w:vAlign w:val="bottom"/>
          </w:tcPr>
          <w:p>
            <w:pPr>
              <w:pStyle w:val="TableContents"/>
              <w:bidi w:val="0"/>
              <w:spacing w:before="0" w:after="283"/>
              <w:jc w:val="left"/>
              <w:rPr/>
            </w:pPr>
            <w:r>
              <w:rPr/>
              <w:t>  </w:t>
            </w:r>
          </w:p>
        </w:tc>
        <w:tc>
          <w:tcPr>
            <w:tcW w:w="721" w:type="dxa"/>
            <w:tcBorders>
              <w:bottom w:val="single" w:sz="8" w:space="0" w:color="000000"/>
            </w:tcBorders>
            <w:tcMar>
              <w:bottom w:w="28" w:type="dxa"/>
            </w:tcMar>
            <w:vAlign w:val="bottom"/>
          </w:tcPr>
          <w:p>
            <w:pPr>
              <w:pStyle w:val="TableContents"/>
              <w:bidi w:val="0"/>
              <w:spacing w:before="0" w:after="283"/>
              <w:jc w:val="center"/>
              <w:rPr/>
            </w:pPr>
            <w:r>
              <w:rPr>
                <w:b/>
              </w:rPr>
              <w:t>50 mg</w:t>
              <w:br/>
            </w:r>
            <w:r>
              <w:rPr/>
              <w:t>(N=148)</w:t>
            </w:r>
          </w:p>
        </w:tc>
      </w:tr>
      <w:tr>
        <w:trPr/>
        <w:tc>
          <w:tcPr>
            <w:tcW w:w="59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Clinical Remission</w:t>
            </w:r>
          </w:p>
        </w:tc>
        <w:tc>
          <w:tcPr>
            <w:tcW w:w="242"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center"/>
              <w:rPr/>
            </w:pPr>
            <w:r>
              <w:rPr/>
              <w:t>23.5%</w:t>
            </w:r>
          </w:p>
        </w:tc>
        <w:tc>
          <w:tcPr>
            <w:tcW w:w="242"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center"/>
              <w:rPr/>
            </w:pPr>
            <w:r>
              <w:rPr/>
              <w:t>37.2%</w:t>
            </w:r>
          </w:p>
        </w:tc>
      </w:tr>
      <w:tr>
        <w:trPr/>
        <w:tc>
          <w:tcPr>
            <w:tcW w:w="5905" w:type="dxa"/>
            <w:tcBorders/>
          </w:tcPr>
          <w:p>
            <w:pPr>
              <w:pStyle w:val="TableContents"/>
              <w:bidi w:val="0"/>
              <w:spacing w:before="0" w:after="0"/>
              <w:jc w:val="left"/>
              <w:rPr>
                <w:rFonts w:ascii="Times New Roman" w:hAnsi="Times New Roman"/>
                <w:b/>
                <w:sz w:val="20"/>
              </w:rPr>
            </w:pPr>
            <w:r>
              <w:rPr>
                <w:rFonts w:ascii="Times New Roman" w:hAnsi="Times New Roman"/>
                <w:b/>
                <w:sz w:val="20"/>
              </w:rPr>
              <w:t>Clinical Response</w:t>
            </w:r>
          </w:p>
        </w:tc>
        <w:tc>
          <w:tcPr>
            <w:tcW w:w="242"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50.6%</w:t>
            </w:r>
          </w:p>
        </w:tc>
        <w:tc>
          <w:tcPr>
            <w:tcW w:w="242"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center"/>
              <w:rPr/>
            </w:pPr>
            <w:r>
              <w:rPr/>
              <w:t>61.5%</w:t>
            </w:r>
          </w:p>
        </w:tc>
      </w:tr>
      <w:tr>
        <w:trPr/>
        <w:tc>
          <w:tcPr>
            <w:tcW w:w="59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Endoscopic Improvement</w:t>
            </w:r>
          </w:p>
        </w:tc>
        <w:tc>
          <w:tcPr>
            <w:tcW w:w="242"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center"/>
              <w:rPr/>
            </w:pPr>
            <w:r>
              <w:rPr/>
              <w:t>28.4%</w:t>
            </w:r>
          </w:p>
        </w:tc>
        <w:tc>
          <w:tcPr>
            <w:tcW w:w="242"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center"/>
              <w:rPr/>
            </w:pPr>
            <w:r>
              <w:rPr/>
              <w:t>48.0%</w:t>
            </w:r>
          </w:p>
        </w:tc>
      </w:tr>
      <w:tr>
        <w:trPr/>
        <w:tc>
          <w:tcPr>
            <w:tcW w:w="5905" w:type="dxa"/>
            <w:tcBorders/>
          </w:tcPr>
          <w:p>
            <w:pPr>
              <w:pStyle w:val="TableContents"/>
              <w:bidi w:val="0"/>
              <w:spacing w:before="0" w:after="0"/>
              <w:jc w:val="left"/>
              <w:rPr>
                <w:rFonts w:ascii="Times New Roman" w:hAnsi="Times New Roman"/>
                <w:b/>
                <w:sz w:val="20"/>
              </w:rPr>
            </w:pPr>
            <w:r>
              <w:rPr>
                <w:rFonts w:ascii="Times New Roman" w:hAnsi="Times New Roman"/>
                <w:b/>
                <w:sz w:val="20"/>
              </w:rPr>
              <w:t>HEMI</w:t>
            </w:r>
          </w:p>
        </w:tc>
        <w:tc>
          <w:tcPr>
            <w:tcW w:w="242"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23.5%</w:t>
            </w:r>
          </w:p>
        </w:tc>
        <w:tc>
          <w:tcPr>
            <w:tcW w:w="242"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center"/>
              <w:rPr/>
            </w:pPr>
            <w:r>
              <w:rPr/>
              <w:t>44.6%</w:t>
            </w:r>
          </w:p>
        </w:tc>
      </w:tr>
      <w:tr>
        <w:trPr/>
        <w:tc>
          <w:tcPr>
            <w:tcW w:w="59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Endoscopic Remission</w:t>
            </w:r>
          </w:p>
        </w:tc>
        <w:tc>
          <w:tcPr>
            <w:tcW w:w="242"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center"/>
              <w:rPr/>
            </w:pPr>
            <w:r>
              <w:rPr/>
              <w:t>22.2%</w:t>
            </w:r>
          </w:p>
        </w:tc>
        <w:tc>
          <w:tcPr>
            <w:tcW w:w="242"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center"/>
              <w:rPr/>
            </w:pPr>
            <w:r>
              <w:rPr/>
              <w:t>34.5%</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Among patients who relapsed during Part 1 of the maintenance trial, re-treatment with 50 mg obefazimod resulted in meaningful rates of clinical remission, clinical response, endoscopic improvement, HEMI and endoscopic remission by Week 44. Patients who achieved clinical response with obefazimod during induction and relapsed after being re-randomized to placebo in Part 1 of the maintenance trial were treated with open-label 50 mg obefazimod and achieved clinical response and remission rates of 69.7% and 45.0%, respectively, while patients who relapsed on 25 mg and escalated to 50 mg achieved clinical response and clinical remission rates of 66.7% and 45.5%, respectively. These findings demonstrate the potential for obefazimod to re-establish disease control following relapse and support a flexible maintenance treatment strategy.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2910"/>
        <w:gridCol w:w="691"/>
        <w:gridCol w:w="1825"/>
        <w:gridCol w:w="691"/>
        <w:gridCol w:w="1638"/>
      </w:tblGrid>
      <w:tr>
        <w:trPr/>
        <w:tc>
          <w:tcPr>
            <w:tcW w:w="2910" w:type="dxa"/>
            <w:tcBorders/>
            <w:vAlign w:val="center"/>
          </w:tcPr>
          <w:p>
            <w:pPr>
              <w:pStyle w:val="TableContents"/>
              <w:bidi w:val="0"/>
              <w:spacing w:before="0" w:after="283"/>
              <w:jc w:val="left"/>
              <w:rPr>
                <w:sz w:val="4"/>
                <w:szCs w:val="4"/>
              </w:rPr>
            </w:pPr>
            <w:r>
              <w:rPr>
                <w:sz w:val="4"/>
                <w:szCs w:val="4"/>
              </w:rPr>
            </w:r>
          </w:p>
        </w:tc>
        <w:tc>
          <w:tcPr>
            <w:tcW w:w="691" w:type="dxa"/>
            <w:tcBorders/>
            <w:vAlign w:val="bottom"/>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691" w:type="dxa"/>
            <w:tcBorders/>
            <w:vAlign w:val="bottom"/>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7755" w:type="dxa"/>
            <w:gridSpan w:val="5"/>
            <w:tcBorders/>
            <w:vAlign w:val="bottom"/>
          </w:tcPr>
          <w:p>
            <w:pPr>
              <w:pStyle w:val="TableContents"/>
              <w:bidi w:val="0"/>
              <w:spacing w:before="0" w:after="283"/>
              <w:jc w:val="left"/>
              <w:rPr>
                <w:b/>
              </w:rPr>
            </w:pPr>
            <w:r>
              <w:rPr>
                <w:b/>
              </w:rPr>
              <w:t>Part 1 Relapsers – Exploratory End+points</w:t>
            </w:r>
          </w:p>
        </w:tc>
      </w:tr>
      <w:tr>
        <w:trPr/>
        <w:tc>
          <w:tcPr>
            <w:tcW w:w="291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825" w:type="dxa"/>
            <w:tcBorders>
              <w:bottom w:val="single" w:sz="8" w:space="0" w:color="000000"/>
            </w:tcBorders>
            <w:tcMar>
              <w:bottom w:w="28" w:type="dxa"/>
            </w:tcMar>
            <w:vAlign w:val="bottom"/>
          </w:tcPr>
          <w:p>
            <w:pPr>
              <w:pStyle w:val="TableContents"/>
              <w:bidi w:val="0"/>
              <w:spacing w:before="0" w:after="283"/>
              <w:jc w:val="center"/>
              <w:rPr/>
            </w:pPr>
            <w:r>
              <w:rPr>
                <w:b/>
              </w:rPr>
              <w:t>Placebo </w:t>
            </w:r>
            <w:r>
              <w:rPr>
                <w:rFonts w:ascii="WINGDINGS" w:hAnsi="WINGDINGS"/>
              </w:rPr>
              <w:t>è</w:t>
            </w:r>
            <w:r>
              <w:rPr/>
              <w:t> </w:t>
            </w:r>
            <w:r>
              <w:rPr>
                <w:b/>
              </w:rPr>
              <w:t>50 mg</w:t>
              <w:br/>
            </w:r>
            <w:r>
              <w:rPr/>
              <w:t>(N=109)</w:t>
            </w:r>
          </w:p>
        </w:tc>
        <w:tc>
          <w:tcPr>
            <w:tcW w:w="691" w:type="dxa"/>
            <w:tcBorders/>
            <w:vAlign w:val="bottom"/>
          </w:tcPr>
          <w:p>
            <w:pPr>
              <w:pStyle w:val="TableContents"/>
              <w:bidi w:val="0"/>
              <w:spacing w:before="0" w:after="283"/>
              <w:jc w:val="left"/>
              <w:rPr/>
            </w:pPr>
            <w:r>
              <w:rPr/>
              <w:t>  </w:t>
            </w:r>
          </w:p>
        </w:tc>
        <w:tc>
          <w:tcPr>
            <w:tcW w:w="1638" w:type="dxa"/>
            <w:tcBorders>
              <w:bottom w:val="single" w:sz="8" w:space="0" w:color="000000"/>
            </w:tcBorders>
            <w:tcMar>
              <w:bottom w:w="28" w:type="dxa"/>
            </w:tcMar>
            <w:vAlign w:val="bottom"/>
          </w:tcPr>
          <w:p>
            <w:pPr>
              <w:pStyle w:val="TableContents"/>
              <w:bidi w:val="0"/>
              <w:spacing w:before="0" w:after="283"/>
              <w:jc w:val="center"/>
              <w:rPr/>
            </w:pPr>
            <w:r>
              <w:rPr>
                <w:b/>
              </w:rPr>
              <w:t>25 mg </w:t>
            </w:r>
            <w:r>
              <w:rPr>
                <w:rFonts w:ascii="WINGDINGS" w:hAnsi="WINGDINGS"/>
              </w:rPr>
              <w:t>è</w:t>
            </w:r>
            <w:r>
              <w:rPr/>
              <w:t> </w:t>
            </w:r>
            <w:r>
              <w:rPr>
                <w:b/>
              </w:rPr>
              <w:t>50 mg</w:t>
              <w:br/>
            </w:r>
            <w:r>
              <w:rPr/>
              <w:t>(N=33)</w:t>
            </w:r>
          </w:p>
        </w:tc>
      </w:tr>
      <w:tr>
        <w:trPr/>
        <w:tc>
          <w:tcPr>
            <w:tcW w:w="291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825" w:type="dxa"/>
            <w:tcBorders/>
            <w:vAlign w:val="bottom"/>
          </w:tcPr>
          <w:p>
            <w:pPr>
              <w:pStyle w:val="TableContents"/>
              <w:bidi w:val="0"/>
              <w:spacing w:before="0" w:after="283"/>
              <w:jc w:val="center"/>
              <w:rPr>
                <w:b/>
              </w:rPr>
            </w:pPr>
            <w:r>
              <w:rPr>
                <w:b/>
              </w:rPr>
              <w:t>50 mg</w:t>
            </w:r>
          </w:p>
        </w:tc>
        <w:tc>
          <w:tcPr>
            <w:tcW w:w="691"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center"/>
              <w:rPr>
                <w:b/>
              </w:rPr>
            </w:pPr>
            <w:r>
              <w:rPr>
                <w:b/>
              </w:rPr>
              <w:t>50 mg</w:t>
            </w:r>
          </w:p>
        </w:tc>
      </w:tr>
      <w:tr>
        <w:trPr/>
        <w:tc>
          <w:tcPr>
            <w:tcW w:w="29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Clinical Remission</w:t>
            </w:r>
          </w:p>
        </w:tc>
        <w:tc>
          <w:tcPr>
            <w:tcW w:w="691" w:type="dxa"/>
            <w:tcBorders/>
            <w:shd w:fill="CCEEFF" w:val="clear"/>
            <w:vAlign w:val="bottom"/>
          </w:tcPr>
          <w:p>
            <w:pPr>
              <w:pStyle w:val="TableContents"/>
              <w:bidi w:val="0"/>
              <w:spacing w:before="0" w:after="283"/>
              <w:jc w:val="left"/>
              <w:rPr/>
            </w:pPr>
            <w:r>
              <w:rPr/>
              <w:t>  </w:t>
            </w:r>
          </w:p>
        </w:tc>
        <w:tc>
          <w:tcPr>
            <w:tcW w:w="1825" w:type="dxa"/>
            <w:tcBorders/>
            <w:shd w:fill="CCEEFF" w:val="clear"/>
            <w:vAlign w:val="bottom"/>
          </w:tcPr>
          <w:p>
            <w:pPr>
              <w:pStyle w:val="TableContents"/>
              <w:bidi w:val="0"/>
              <w:spacing w:before="0" w:after="283"/>
              <w:jc w:val="center"/>
              <w:rPr/>
            </w:pPr>
            <w:r>
              <w:rPr/>
              <w:t>45.0%</w:t>
            </w:r>
          </w:p>
        </w:tc>
        <w:tc>
          <w:tcPr>
            <w:tcW w:w="691"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center"/>
              <w:rPr/>
            </w:pPr>
            <w:r>
              <w:rPr/>
              <w:t>45.5%</w:t>
            </w:r>
          </w:p>
        </w:tc>
      </w:tr>
      <w:tr>
        <w:trPr/>
        <w:tc>
          <w:tcPr>
            <w:tcW w:w="2910" w:type="dxa"/>
            <w:tcBorders/>
          </w:tcPr>
          <w:p>
            <w:pPr>
              <w:pStyle w:val="TableContents"/>
              <w:bidi w:val="0"/>
              <w:spacing w:before="0" w:after="0"/>
              <w:jc w:val="left"/>
              <w:rPr>
                <w:rFonts w:ascii="Times New Roman" w:hAnsi="Times New Roman"/>
                <w:b/>
                <w:sz w:val="20"/>
              </w:rPr>
            </w:pPr>
            <w:r>
              <w:rPr>
                <w:rFonts w:ascii="Times New Roman" w:hAnsi="Times New Roman"/>
                <w:b/>
                <w:sz w:val="20"/>
              </w:rPr>
              <w:t>Clinical Response</w:t>
            </w:r>
          </w:p>
        </w:tc>
        <w:tc>
          <w:tcPr>
            <w:tcW w:w="691" w:type="dxa"/>
            <w:tcBorders/>
            <w:vAlign w:val="bottom"/>
          </w:tcPr>
          <w:p>
            <w:pPr>
              <w:pStyle w:val="TableContents"/>
              <w:bidi w:val="0"/>
              <w:spacing w:before="0" w:after="283"/>
              <w:jc w:val="left"/>
              <w:rPr/>
            </w:pPr>
            <w:r>
              <w:rPr/>
              <w:t>  </w:t>
            </w:r>
          </w:p>
        </w:tc>
        <w:tc>
          <w:tcPr>
            <w:tcW w:w="1825" w:type="dxa"/>
            <w:tcBorders/>
            <w:vAlign w:val="bottom"/>
          </w:tcPr>
          <w:p>
            <w:pPr>
              <w:pStyle w:val="TableContents"/>
              <w:bidi w:val="0"/>
              <w:spacing w:before="0" w:after="283"/>
              <w:jc w:val="center"/>
              <w:rPr/>
            </w:pPr>
            <w:r>
              <w:rPr/>
              <w:t>69.7%</w:t>
            </w:r>
          </w:p>
        </w:tc>
        <w:tc>
          <w:tcPr>
            <w:tcW w:w="691"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center"/>
              <w:rPr/>
            </w:pPr>
            <w:r>
              <w:rPr/>
              <w:t>66.7%</w:t>
            </w:r>
          </w:p>
        </w:tc>
      </w:tr>
      <w:tr>
        <w:trPr/>
        <w:tc>
          <w:tcPr>
            <w:tcW w:w="29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Endoscopic Improvement</w:t>
            </w:r>
          </w:p>
        </w:tc>
        <w:tc>
          <w:tcPr>
            <w:tcW w:w="691" w:type="dxa"/>
            <w:tcBorders/>
            <w:shd w:fill="CCEEFF" w:val="clear"/>
            <w:vAlign w:val="bottom"/>
          </w:tcPr>
          <w:p>
            <w:pPr>
              <w:pStyle w:val="TableContents"/>
              <w:bidi w:val="0"/>
              <w:spacing w:before="0" w:after="283"/>
              <w:jc w:val="left"/>
              <w:rPr/>
            </w:pPr>
            <w:r>
              <w:rPr/>
              <w:t>  </w:t>
            </w:r>
          </w:p>
        </w:tc>
        <w:tc>
          <w:tcPr>
            <w:tcW w:w="1825" w:type="dxa"/>
            <w:tcBorders/>
            <w:shd w:fill="CCEEFF" w:val="clear"/>
            <w:vAlign w:val="bottom"/>
          </w:tcPr>
          <w:p>
            <w:pPr>
              <w:pStyle w:val="TableContents"/>
              <w:bidi w:val="0"/>
              <w:spacing w:before="0" w:after="283"/>
              <w:jc w:val="center"/>
              <w:rPr/>
            </w:pPr>
            <w:r>
              <w:rPr/>
              <w:t>54.1%</w:t>
            </w:r>
          </w:p>
        </w:tc>
        <w:tc>
          <w:tcPr>
            <w:tcW w:w="691"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center"/>
              <w:rPr/>
            </w:pPr>
            <w:r>
              <w:rPr/>
              <w:t>45.5%</w:t>
            </w:r>
          </w:p>
        </w:tc>
      </w:tr>
      <w:tr>
        <w:trPr/>
        <w:tc>
          <w:tcPr>
            <w:tcW w:w="2910" w:type="dxa"/>
            <w:tcBorders/>
          </w:tcPr>
          <w:p>
            <w:pPr>
              <w:pStyle w:val="TableContents"/>
              <w:bidi w:val="0"/>
              <w:spacing w:before="0" w:after="0"/>
              <w:jc w:val="left"/>
              <w:rPr>
                <w:rFonts w:ascii="Times New Roman" w:hAnsi="Times New Roman"/>
                <w:b/>
                <w:sz w:val="20"/>
              </w:rPr>
            </w:pPr>
            <w:r>
              <w:rPr>
                <w:rFonts w:ascii="Times New Roman" w:hAnsi="Times New Roman"/>
                <w:b/>
                <w:sz w:val="20"/>
              </w:rPr>
              <w:t>HEMI</w:t>
            </w:r>
          </w:p>
        </w:tc>
        <w:tc>
          <w:tcPr>
            <w:tcW w:w="691" w:type="dxa"/>
            <w:tcBorders/>
            <w:vAlign w:val="bottom"/>
          </w:tcPr>
          <w:p>
            <w:pPr>
              <w:pStyle w:val="TableContents"/>
              <w:bidi w:val="0"/>
              <w:spacing w:before="0" w:after="283"/>
              <w:jc w:val="left"/>
              <w:rPr/>
            </w:pPr>
            <w:r>
              <w:rPr/>
              <w:t>  </w:t>
            </w:r>
          </w:p>
        </w:tc>
        <w:tc>
          <w:tcPr>
            <w:tcW w:w="1825" w:type="dxa"/>
            <w:tcBorders/>
            <w:vAlign w:val="bottom"/>
          </w:tcPr>
          <w:p>
            <w:pPr>
              <w:pStyle w:val="TableContents"/>
              <w:bidi w:val="0"/>
              <w:spacing w:before="0" w:after="283"/>
              <w:jc w:val="center"/>
              <w:rPr/>
            </w:pPr>
            <w:r>
              <w:rPr/>
              <w:t>47.7%</w:t>
            </w:r>
          </w:p>
        </w:tc>
        <w:tc>
          <w:tcPr>
            <w:tcW w:w="691"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center"/>
              <w:rPr/>
            </w:pPr>
            <w:r>
              <w:rPr/>
              <w:t>39.4%</w:t>
            </w:r>
          </w:p>
        </w:tc>
      </w:tr>
      <w:tr>
        <w:trPr/>
        <w:tc>
          <w:tcPr>
            <w:tcW w:w="29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Endoscopic Remission</w:t>
            </w:r>
          </w:p>
        </w:tc>
        <w:tc>
          <w:tcPr>
            <w:tcW w:w="691" w:type="dxa"/>
            <w:tcBorders/>
            <w:shd w:fill="CCEEFF" w:val="clear"/>
            <w:vAlign w:val="bottom"/>
          </w:tcPr>
          <w:p>
            <w:pPr>
              <w:pStyle w:val="TableContents"/>
              <w:bidi w:val="0"/>
              <w:spacing w:before="0" w:after="283"/>
              <w:jc w:val="left"/>
              <w:rPr/>
            </w:pPr>
            <w:r>
              <w:rPr/>
              <w:t>  </w:t>
            </w:r>
          </w:p>
        </w:tc>
        <w:tc>
          <w:tcPr>
            <w:tcW w:w="1825" w:type="dxa"/>
            <w:tcBorders/>
            <w:shd w:fill="CCEEFF" w:val="clear"/>
            <w:vAlign w:val="bottom"/>
          </w:tcPr>
          <w:p>
            <w:pPr>
              <w:pStyle w:val="TableContents"/>
              <w:bidi w:val="0"/>
              <w:spacing w:before="0" w:after="283"/>
              <w:jc w:val="center"/>
              <w:rPr/>
            </w:pPr>
            <w:r>
              <w:rPr/>
              <w:t>32.1%</w:t>
            </w:r>
          </w:p>
        </w:tc>
        <w:tc>
          <w:tcPr>
            <w:tcW w:w="691"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center"/>
              <w:rPr/>
            </w:pPr>
            <w:r>
              <w:rPr/>
              <w:t>24.2%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Part 2, four total non-melanoma skin cancers (“NMSC”) events were reported, two in the 25 mg arm and two in the 50 mg arm which all occurred in patients with established NMSC risk factors including advanced age, thiopurine use, prior skin cancer history and failure of multiple prior advanced therapies. There were also two non-NMSC malignancies reported in the 50 mg arm, both deemed unrelated to obefazimod by the study investigators. The results are summarized below.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703"/>
        <w:gridCol w:w="319"/>
        <w:gridCol w:w="1931"/>
        <w:gridCol w:w="319"/>
        <w:gridCol w:w="1933"/>
      </w:tblGrid>
      <w:tr>
        <w:trPr/>
        <w:tc>
          <w:tcPr>
            <w:tcW w:w="5703"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57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Summary Safety Events, n (%)</w:t>
            </w:r>
          </w:p>
        </w:tc>
        <w:tc>
          <w:tcPr>
            <w:tcW w:w="319" w:type="dxa"/>
            <w:tcBorders/>
            <w:vAlign w:val="bottom"/>
          </w:tcPr>
          <w:p>
            <w:pPr>
              <w:pStyle w:val="TableContents"/>
              <w:bidi w:val="0"/>
              <w:spacing w:before="0" w:after="283"/>
              <w:jc w:val="left"/>
              <w:rPr/>
            </w:pPr>
            <w:r>
              <w:rPr/>
              <w:t>  </w:t>
            </w:r>
          </w:p>
        </w:tc>
        <w:tc>
          <w:tcPr>
            <w:tcW w:w="1931" w:type="dxa"/>
            <w:tcBorders>
              <w:bottom w:val="single" w:sz="8" w:space="0" w:color="000000"/>
            </w:tcBorders>
            <w:tcMar>
              <w:bottom w:w="28" w:type="dxa"/>
            </w:tcMar>
            <w:vAlign w:val="bottom"/>
          </w:tcPr>
          <w:p>
            <w:pPr>
              <w:pStyle w:val="TableContents"/>
              <w:bidi w:val="0"/>
              <w:spacing w:before="0" w:after="283"/>
              <w:jc w:val="center"/>
              <w:rPr/>
            </w:pPr>
            <w:r>
              <w:rPr>
                <w:b/>
              </w:rPr>
              <w:t>Obefazimod 25 mg</w:t>
            </w:r>
            <w:r>
              <w:rPr/>
              <w:br/>
            </w:r>
            <w:r>
              <w:rPr>
                <w:b/>
              </w:rPr>
              <w:t>N=186</w:t>
            </w:r>
          </w:p>
        </w:tc>
        <w:tc>
          <w:tcPr>
            <w:tcW w:w="319" w:type="dxa"/>
            <w:tcBorders/>
            <w:vAlign w:val="bottom"/>
          </w:tcPr>
          <w:p>
            <w:pPr>
              <w:pStyle w:val="TableContents"/>
              <w:bidi w:val="0"/>
              <w:spacing w:before="0" w:after="283"/>
              <w:jc w:val="left"/>
              <w:rPr/>
            </w:pPr>
            <w:r>
              <w:rPr/>
              <w:t>  </w:t>
            </w:r>
          </w:p>
        </w:tc>
        <w:tc>
          <w:tcPr>
            <w:tcW w:w="1933" w:type="dxa"/>
            <w:tcBorders>
              <w:bottom w:val="single" w:sz="8" w:space="0" w:color="000000"/>
            </w:tcBorders>
            <w:tcMar>
              <w:bottom w:w="28" w:type="dxa"/>
            </w:tcMar>
            <w:vAlign w:val="bottom"/>
          </w:tcPr>
          <w:p>
            <w:pPr>
              <w:pStyle w:val="TableContents"/>
              <w:bidi w:val="0"/>
              <w:spacing w:before="0" w:after="283"/>
              <w:jc w:val="center"/>
              <w:rPr/>
            </w:pPr>
            <w:r>
              <w:rPr>
                <w:b/>
              </w:rPr>
              <w:t>Obefazimod 50 mg</w:t>
            </w:r>
            <w:r>
              <w:rPr/>
              <w:br/>
            </w:r>
            <w:r>
              <w:rPr>
                <w:b/>
              </w:rPr>
              <w:t>N=447*</w:t>
            </w:r>
          </w:p>
        </w:tc>
      </w:tr>
      <w:tr>
        <w:trPr/>
        <w:tc>
          <w:tcPr>
            <w:tcW w:w="57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Any treatment-emergent adverse event (“TEAE”)</w:t>
            </w:r>
          </w:p>
        </w:tc>
        <w:tc>
          <w:tcPr>
            <w:tcW w:w="31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pPr>
            <w:r>
              <w:rPr/>
              <w:t>132 (71.0%)</w:t>
            </w:r>
          </w:p>
        </w:tc>
        <w:tc>
          <w:tcPr>
            <w:tcW w:w="319" w:type="dxa"/>
            <w:tcBorders/>
            <w:shd w:fill="CCEEFF" w:val="clear"/>
            <w:vAlign w:val="bottom"/>
          </w:tcPr>
          <w:p>
            <w:pPr>
              <w:pStyle w:val="TableContents"/>
              <w:bidi w:val="0"/>
              <w:spacing w:before="0" w:after="283"/>
              <w:jc w:val="left"/>
              <w:rPr/>
            </w:pPr>
            <w:r>
              <w:rPr/>
              <w:t>  </w:t>
            </w:r>
          </w:p>
        </w:tc>
        <w:tc>
          <w:tcPr>
            <w:tcW w:w="1933" w:type="dxa"/>
            <w:tcBorders/>
            <w:shd w:fill="CCEEFF" w:val="clear"/>
            <w:vAlign w:val="bottom"/>
          </w:tcPr>
          <w:p>
            <w:pPr>
              <w:pStyle w:val="TableContents"/>
              <w:bidi w:val="0"/>
              <w:spacing w:before="0" w:after="283"/>
              <w:jc w:val="center"/>
              <w:rPr/>
            </w:pPr>
            <w:r>
              <w:rPr/>
              <w:t>307 (68.7%)</w:t>
            </w:r>
          </w:p>
        </w:tc>
      </w:tr>
      <w:tr>
        <w:trPr/>
        <w:tc>
          <w:tcPr>
            <w:tcW w:w="57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TEAE leading to study drug discontinuation</w:t>
            </w:r>
          </w:p>
        </w:tc>
        <w:tc>
          <w:tcPr>
            <w:tcW w:w="31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pPr>
            <w:r>
              <w:rPr/>
              <w:t>21 (11.3%)</w:t>
            </w:r>
          </w:p>
        </w:tc>
        <w:tc>
          <w:tcPr>
            <w:tcW w:w="319" w:type="dxa"/>
            <w:tcBorders/>
            <w:vAlign w:val="bottom"/>
          </w:tcPr>
          <w:p>
            <w:pPr>
              <w:pStyle w:val="TableContents"/>
              <w:bidi w:val="0"/>
              <w:spacing w:before="0" w:after="283"/>
              <w:jc w:val="left"/>
              <w:rPr/>
            </w:pPr>
            <w:r>
              <w:rPr/>
              <w:t>  </w:t>
            </w:r>
          </w:p>
        </w:tc>
        <w:tc>
          <w:tcPr>
            <w:tcW w:w="1933" w:type="dxa"/>
            <w:tcBorders/>
            <w:vAlign w:val="bottom"/>
          </w:tcPr>
          <w:p>
            <w:pPr>
              <w:pStyle w:val="TableContents"/>
              <w:bidi w:val="0"/>
              <w:spacing w:before="0" w:after="283"/>
              <w:jc w:val="center"/>
              <w:rPr/>
            </w:pPr>
            <w:r>
              <w:rPr/>
              <w:t>27 (6.0%)</w:t>
            </w:r>
          </w:p>
        </w:tc>
      </w:tr>
      <w:tr>
        <w:trPr/>
        <w:tc>
          <w:tcPr>
            <w:tcW w:w="57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Serious TEAE</w:t>
            </w:r>
          </w:p>
        </w:tc>
        <w:tc>
          <w:tcPr>
            <w:tcW w:w="31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pPr>
            <w:r>
              <w:rPr/>
              <w:t>16 (8.6%)</w:t>
            </w:r>
          </w:p>
        </w:tc>
        <w:tc>
          <w:tcPr>
            <w:tcW w:w="319" w:type="dxa"/>
            <w:tcBorders/>
            <w:shd w:fill="CCEEFF" w:val="clear"/>
            <w:vAlign w:val="bottom"/>
          </w:tcPr>
          <w:p>
            <w:pPr>
              <w:pStyle w:val="TableContents"/>
              <w:bidi w:val="0"/>
              <w:spacing w:before="0" w:after="283"/>
              <w:jc w:val="left"/>
              <w:rPr/>
            </w:pPr>
            <w:r>
              <w:rPr/>
              <w:t>  </w:t>
            </w:r>
          </w:p>
        </w:tc>
        <w:tc>
          <w:tcPr>
            <w:tcW w:w="1933" w:type="dxa"/>
            <w:tcBorders/>
            <w:shd w:fill="CCEEFF" w:val="clear"/>
            <w:vAlign w:val="bottom"/>
          </w:tcPr>
          <w:p>
            <w:pPr>
              <w:pStyle w:val="TableContents"/>
              <w:bidi w:val="0"/>
              <w:spacing w:before="0" w:after="283"/>
              <w:jc w:val="center"/>
              <w:rPr/>
            </w:pPr>
            <w:r>
              <w:rPr/>
              <w:t>23 (5.1%)</w:t>
            </w:r>
          </w:p>
        </w:tc>
      </w:tr>
      <w:tr>
        <w:trPr/>
        <w:tc>
          <w:tcPr>
            <w:tcW w:w="57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Death (Non-Treatment Related)(1)</w:t>
            </w:r>
          </w:p>
        </w:tc>
        <w:tc>
          <w:tcPr>
            <w:tcW w:w="31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pPr>
            <w:r>
              <w:rPr/>
              <w:t>1 (0.5%)</w:t>
            </w:r>
          </w:p>
        </w:tc>
        <w:tc>
          <w:tcPr>
            <w:tcW w:w="319" w:type="dxa"/>
            <w:tcBorders/>
            <w:vAlign w:val="bottom"/>
          </w:tcPr>
          <w:p>
            <w:pPr>
              <w:pStyle w:val="TableContents"/>
              <w:bidi w:val="0"/>
              <w:spacing w:before="0" w:after="283"/>
              <w:jc w:val="left"/>
              <w:rPr/>
            </w:pPr>
            <w:r>
              <w:rPr/>
              <w:t>  </w:t>
            </w:r>
          </w:p>
        </w:tc>
        <w:tc>
          <w:tcPr>
            <w:tcW w:w="1933" w:type="dxa"/>
            <w:tcBorders/>
            <w:vAlign w:val="bottom"/>
          </w:tcPr>
          <w:p>
            <w:pPr>
              <w:pStyle w:val="TableContents"/>
              <w:bidi w:val="0"/>
              <w:spacing w:before="0" w:after="283"/>
              <w:jc w:val="center"/>
              <w:rPr/>
            </w:pPr>
            <w:r>
              <w:rPr/>
              <w:t>0</w:t>
            </w:r>
          </w:p>
        </w:tc>
      </w:tr>
      <w:tr>
        <w:trPr/>
        <w:tc>
          <w:tcPr>
            <w:tcW w:w="57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Pregnancy(2)</w:t>
            </w:r>
          </w:p>
        </w:tc>
        <w:tc>
          <w:tcPr>
            <w:tcW w:w="31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pPr>
            <w:r>
              <w:rPr/>
              <w:t>1 (0.5%)</w:t>
            </w:r>
          </w:p>
        </w:tc>
        <w:tc>
          <w:tcPr>
            <w:tcW w:w="319" w:type="dxa"/>
            <w:tcBorders/>
            <w:shd w:fill="CCEEFF" w:val="clear"/>
            <w:vAlign w:val="bottom"/>
          </w:tcPr>
          <w:p>
            <w:pPr>
              <w:pStyle w:val="TableContents"/>
              <w:bidi w:val="0"/>
              <w:spacing w:before="0" w:after="283"/>
              <w:jc w:val="left"/>
              <w:rPr/>
            </w:pPr>
            <w:r>
              <w:rPr/>
              <w:t>  </w:t>
            </w:r>
          </w:p>
        </w:tc>
        <w:tc>
          <w:tcPr>
            <w:tcW w:w="1933" w:type="dxa"/>
            <w:tcBorders/>
            <w:shd w:fill="CCEEFF" w:val="clear"/>
            <w:vAlign w:val="bottom"/>
          </w:tcPr>
          <w:p>
            <w:pPr>
              <w:pStyle w:val="TableContents"/>
              <w:bidi w:val="0"/>
              <w:spacing w:before="0" w:after="283"/>
              <w:jc w:val="center"/>
              <w:rPr/>
            </w:pPr>
            <w:r>
              <w:rPr/>
              <w:t>1 (0.2%)</w:t>
            </w:r>
          </w:p>
        </w:tc>
      </w:tr>
      <w:tr>
        <w:trPr/>
        <w:tc>
          <w:tcPr>
            <w:tcW w:w="57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Serious/severe (Grade ≥3) infections and opportunistic infections(3)</w:t>
            </w:r>
          </w:p>
        </w:tc>
        <w:tc>
          <w:tcPr>
            <w:tcW w:w="31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pPr>
            <w:r>
              <w:rPr/>
              <w:t>5 (2.7%)</w:t>
            </w:r>
          </w:p>
        </w:tc>
        <w:tc>
          <w:tcPr>
            <w:tcW w:w="319" w:type="dxa"/>
            <w:tcBorders/>
            <w:vAlign w:val="bottom"/>
          </w:tcPr>
          <w:p>
            <w:pPr>
              <w:pStyle w:val="TableContents"/>
              <w:bidi w:val="0"/>
              <w:spacing w:before="0" w:after="283"/>
              <w:jc w:val="left"/>
              <w:rPr/>
            </w:pPr>
            <w:r>
              <w:rPr/>
              <w:t>  </w:t>
            </w:r>
          </w:p>
        </w:tc>
        <w:tc>
          <w:tcPr>
            <w:tcW w:w="1933" w:type="dxa"/>
            <w:tcBorders/>
            <w:vAlign w:val="bottom"/>
          </w:tcPr>
          <w:p>
            <w:pPr>
              <w:pStyle w:val="TableContents"/>
              <w:bidi w:val="0"/>
              <w:spacing w:before="0" w:after="283"/>
              <w:jc w:val="center"/>
              <w:rPr/>
            </w:pPr>
            <w:r>
              <w:rPr/>
              <w:t>5 (1.1%)</w:t>
            </w:r>
          </w:p>
        </w:tc>
      </w:tr>
      <w:tr>
        <w:trPr/>
        <w:tc>
          <w:tcPr>
            <w:tcW w:w="57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Malignancies (excluding NMSC)(4)</w:t>
            </w:r>
          </w:p>
        </w:tc>
        <w:tc>
          <w:tcPr>
            <w:tcW w:w="31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pPr>
            <w:r>
              <w:rPr/>
              <w:t>0</w:t>
            </w:r>
          </w:p>
        </w:tc>
        <w:tc>
          <w:tcPr>
            <w:tcW w:w="319" w:type="dxa"/>
            <w:tcBorders/>
            <w:shd w:fill="CCEEFF" w:val="clear"/>
            <w:vAlign w:val="bottom"/>
          </w:tcPr>
          <w:p>
            <w:pPr>
              <w:pStyle w:val="TableContents"/>
              <w:bidi w:val="0"/>
              <w:spacing w:before="0" w:after="283"/>
              <w:jc w:val="left"/>
              <w:rPr/>
            </w:pPr>
            <w:r>
              <w:rPr/>
              <w:t>  </w:t>
            </w:r>
          </w:p>
        </w:tc>
        <w:tc>
          <w:tcPr>
            <w:tcW w:w="1933" w:type="dxa"/>
            <w:tcBorders/>
            <w:shd w:fill="CCEEFF" w:val="clear"/>
            <w:vAlign w:val="bottom"/>
          </w:tcPr>
          <w:p>
            <w:pPr>
              <w:pStyle w:val="TableContents"/>
              <w:bidi w:val="0"/>
              <w:spacing w:before="0" w:after="283"/>
              <w:jc w:val="center"/>
              <w:rPr/>
            </w:pPr>
            <w:r>
              <w:rPr/>
              <w:t>2 (0.4%)</w:t>
            </w:r>
          </w:p>
        </w:tc>
      </w:tr>
      <w:tr>
        <w:trPr/>
        <w:tc>
          <w:tcPr>
            <w:tcW w:w="57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NMSC(5)</w:t>
            </w:r>
          </w:p>
        </w:tc>
        <w:tc>
          <w:tcPr>
            <w:tcW w:w="31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pPr>
            <w:r>
              <w:rPr/>
              <w:t>2 (1.1%)</w:t>
            </w:r>
          </w:p>
        </w:tc>
        <w:tc>
          <w:tcPr>
            <w:tcW w:w="319" w:type="dxa"/>
            <w:tcBorders/>
            <w:vAlign w:val="bottom"/>
          </w:tcPr>
          <w:p>
            <w:pPr>
              <w:pStyle w:val="TableContents"/>
              <w:bidi w:val="0"/>
              <w:spacing w:before="0" w:after="283"/>
              <w:jc w:val="left"/>
              <w:rPr/>
            </w:pPr>
            <w:r>
              <w:rPr/>
              <w:t>  </w:t>
            </w:r>
          </w:p>
        </w:tc>
        <w:tc>
          <w:tcPr>
            <w:tcW w:w="1933" w:type="dxa"/>
            <w:tcBorders/>
            <w:vAlign w:val="bottom"/>
          </w:tcPr>
          <w:p>
            <w:pPr>
              <w:pStyle w:val="TableContents"/>
              <w:bidi w:val="0"/>
              <w:spacing w:before="0" w:after="283"/>
              <w:jc w:val="center"/>
              <w:rPr/>
            </w:pPr>
            <w:r>
              <w:rPr/>
              <w:t>2 (0.4%)</w:t>
            </w:r>
          </w:p>
        </w:tc>
      </w:tr>
      <w:tr>
        <w:trPr/>
        <w:tc>
          <w:tcPr>
            <w:tcW w:w="57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Acute pancreatitis</w:t>
            </w:r>
          </w:p>
        </w:tc>
        <w:tc>
          <w:tcPr>
            <w:tcW w:w="31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pPr>
            <w:r>
              <w:rPr/>
              <w:t>1 (0.5%)</w:t>
            </w:r>
          </w:p>
        </w:tc>
        <w:tc>
          <w:tcPr>
            <w:tcW w:w="319" w:type="dxa"/>
            <w:tcBorders/>
            <w:shd w:fill="CCEEFF" w:val="clear"/>
            <w:vAlign w:val="bottom"/>
          </w:tcPr>
          <w:p>
            <w:pPr>
              <w:pStyle w:val="TableContents"/>
              <w:bidi w:val="0"/>
              <w:spacing w:before="0" w:after="283"/>
              <w:jc w:val="left"/>
              <w:rPr/>
            </w:pPr>
            <w:r>
              <w:rPr/>
              <w:t>  </w:t>
            </w:r>
          </w:p>
        </w:tc>
        <w:tc>
          <w:tcPr>
            <w:tcW w:w="1933" w:type="dxa"/>
            <w:tcBorders/>
            <w:shd w:fill="CCEEFF" w:val="clear"/>
            <w:vAlign w:val="bottom"/>
          </w:tcPr>
          <w:p>
            <w:pPr>
              <w:pStyle w:val="TableContents"/>
              <w:bidi w:val="0"/>
              <w:spacing w:before="0" w:after="283"/>
              <w:jc w:val="center"/>
              <w:rPr/>
            </w:pPr>
            <w:r>
              <w:rPr/>
              <w:t>1 (0.2%)</w:t>
            </w:r>
          </w:p>
        </w:tc>
      </w:tr>
      <w:tr>
        <w:trPr/>
        <w:tc>
          <w:tcPr>
            <w:tcW w:w="57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Cardiac abnormalities suggestive of cardiac fibrosis</w:t>
            </w:r>
          </w:p>
        </w:tc>
        <w:tc>
          <w:tcPr>
            <w:tcW w:w="31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pPr>
            <w:r>
              <w:rPr/>
              <w:t>0</w:t>
            </w:r>
          </w:p>
        </w:tc>
        <w:tc>
          <w:tcPr>
            <w:tcW w:w="319" w:type="dxa"/>
            <w:tcBorders/>
            <w:vAlign w:val="bottom"/>
          </w:tcPr>
          <w:p>
            <w:pPr>
              <w:pStyle w:val="TableContents"/>
              <w:bidi w:val="0"/>
              <w:spacing w:before="0" w:after="283"/>
              <w:jc w:val="left"/>
              <w:rPr/>
            </w:pPr>
            <w:r>
              <w:rPr/>
              <w:t>  </w:t>
            </w:r>
          </w:p>
        </w:tc>
        <w:tc>
          <w:tcPr>
            <w:tcW w:w="1933" w:type="dxa"/>
            <w:tcBorders/>
            <w:vAlign w:val="bottom"/>
          </w:tcPr>
          <w:p>
            <w:pPr>
              <w:pStyle w:val="TableContents"/>
              <w:bidi w:val="0"/>
              <w:spacing w:before="0" w:after="283"/>
              <w:jc w:val="center"/>
              <w:rPr/>
            </w:pPr>
            <w:r>
              <w:rPr/>
              <w:t>0</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death occurred in the 25 mg arm and was assessed by the investigator as unrelated to obefazimod. The suspected cause was pulmonary embolism in a 65+ patient with multiple pre-existing thromboembolic risk factors, including prior pulmonary embolism, and recent prolonged immobility.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pregnancies are currently ongoing.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Serious/severe (grade ≥3) infections and opportunistic infections: 25 mg = Appendicitis, Bartonellosis, Cytomegalovirus gastrointestinal infection, Peritonsillar abscess, Sepsis; 50 mg (induction non-responder) = Clostridium difficile infection, pilonidal disease, Urethritis gonococcal; 50 mg Open Label (Part 1 relapsers = Appendicitis (Part 1 50 mg), Septic arthritis staphylococcal (Part 1 placebo).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 1 relapsers previous on placebo: One case of Myoproliferative Neoplasm and one Prostate Cancer.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cases of Basal Cell Carcinoma (25 mg | 50 mg) and two cases of Squamous Cell Carcinoma (25 mg | 50 mg).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combined induction non-responders on 50 mg in Part 2 (N=251) and Part 1 relapsers (N=196) who entered Part 2. </w:t>
            </w:r>
          </w:p>
        </w:tc>
      </w:tr>
    </w:tbl>
    <w:p>
      <w:pPr>
        <w:pStyle w:val="TextBody"/>
        <w:bidi w:val="0"/>
        <w:spacing w:before="0" w:after="0"/>
        <w:jc w:val="left"/>
        <w:rPr>
          <w:bdr w:val="single" w:sz="8" w:space="1" w:color="000000"/>
        </w:rPr>
      </w:pPr>
      <w:r>
        <w:rPr>
          <w:bdr w:val="single" w:sz="8" w:space="1" w:color="000000"/>
        </w:rPr>
        <w:t> </w:t>
      </w:r>
    </w:p>
    <w:tbl>
      <w:tblPr>
        <w:tblW w:w="11715" w:type="dxa"/>
        <w:jc w:val="center"/>
        <w:tblInd w:w="0" w:type="dxa"/>
        <w:tblLayout w:type="fixed"/>
        <w:tblCellMar>
          <w:top w:w="0" w:type="dxa"/>
          <w:left w:w="0" w:type="dxa"/>
          <w:bottom w:w="0" w:type="dxa"/>
          <w:right w:w="0" w:type="dxa"/>
        </w:tblCellMar>
      </w:tblPr>
      <w:tblGrid>
        <w:gridCol w:w="320"/>
        <w:gridCol w:w="60"/>
        <w:gridCol w:w="1775"/>
        <w:gridCol w:w="60"/>
        <w:gridCol w:w="1250"/>
        <w:gridCol w:w="60"/>
        <w:gridCol w:w="425"/>
        <w:gridCol w:w="60"/>
        <w:gridCol w:w="1175"/>
        <w:gridCol w:w="60"/>
        <w:gridCol w:w="1655"/>
        <w:gridCol w:w="60"/>
        <w:gridCol w:w="1640"/>
        <w:gridCol w:w="60"/>
        <w:gridCol w:w="1685"/>
        <w:gridCol w:w="60"/>
        <w:gridCol w:w="1310"/>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32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1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4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35"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7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7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32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75" w:type="dxa"/>
            <w:tcBorders>
              <w:bottom w:val="single" w:sz="2" w:space="0" w:color="000000"/>
              <w:right w:val="single" w:sz="2" w:space="0" w:color="000000"/>
            </w:tcBorders>
            <w:tcMar>
              <w:bottom w:w="28" w:type="dxa"/>
              <w:right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Malignancy</w:t>
            </w:r>
          </w:p>
          <w:p>
            <w:pPr>
              <w:pStyle w:val="TableContents"/>
              <w:bidi w:val="0"/>
              <w:spacing w:before="0" w:after="0"/>
              <w:jc w:val="center"/>
              <w:rPr>
                <w:rFonts w:ascii="Times New Roman" w:hAnsi="Times New Roman"/>
                <w:b/>
                <w:sz w:val="14"/>
              </w:rPr>
            </w:pPr>
            <w:r>
              <w:rPr>
                <w:rFonts w:ascii="Times New Roman" w:hAnsi="Times New Roman"/>
                <w:b/>
                <w:sz w:val="14"/>
              </w:rPr>
              <w:t>(Excluding</w:t>
            </w:r>
          </w:p>
          <w:p>
            <w:pPr>
              <w:pStyle w:val="TableContents"/>
              <w:bidi w:val="0"/>
              <w:spacing w:before="0" w:after="20"/>
              <w:jc w:val="center"/>
              <w:rPr>
                <w:rFonts w:ascii="Times New Roman" w:hAnsi="Times New Roman"/>
                <w:b/>
                <w:sz w:val="14"/>
              </w:rPr>
            </w:pPr>
            <w:r>
              <w:rPr>
                <w:rFonts w:ascii="Times New Roman" w:hAnsi="Times New Roman"/>
                <w:b/>
                <w:sz w:val="14"/>
              </w:rPr>
              <w:t>NMSC)</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b/>
              </w:rPr>
            </w:pPr>
            <w:r>
              <w:rPr>
                <w:b/>
              </w:rPr>
              <w:t>Exposure to</w:t>
              <w:br/>
              <w:t>Obefazimod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 </w:t>
            </w:r>
            <w:r>
              <w:rPr>
                <w:b/>
              </w:rPr>
              <w:t>Age 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center"/>
              <w:rPr>
                <w:b/>
              </w:rPr>
            </w:pPr>
            <w:r>
              <w:rPr>
                <w:b/>
              </w:rPr>
              <w:t>Thiopurine</w:t>
              <w:br/>
              <w:t>History</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b/>
              </w:rPr>
            </w:pPr>
            <w:r>
              <w:rPr>
                <w:b/>
              </w:rPr>
              <w:t>Prior Advanced</w:t>
              <w:br/>
              <w:t>Therapies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Other Prior UC</w:t>
              <w:br/>
              <w:t>Treatment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8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b/>
              </w:rPr>
            </w:pPr>
            <w:r>
              <w:rPr>
                <w:b/>
              </w:rPr>
              <w:t>Medical History </w:t>
              <w:br/>
              <w:t>of Cancer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b/>
              </w:rPr>
            </w:pPr>
            <w:r>
              <w:rPr>
                <w:b/>
              </w:rPr>
              <w:t>Summary</w:t>
            </w:r>
          </w:p>
        </w:tc>
      </w:tr>
      <w:tr>
        <w:trPr>
          <w:trHeight w:val="60" w:hRule="atLeast"/>
        </w:trPr>
        <w:tc>
          <w:tcPr>
            <w:tcW w:w="320" w:type="dxa"/>
            <w:tcBorders>
              <w:left w:val="single" w:sz="2" w:space="0" w:color="000000"/>
            </w:tcBorders>
            <w:tcMar>
              <w:left w:w="160" w:type="dxa"/>
            </w:tcMar>
            <w:vAlign w:val="center"/>
          </w:tcPr>
          <w:p>
            <w:pPr>
              <w:pStyle w:val="TableContents"/>
              <w:bidi w:val="0"/>
              <w:spacing w:before="0" w:after="283"/>
              <w:jc w:val="left"/>
              <w:rPr/>
            </w:pPr>
            <w:r>
              <w:rPr/>
              <w:t> </w:t>
            </w:r>
          </w:p>
        </w:tc>
        <w:tc>
          <w:tcPr>
            <w:tcW w:w="183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7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3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20" w:type="dxa"/>
            <w:vMerge w:val="restart"/>
            <w:tcBorders>
              <w:left w:val="single" w:sz="2" w:space="0" w:color="000000"/>
              <w:bottom w:val="single" w:sz="2" w:space="0" w:color="000000"/>
            </w:tcBorders>
            <w:tcMar>
              <w:left w:w="160" w:type="dxa"/>
              <w:bottom w:w="28" w:type="dxa"/>
            </w:tcMar>
            <w:vAlign w:val="center"/>
          </w:tcPr>
          <w:p>
            <w:pPr>
              <w:pStyle w:val="TableContents"/>
              <w:bidi w:val="0"/>
              <w:spacing w:before="0" w:after="283"/>
              <w:jc w:val="center"/>
              <w:rPr/>
            </w:pPr>
            <w:r>
              <w:rPr/>
              <w:t>50 mg</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Myeloproliferative Neoplasm (MPN)</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pPr>
            <w:r>
              <w:rPr/>
              <w:t>7.4 months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40+</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center"/>
              <w:rPr/>
            </w:pPr>
            <w:r>
              <w:rPr/>
              <w:t>No</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5" w:type="dxa"/>
            <w:tcBorders>
              <w:bottom w:val="single" w:sz="2" w:space="0" w:color="000000"/>
              <w:right w:val="single" w:sz="2" w:space="0" w:color="000000"/>
            </w:tcBorders>
            <w:tcMar>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w:t>
            </w:r>
          </w:p>
          <w:p>
            <w:pPr>
              <w:pStyle w:val="TableContents"/>
              <w:bidi w:val="0"/>
              <w:spacing w:before="0" w:after="20"/>
              <w:jc w:val="center"/>
              <w:rPr>
                <w:rFonts w:ascii="Times New Roman" w:hAnsi="Times New Roman"/>
                <w:sz w:val="16"/>
              </w:rPr>
            </w:pPr>
            <w:r>
              <w:rPr>
                <w:rFonts w:ascii="Times New Roman" w:hAnsi="Times New Roman"/>
                <w:sz w:val="16"/>
              </w:rPr>
              <w:t>(adalimumab, infliximab)</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pPr>
            <w:r>
              <w:rPr/>
              <w:t>mesalazine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8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No</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Thrombocythemia since 2023.</w:t>
            </w:r>
          </w:p>
          <w:p>
            <w:pPr>
              <w:pStyle w:val="TableContents"/>
              <w:bidi w:val="0"/>
              <w:spacing w:before="0" w:after="0"/>
              <w:jc w:val="center"/>
              <w:rPr>
                <w:rFonts w:ascii="Times New Roman" w:hAnsi="Times New Roman"/>
                <w:sz w:val="16"/>
              </w:rPr>
            </w:pPr>
            <w:r>
              <w:rPr>
                <w:rFonts w:ascii="Times New Roman" w:hAnsi="Times New Roman"/>
                <w:sz w:val="16"/>
              </w:rPr>
              <w:t>Had elevated platelets at baseline (909,000 per microliter)</w:t>
            </w:r>
          </w:p>
          <w:p>
            <w:pPr>
              <w:pStyle w:val="TableContents"/>
              <w:bidi w:val="0"/>
              <w:spacing w:before="0" w:after="0"/>
              <w:jc w:val="left"/>
              <w:rPr/>
            </w:pPr>
            <w:r>
              <w:rPr/>
              <w:t> </w:t>
            </w:r>
          </w:p>
          <w:p>
            <w:pPr>
              <w:pStyle w:val="TableContents"/>
              <w:bidi w:val="0"/>
              <w:spacing w:before="0" w:after="20"/>
              <w:jc w:val="center"/>
              <w:rPr>
                <w:rFonts w:ascii="Times New Roman" w:hAnsi="Times New Roman"/>
                <w:sz w:val="16"/>
              </w:rPr>
            </w:pPr>
            <w:r>
              <w:rPr>
                <w:rFonts w:ascii="Times New Roman" w:hAnsi="Times New Roman"/>
                <w:sz w:val="16"/>
              </w:rPr>
              <w:t>Determined not related to study drug by investigator</w:t>
            </w:r>
          </w:p>
        </w:tc>
      </w:tr>
      <w:tr>
        <w:trPr/>
        <w:tc>
          <w:tcPr>
            <w:tcW w:w="320" w:type="dxa"/>
            <w:vMerge w:val="continue"/>
            <w:tcBorders>
              <w:left w:val="single" w:sz="2" w:space="0" w:color="000000"/>
              <w:bottom w:val="single" w:sz="2" w:space="0" w:color="000000"/>
            </w:tcBorders>
            <w:tcMar>
              <w:left w:w="160" w:type="dxa"/>
              <w:bottom w:w="28" w:type="dxa"/>
            </w:tcMar>
            <w:vAlign w:val="center"/>
          </w:tcPr>
          <w:p>
            <w:pPr>
              <w:pStyle w:val="Normal"/>
              <w:bidi w:val="0"/>
              <w:jc w:val="left"/>
              <w:rPr/>
            </w:pPr>
            <w:r>
              <w:rPr/>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7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Prostate Cancer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pPr>
            <w:r>
              <w:rPr/>
              <w:t>3.4 months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55+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Yes</w:t>
            </w:r>
          </w:p>
          <w:p>
            <w:pPr>
              <w:pStyle w:val="TableContents"/>
              <w:bidi w:val="0"/>
              <w:spacing w:before="0" w:after="20"/>
              <w:jc w:val="center"/>
              <w:rPr>
                <w:rFonts w:ascii="Times New Roman" w:hAnsi="Times New Roman"/>
                <w:sz w:val="16"/>
              </w:rPr>
            </w:pPr>
            <w:r>
              <w:rPr>
                <w:rFonts w:ascii="Times New Roman" w:hAnsi="Times New Roman"/>
                <w:sz w:val="16"/>
              </w:rPr>
              <w:t>azathioprine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5" w:type="dxa"/>
            <w:tcBorders>
              <w:bottom w:val="single" w:sz="2" w:space="0" w:color="000000"/>
              <w:right w:val="single" w:sz="2" w:space="0" w:color="000000"/>
            </w:tcBorders>
            <w:tcMar>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w:t>
            </w:r>
          </w:p>
          <w:p>
            <w:pPr>
              <w:pStyle w:val="TableContents"/>
              <w:bidi w:val="0"/>
              <w:spacing w:before="0" w:after="20"/>
              <w:jc w:val="center"/>
              <w:rPr>
                <w:rFonts w:ascii="Times New Roman" w:hAnsi="Times New Roman"/>
                <w:sz w:val="16"/>
              </w:rPr>
            </w:pPr>
            <w:r>
              <w:rPr>
                <w:rFonts w:ascii="Times New Roman" w:hAnsi="Times New Roman"/>
                <w:sz w:val="16"/>
              </w:rPr>
              <w:t>(infliximab, vedolizumab)</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pPr>
            <w:r>
              <w:rPr/>
              <w:t>prednisolone, mesalazine, budesonide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8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No</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Limited adenocarcinoma of the prostate CT2 CN0 M0; Gleason score 7B</w:t>
            </w:r>
          </w:p>
          <w:p>
            <w:pPr>
              <w:pStyle w:val="TableContents"/>
              <w:bidi w:val="0"/>
              <w:spacing w:before="0" w:after="0"/>
              <w:jc w:val="left"/>
              <w:rPr/>
            </w:pPr>
            <w:r>
              <w:rPr/>
              <w:t> </w:t>
            </w:r>
          </w:p>
          <w:p>
            <w:pPr>
              <w:pStyle w:val="TableContents"/>
              <w:bidi w:val="0"/>
              <w:spacing w:before="0" w:after="20"/>
              <w:jc w:val="center"/>
              <w:rPr>
                <w:rFonts w:ascii="Times New Roman" w:hAnsi="Times New Roman"/>
                <w:sz w:val="16"/>
              </w:rPr>
            </w:pPr>
            <w:r>
              <w:rPr>
                <w:rFonts w:ascii="Times New Roman" w:hAnsi="Times New Roman"/>
                <w:sz w:val="16"/>
              </w:rPr>
              <w:t>Determined not related to study drug by investigator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785" w:type="dxa"/>
        <w:jc w:val="center"/>
        <w:tblInd w:w="0" w:type="dxa"/>
        <w:tblLayout w:type="fixed"/>
        <w:tblCellMar>
          <w:top w:w="0" w:type="dxa"/>
          <w:left w:w="0" w:type="dxa"/>
          <w:bottom w:w="0" w:type="dxa"/>
          <w:right w:w="0" w:type="dxa"/>
        </w:tblCellMar>
      </w:tblPr>
      <w:tblGrid>
        <w:gridCol w:w="320"/>
        <w:gridCol w:w="60"/>
        <w:gridCol w:w="1055"/>
        <w:gridCol w:w="60"/>
        <w:gridCol w:w="1250"/>
        <w:gridCol w:w="60"/>
        <w:gridCol w:w="425"/>
        <w:gridCol w:w="60"/>
        <w:gridCol w:w="1175"/>
        <w:gridCol w:w="60"/>
        <w:gridCol w:w="1655"/>
        <w:gridCol w:w="60"/>
        <w:gridCol w:w="1640"/>
        <w:gridCol w:w="60"/>
        <w:gridCol w:w="1760"/>
        <w:gridCol w:w="60"/>
        <w:gridCol w:w="1025"/>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32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1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4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35"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7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85"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32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b/>
              </w:rPr>
            </w:pPr>
            <w:r>
              <w:rPr>
                <w:b/>
              </w:rPr>
              <w:t>NMSC</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b/>
              </w:rPr>
            </w:pPr>
            <w:r>
              <w:rPr>
                <w:b/>
              </w:rPr>
              <w:t>Exposure to</w:t>
              <w:br/>
              <w:t>Obefazimod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 </w:t>
            </w:r>
            <w:r>
              <w:rPr>
                <w:b/>
              </w:rPr>
              <w:t>Age 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center"/>
              <w:rPr>
                <w:b/>
              </w:rPr>
            </w:pPr>
            <w:r>
              <w:rPr>
                <w:b/>
              </w:rPr>
              <w:t>Thiopurine</w:t>
              <w:br/>
              <w:t>History</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b/>
              </w:rPr>
            </w:pPr>
            <w:r>
              <w:rPr>
                <w:b/>
              </w:rPr>
              <w:t>Prior Advanced</w:t>
              <w:br/>
              <w:t>Therapies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Other Prior UC</w:t>
              <w:br/>
              <w:t>Treatment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b/>
              </w:rPr>
            </w:pPr>
            <w:r>
              <w:rPr>
                <w:b/>
              </w:rPr>
              <w:t>Medical History </w:t>
              <w:br/>
              <w:t>of Skin Cancer 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b/>
              </w:rPr>
            </w:pPr>
            <w:r>
              <w:rPr>
                <w:b/>
              </w:rPr>
              <w:t>Summary</w:t>
            </w:r>
          </w:p>
        </w:tc>
      </w:tr>
      <w:tr>
        <w:trPr>
          <w:trHeight w:val="60" w:hRule="atLeast"/>
        </w:trPr>
        <w:tc>
          <w:tcPr>
            <w:tcW w:w="320" w:type="dxa"/>
            <w:tcBorders>
              <w:left w:val="single" w:sz="2" w:space="0" w:color="000000"/>
            </w:tcBorders>
            <w:tcMar>
              <w:left w:w="160" w:type="dxa"/>
            </w:tcMar>
            <w:vAlign w:val="center"/>
          </w:tcPr>
          <w:p>
            <w:pPr>
              <w:pStyle w:val="TableContents"/>
              <w:bidi w:val="0"/>
              <w:spacing w:before="0" w:after="283"/>
              <w:jc w:val="left"/>
              <w:rPr/>
            </w:pPr>
            <w:r>
              <w:rPr/>
              <w:t> </w:t>
            </w:r>
          </w:p>
        </w:tc>
        <w:tc>
          <w:tcPr>
            <w:tcW w:w="11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7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08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20" w:type="dxa"/>
            <w:vMerge w:val="restart"/>
            <w:tcBorders>
              <w:left w:val="single" w:sz="2" w:space="0" w:color="000000"/>
              <w:bottom w:val="single" w:sz="2" w:space="0" w:color="000000"/>
            </w:tcBorders>
            <w:tcMar>
              <w:left w:w="160" w:type="dxa"/>
              <w:bottom w:w="28" w:type="dxa"/>
            </w:tcMar>
            <w:vAlign w:val="center"/>
          </w:tcPr>
          <w:p>
            <w:pPr>
              <w:pStyle w:val="TableContents"/>
              <w:bidi w:val="0"/>
              <w:spacing w:before="0" w:after="283"/>
              <w:jc w:val="center"/>
              <w:rPr/>
            </w:pPr>
            <w:r>
              <w:rPr/>
              <w:t>50 mg</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Basal Cell Carcinoma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pPr>
            <w:r>
              <w:rPr/>
              <w:t>10.4 months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40+</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Yes</w:t>
            </w:r>
          </w:p>
          <w:p>
            <w:pPr>
              <w:pStyle w:val="TableContents"/>
              <w:bidi w:val="0"/>
              <w:spacing w:before="0" w:after="20"/>
              <w:jc w:val="center"/>
              <w:rPr>
                <w:rFonts w:ascii="Times New Roman" w:hAnsi="Times New Roman"/>
                <w:sz w:val="16"/>
              </w:rPr>
            </w:pPr>
            <w:r>
              <w:rPr>
                <w:rFonts w:ascii="Times New Roman" w:hAnsi="Times New Roman"/>
                <w:sz w:val="16"/>
              </w:rPr>
              <w:t>azathioprine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5" w:type="dxa"/>
            <w:tcBorders>
              <w:bottom w:val="single" w:sz="2" w:space="0" w:color="000000"/>
              <w:right w:val="single" w:sz="2" w:space="0" w:color="000000"/>
            </w:tcBorders>
            <w:tcMar>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3</w:t>
            </w:r>
          </w:p>
          <w:p>
            <w:pPr>
              <w:pStyle w:val="TableContents"/>
              <w:bidi w:val="0"/>
              <w:spacing w:before="0" w:after="20"/>
              <w:jc w:val="center"/>
              <w:rPr>
                <w:rFonts w:ascii="Times New Roman" w:hAnsi="Times New Roman"/>
                <w:sz w:val="16"/>
              </w:rPr>
            </w:pPr>
            <w:r>
              <w:rPr>
                <w:rFonts w:ascii="Times New Roman" w:hAnsi="Times New Roman"/>
                <w:sz w:val="16"/>
              </w:rPr>
              <w:t>vedolizumab, infliximab, ustekinumab</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pPr>
            <w:r>
              <w:rPr/>
              <w:t>mesalazine, prednisone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No</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Thiopurine use and failure of 3 prior advanced therapies</w:t>
            </w:r>
          </w:p>
          <w:p>
            <w:pPr>
              <w:pStyle w:val="TableContents"/>
              <w:bidi w:val="0"/>
              <w:spacing w:before="0" w:after="0"/>
              <w:jc w:val="left"/>
              <w:rPr/>
            </w:pPr>
            <w:r>
              <w:rPr/>
              <w:t> </w:t>
            </w:r>
          </w:p>
          <w:p>
            <w:pPr>
              <w:pStyle w:val="TableContents"/>
              <w:bidi w:val="0"/>
              <w:spacing w:before="0" w:after="20"/>
              <w:jc w:val="center"/>
              <w:rPr>
                <w:rFonts w:ascii="Times New Roman" w:hAnsi="Times New Roman"/>
                <w:sz w:val="16"/>
              </w:rPr>
            </w:pPr>
            <w:r>
              <w:rPr>
                <w:rFonts w:ascii="Times New Roman" w:hAnsi="Times New Roman"/>
                <w:sz w:val="16"/>
              </w:rPr>
              <w:t>Determined probably related to study drug by investigator</w:t>
            </w:r>
          </w:p>
        </w:tc>
      </w:tr>
      <w:tr>
        <w:trPr/>
        <w:tc>
          <w:tcPr>
            <w:tcW w:w="320" w:type="dxa"/>
            <w:vMerge w:val="continue"/>
            <w:tcBorders>
              <w:left w:val="single" w:sz="2" w:space="0" w:color="000000"/>
              <w:bottom w:val="single" w:sz="2" w:space="0" w:color="000000"/>
            </w:tcBorders>
            <w:tcMar>
              <w:left w:w="160" w:type="dxa"/>
              <w:bottom w:w="28" w:type="dxa"/>
            </w:tcMar>
            <w:vAlign w:val="center"/>
          </w:tcPr>
          <w:p>
            <w:pPr>
              <w:pStyle w:val="Normal"/>
              <w:bidi w:val="0"/>
              <w:jc w:val="left"/>
              <w:rPr/>
            </w:pPr>
            <w:r>
              <w:rPr/>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Squamous Cell Carcinoma</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pPr>
            <w:r>
              <w:rPr/>
              <w:t>4.6 months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55+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Yes</w:t>
            </w:r>
          </w:p>
          <w:p>
            <w:pPr>
              <w:pStyle w:val="TableContents"/>
              <w:bidi w:val="0"/>
              <w:spacing w:before="0" w:after="20"/>
              <w:jc w:val="center"/>
              <w:rPr>
                <w:rFonts w:ascii="Times New Roman" w:hAnsi="Times New Roman"/>
                <w:sz w:val="16"/>
              </w:rPr>
            </w:pPr>
            <w:r>
              <w:rPr>
                <w:rFonts w:ascii="Times New Roman" w:hAnsi="Times New Roman"/>
                <w:sz w:val="16"/>
              </w:rPr>
              <w:t>azathioprine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5" w:type="dxa"/>
            <w:tcBorders>
              <w:bottom w:val="single" w:sz="2" w:space="0" w:color="000000"/>
              <w:right w:val="single" w:sz="2" w:space="0" w:color="000000"/>
            </w:tcBorders>
            <w:tcMar>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w:t>
            </w:r>
          </w:p>
          <w:p>
            <w:pPr>
              <w:pStyle w:val="TableContents"/>
              <w:bidi w:val="0"/>
              <w:spacing w:before="0" w:after="20"/>
              <w:jc w:val="center"/>
              <w:rPr>
                <w:rFonts w:ascii="Times New Roman" w:hAnsi="Times New Roman"/>
                <w:sz w:val="16"/>
              </w:rPr>
            </w:pPr>
            <w:r>
              <w:rPr>
                <w:rFonts w:ascii="Times New Roman" w:hAnsi="Times New Roman"/>
                <w:sz w:val="16"/>
              </w:rPr>
              <w:t>adalimumab, vedolizumab</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pPr>
            <w:r>
              <w:rPr/>
              <w:t>budesonide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Yes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Prior history of squamous cell carcinoma and history of multiple skin lesions</w:t>
            </w:r>
          </w:p>
          <w:p>
            <w:pPr>
              <w:pStyle w:val="TableContents"/>
              <w:bidi w:val="0"/>
              <w:spacing w:before="0" w:after="0"/>
              <w:jc w:val="left"/>
              <w:rPr/>
            </w:pPr>
            <w:r>
              <w:rPr/>
              <w:t> </w:t>
            </w:r>
          </w:p>
          <w:p>
            <w:pPr>
              <w:pStyle w:val="TableContents"/>
              <w:bidi w:val="0"/>
              <w:spacing w:before="0" w:after="20"/>
              <w:jc w:val="center"/>
              <w:rPr>
                <w:rFonts w:ascii="Times New Roman" w:hAnsi="Times New Roman"/>
                <w:sz w:val="16"/>
              </w:rPr>
            </w:pPr>
            <w:r>
              <w:rPr>
                <w:rFonts w:ascii="Times New Roman" w:hAnsi="Times New Roman"/>
                <w:sz w:val="16"/>
              </w:rPr>
              <w:t>Determined not related to study drug by investigator</w:t>
            </w:r>
          </w:p>
        </w:tc>
      </w:tr>
      <w:tr>
        <w:trPr>
          <w:trHeight w:val="60" w:hRule="atLeast"/>
        </w:trPr>
        <w:tc>
          <w:tcPr>
            <w:tcW w:w="320" w:type="dxa"/>
            <w:tcBorders>
              <w:left w:val="single" w:sz="2" w:space="0" w:color="000000"/>
            </w:tcBorders>
            <w:tcMar>
              <w:left w:w="160" w:type="dxa"/>
            </w:tcMar>
            <w:vAlign w:val="center"/>
          </w:tcPr>
          <w:p>
            <w:pPr>
              <w:pStyle w:val="TableContents"/>
              <w:bidi w:val="0"/>
              <w:spacing w:before="0" w:after="283"/>
              <w:jc w:val="left"/>
              <w:rPr/>
            </w:pPr>
            <w:r>
              <w:rPr/>
              <w:t> </w:t>
            </w:r>
          </w:p>
        </w:tc>
        <w:tc>
          <w:tcPr>
            <w:tcW w:w="11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7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08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20" w:type="dxa"/>
            <w:vMerge w:val="restart"/>
            <w:tcBorders>
              <w:left w:val="single" w:sz="2" w:space="0" w:color="000000"/>
              <w:bottom w:val="single" w:sz="2" w:space="0" w:color="000000"/>
            </w:tcBorders>
            <w:tcMar>
              <w:left w:w="160" w:type="dxa"/>
              <w:bottom w:w="28" w:type="dxa"/>
            </w:tcMar>
            <w:vAlign w:val="center"/>
          </w:tcPr>
          <w:p>
            <w:pPr>
              <w:pStyle w:val="TableContents"/>
              <w:bidi w:val="0"/>
              <w:spacing w:before="0" w:after="283"/>
              <w:jc w:val="center"/>
              <w:rPr/>
            </w:pPr>
            <w:r>
              <w:rPr/>
              <w:t>25 mg</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Basal Cell Carcinoma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pPr>
            <w:r>
              <w:rPr/>
              <w:t>8.1 months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50+</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Yes</w:t>
            </w:r>
          </w:p>
          <w:p>
            <w:pPr>
              <w:pStyle w:val="TableContents"/>
              <w:bidi w:val="0"/>
              <w:spacing w:before="0" w:after="20"/>
              <w:jc w:val="center"/>
              <w:rPr>
                <w:rFonts w:ascii="Times New Roman" w:hAnsi="Times New Roman"/>
                <w:sz w:val="16"/>
              </w:rPr>
            </w:pPr>
            <w:r>
              <w:rPr>
                <w:rFonts w:ascii="Times New Roman" w:hAnsi="Times New Roman"/>
                <w:sz w:val="16"/>
              </w:rPr>
              <w:t>azathioprine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None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pPr>
            <w:r>
              <w:rPr/>
              <w:t>budesonide, sulfasalazine, mesalazine, prednisone, metranidazole, sodium butyrate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No</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Age 50+, prior thiopurine history</w:t>
            </w:r>
          </w:p>
          <w:p>
            <w:pPr>
              <w:pStyle w:val="TableContents"/>
              <w:bidi w:val="0"/>
              <w:spacing w:before="0" w:after="0"/>
              <w:jc w:val="left"/>
              <w:rPr/>
            </w:pPr>
            <w:r>
              <w:rPr/>
              <w:t> </w:t>
            </w:r>
          </w:p>
          <w:p>
            <w:pPr>
              <w:pStyle w:val="TableContents"/>
              <w:bidi w:val="0"/>
              <w:spacing w:before="0" w:after="20"/>
              <w:jc w:val="center"/>
              <w:rPr>
                <w:rFonts w:ascii="Times New Roman" w:hAnsi="Times New Roman"/>
                <w:sz w:val="16"/>
              </w:rPr>
            </w:pPr>
            <w:r>
              <w:rPr>
                <w:rFonts w:ascii="Times New Roman" w:hAnsi="Times New Roman"/>
                <w:sz w:val="16"/>
              </w:rPr>
              <w:t>Determined unlikely related to study drug by investigator</w:t>
            </w:r>
          </w:p>
        </w:tc>
      </w:tr>
      <w:tr>
        <w:trPr/>
        <w:tc>
          <w:tcPr>
            <w:tcW w:w="320" w:type="dxa"/>
            <w:vMerge w:val="continue"/>
            <w:tcBorders>
              <w:left w:val="single" w:sz="2" w:space="0" w:color="000000"/>
              <w:bottom w:val="single" w:sz="2" w:space="0" w:color="000000"/>
            </w:tcBorders>
            <w:tcMar>
              <w:left w:w="160" w:type="dxa"/>
              <w:bottom w:w="28" w:type="dxa"/>
            </w:tcMar>
            <w:vAlign w:val="center"/>
          </w:tcPr>
          <w:p>
            <w:pPr>
              <w:pStyle w:val="Normal"/>
              <w:bidi w:val="0"/>
              <w:jc w:val="left"/>
              <w:rPr/>
            </w:pPr>
            <w:r>
              <w:rPr/>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Squamous Cell Carcinoma</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pPr>
            <w:r>
              <w:rPr/>
              <w:t>8.3 months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75+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center"/>
              <w:rPr/>
            </w:pPr>
            <w:r>
              <w:rPr/>
              <w:t>No</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5" w:type="dxa"/>
            <w:tcBorders>
              <w:bottom w:val="single" w:sz="2" w:space="0" w:color="000000"/>
              <w:right w:val="single" w:sz="2" w:space="0" w:color="000000"/>
            </w:tcBorders>
            <w:tcMar>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w:t>
            </w:r>
          </w:p>
          <w:p>
            <w:pPr>
              <w:pStyle w:val="TableContents"/>
              <w:bidi w:val="0"/>
              <w:spacing w:before="0" w:after="20"/>
              <w:jc w:val="center"/>
              <w:rPr>
                <w:rFonts w:ascii="Times New Roman" w:hAnsi="Times New Roman"/>
                <w:sz w:val="16"/>
              </w:rPr>
            </w:pPr>
            <w:r>
              <w:rPr>
                <w:rFonts w:ascii="Times New Roman" w:hAnsi="Times New Roman"/>
                <w:sz w:val="16"/>
              </w:rPr>
              <w:t>adalimumab, vedolizumab</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pPr>
            <w:r>
              <w:rPr/>
              <w:t>prednisone, mesalamine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Yes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Age 75+ and prior history of 2x Basal</w:t>
              <w:br/>
              <w:t>cell carcinoma</w:t>
            </w:r>
          </w:p>
          <w:p>
            <w:pPr>
              <w:pStyle w:val="TableContents"/>
              <w:bidi w:val="0"/>
              <w:spacing w:before="0" w:after="0"/>
              <w:jc w:val="left"/>
              <w:rPr/>
            </w:pPr>
            <w:r>
              <w:rPr/>
              <w:t> </w:t>
            </w:r>
          </w:p>
          <w:p>
            <w:pPr>
              <w:pStyle w:val="TableContents"/>
              <w:bidi w:val="0"/>
              <w:spacing w:before="0" w:after="20"/>
              <w:jc w:val="center"/>
              <w:rPr>
                <w:rFonts w:ascii="Times New Roman" w:hAnsi="Times New Roman"/>
                <w:sz w:val="16"/>
              </w:rPr>
            </w:pPr>
            <w:r>
              <w:rPr>
                <w:rFonts w:ascii="Times New Roman" w:hAnsi="Times New Roman"/>
                <w:sz w:val="16"/>
              </w:rPr>
              <w:t>Determined probably related to study drug by investigator</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post-hoc analyses below are presented progressively, from the combined Phase 2 and Phase 3 UC programs to the Phase 3 maintenance dataset (Part 1 and Part 2), and then to the Part 2 maintenance dataset, to illustrate how increasing cumulative patient-years (“PYs”) strengthens our overall safety assessment. Because NMSCs and malignancies excluding NMSCs are uncommon events, incidence-rate estimates become more precise as cumulative exposure increases. We believe the Phase 3 maintenance data should be interpreted using the totality of the exposure-adjusted evidence, together with patient characteristics and representative published UC epidemiologic reference ranges. The results in the tables below demonstrate that the exposure-adjusted incidence rate (“EAIR”) in the combined all active (25 mg and 50 mg) treatment arms for both NMSCs and malignancies excluding NMSCs are within the UC background reference range based on published UC studies. </w:t>
      </w:r>
    </w:p>
    <w:p>
      <w:pPr>
        <w:pStyle w:val="TextBody"/>
        <w:bidi w:val="0"/>
        <w:spacing w:before="240" w:after="0"/>
        <w:jc w:val="center"/>
        <w:rPr>
          <w:rFonts w:ascii="Times New Roman" w:hAnsi="Times New Roman"/>
          <w:b/>
          <w:sz w:val="16"/>
          <w:bdr w:val="single" w:sz="8" w:space="1" w:color="000000"/>
        </w:rPr>
      </w:pPr>
      <w:r>
        <w:rPr>
          <w:rFonts w:ascii="Times New Roman" w:hAnsi="Times New Roman"/>
          <w:b/>
          <w:sz w:val="16"/>
          <w:bdr w:val="single" w:sz="8" w:space="1" w:color="000000"/>
        </w:rPr>
        <w:t xml:space="preserve">Malignancies (Excluding NMSC) – EAIR Analysis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904"/>
        <w:gridCol w:w="301"/>
        <w:gridCol w:w="97"/>
        <w:gridCol w:w="744"/>
        <w:gridCol w:w="60"/>
        <w:gridCol w:w="301"/>
        <w:gridCol w:w="90"/>
        <w:gridCol w:w="697"/>
        <w:gridCol w:w="60"/>
        <w:gridCol w:w="300"/>
        <w:gridCol w:w="90"/>
        <w:gridCol w:w="697"/>
        <w:gridCol w:w="60"/>
        <w:gridCol w:w="301"/>
        <w:gridCol w:w="123"/>
        <w:gridCol w:w="904"/>
        <w:gridCol w:w="60"/>
        <w:gridCol w:w="301"/>
        <w:gridCol w:w="104"/>
        <w:gridCol w:w="1940"/>
        <w:gridCol w:w="71"/>
      </w:tblGrid>
      <w:tr>
        <w:trPr/>
        <w:tc>
          <w:tcPr>
            <w:tcW w:w="2904"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29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Analysis Set</w:t>
            </w:r>
          </w:p>
        </w:tc>
        <w:tc>
          <w:tcPr>
            <w:tcW w:w="301" w:type="dxa"/>
            <w:tcBorders/>
            <w:vAlign w:val="bottom"/>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bottom"/>
          </w:tcPr>
          <w:p>
            <w:pPr>
              <w:pStyle w:val="TableContents"/>
              <w:bidi w:val="0"/>
              <w:spacing w:before="0" w:after="283"/>
              <w:jc w:val="center"/>
              <w:rPr/>
            </w:pPr>
            <w:r>
              <w:rPr>
                <w:b/>
              </w:rPr>
              <w:t>Placebo</w:t>
              <w:br/>
            </w:r>
            <w:r>
              <w:rPr/>
              <w:t>IR/100 PY</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pPr>
            <w:r>
              <w:rPr>
                <w:b/>
              </w:rPr>
              <w:t>25 mg</w:t>
              <w:br/>
            </w:r>
            <w:r>
              <w:rPr/>
              <w:t>IR/100 PY</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pPr>
            <w:r>
              <w:rPr>
                <w:b/>
              </w:rPr>
              <w:t>50 mg</w:t>
              <w:br/>
            </w:r>
            <w:r>
              <w:rPr/>
              <w:t>IR/100 PY</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pPr>
            <w:r>
              <w:rPr>
                <w:b/>
              </w:rPr>
              <w:t>All Active</w:t>
              <w:br/>
            </w:r>
            <w:r>
              <w:rPr/>
              <w:t>IR/100 PY</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 Range</w:t>
              <w:br/>
              <w:t>Based on Published</w:t>
              <w:br/>
              <w:t>UC Studies</w:t>
            </w:r>
          </w:p>
        </w:tc>
        <w:tc>
          <w:tcPr>
            <w:tcW w:w="71" w:type="dxa"/>
            <w:tcBorders/>
            <w:vAlign w:val="bottom"/>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Integrated UC Program</w:t>
              <w:br/>
              <w:t>(Phase 2 + Phase 3)</w:t>
            </w:r>
          </w:p>
        </w:tc>
        <w:tc>
          <w:tcPr>
            <w:tcW w:w="3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b/>
              </w:rPr>
            </w:pPr>
            <w:r>
              <w:rPr>
                <w:b/>
              </w:rPr>
              <w:t>0.00</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0.00</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0.64</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b/>
              </w:rPr>
            </w:pPr>
            <w:r>
              <w:rPr>
                <w:b/>
              </w:rPr>
              <w:t>0.35</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bidi w:val="0"/>
              <w:spacing w:before="0" w:after="283"/>
              <w:jc w:val="right"/>
              <w:rPr/>
            </w:pPr>
            <w:r>
              <w:rPr/>
              <w:t>0.30 – 0.70</w:t>
            </w:r>
          </w:p>
        </w:tc>
        <w:tc>
          <w:tcPr>
            <w:tcW w:w="71" w:type="dxa"/>
            <w:tcBorders/>
            <w:shd w:fill="CCEEFF" w:val="clear"/>
            <w:vAlign w:val="bottom"/>
          </w:tcPr>
          <w:p>
            <w:pPr>
              <w:pStyle w:val="TableContents"/>
              <w:bidi w:val="0"/>
              <w:spacing w:before="0" w:after="283"/>
              <w:jc w:val="left"/>
              <w:rPr/>
            </w:pPr>
            <w:r>
              <w:rPr/>
              <w:t> </w:t>
            </w:r>
          </w:p>
        </w:tc>
      </w:tr>
      <w:tr>
        <w:trPr/>
        <w:tc>
          <w:tcPr>
            <w:tcW w:w="2904" w:type="dxa"/>
            <w:tcBorders/>
          </w:tcPr>
          <w:p>
            <w:pPr>
              <w:pStyle w:val="TableContents"/>
              <w:bidi w:val="0"/>
              <w:spacing w:before="0" w:after="0"/>
              <w:jc w:val="left"/>
              <w:rPr>
                <w:rFonts w:ascii="Times New Roman" w:hAnsi="Times New Roman"/>
                <w:b/>
                <w:sz w:val="20"/>
              </w:rPr>
            </w:pPr>
            <w:r>
              <w:rPr>
                <w:rFonts w:ascii="Times New Roman" w:hAnsi="Times New Roman"/>
                <w:b/>
                <w:sz w:val="20"/>
              </w:rPr>
              <w:t>Phase 3 Maintenance</w:t>
              <w:br/>
              <w:t>(Part 1 + Part 2)</w:t>
            </w:r>
          </w:p>
        </w:tc>
        <w:tc>
          <w:tcPr>
            <w:tcW w:w="30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b/>
              </w:rPr>
            </w:pPr>
            <w:r>
              <w:rPr>
                <w:b/>
              </w:rPr>
              <w:t>0.00</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0.00</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0.91</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b/>
              </w:rPr>
            </w:pPr>
            <w:r>
              <w:rPr>
                <w:b/>
              </w:rPr>
              <w:t>0.56</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right"/>
              <w:rPr/>
            </w:pPr>
            <w:r>
              <w:rPr/>
              <w:t>0.30 – 0.70</w:t>
            </w:r>
          </w:p>
        </w:tc>
        <w:tc>
          <w:tcPr>
            <w:tcW w:w="71" w:type="dxa"/>
            <w:tcBorders/>
            <w:vAlign w:val="bottom"/>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2 Only</w:t>
            </w:r>
          </w:p>
        </w:tc>
        <w:tc>
          <w:tcPr>
            <w:tcW w:w="3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0.00</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0.69</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b/>
              </w:rPr>
            </w:pPr>
            <w:r>
              <w:rPr>
                <w:b/>
              </w:rPr>
              <w:t>0.48</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bidi w:val="0"/>
              <w:spacing w:before="0" w:after="283"/>
              <w:jc w:val="right"/>
              <w:rPr/>
            </w:pPr>
            <w:r>
              <w:rPr/>
              <w:t>0.30 – 0.70</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Note: IR = incidence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904"/>
        <w:gridCol w:w="301"/>
        <w:gridCol w:w="97"/>
        <w:gridCol w:w="744"/>
        <w:gridCol w:w="60"/>
        <w:gridCol w:w="301"/>
        <w:gridCol w:w="90"/>
        <w:gridCol w:w="697"/>
        <w:gridCol w:w="60"/>
        <w:gridCol w:w="300"/>
        <w:gridCol w:w="90"/>
        <w:gridCol w:w="697"/>
        <w:gridCol w:w="60"/>
        <w:gridCol w:w="301"/>
        <w:gridCol w:w="123"/>
        <w:gridCol w:w="904"/>
        <w:gridCol w:w="60"/>
        <w:gridCol w:w="301"/>
        <w:gridCol w:w="104"/>
        <w:gridCol w:w="1940"/>
        <w:gridCol w:w="71"/>
      </w:tblGrid>
      <w:tr>
        <w:trPr/>
        <w:tc>
          <w:tcPr>
            <w:tcW w:w="2904"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0134" w:type="dxa"/>
            <w:gridSpan w:val="20"/>
            <w:tcBorders/>
            <w:shd w:fill="CCEEFF" w:val="clear"/>
          </w:tcPr>
          <w:p>
            <w:pPr>
              <w:pStyle w:val="TableContents"/>
              <w:bidi w:val="0"/>
              <w:spacing w:before="0" w:after="283"/>
              <w:jc w:val="center"/>
              <w:rPr>
                <w:b/>
                <w:sz w:val="16"/>
              </w:rPr>
            </w:pPr>
            <w:r>
              <w:rPr>
                <w:b/>
                <w:sz w:val="16"/>
              </w:rPr>
              <w:t>NMSC – EAIR Analysis</w:t>
            </w:r>
          </w:p>
        </w:tc>
        <w:tc>
          <w:tcPr>
            <w:tcW w:w="71" w:type="dxa"/>
            <w:tcBorders/>
            <w:shd w:fill="CCEEFF" w:val="clear"/>
          </w:tcPr>
          <w:p>
            <w:pPr>
              <w:pStyle w:val="TableContents"/>
              <w:bidi w:val="0"/>
              <w:spacing w:before="0" w:after="0"/>
              <w:jc w:val="left"/>
              <w:rPr/>
            </w:pPr>
            <w:r>
              <w:rPr/>
              <w:t> </w:t>
            </w:r>
          </w:p>
        </w:tc>
      </w:tr>
      <w:tr>
        <w:trPr/>
        <w:tc>
          <w:tcPr>
            <w:tcW w:w="29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Analysis Set</w:t>
            </w:r>
          </w:p>
        </w:tc>
        <w:tc>
          <w:tcPr>
            <w:tcW w:w="301" w:type="dxa"/>
            <w:tcBorders/>
            <w:vAlign w:val="bottom"/>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bottom"/>
          </w:tcPr>
          <w:p>
            <w:pPr>
              <w:pStyle w:val="TableContents"/>
              <w:bidi w:val="0"/>
              <w:spacing w:before="0" w:after="283"/>
              <w:jc w:val="center"/>
              <w:rPr/>
            </w:pPr>
            <w:r>
              <w:rPr>
                <w:b/>
              </w:rPr>
              <w:t>Placebo</w:t>
              <w:br/>
            </w:r>
            <w:r>
              <w:rPr/>
              <w:t>IR/100 PY</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pPr>
            <w:r>
              <w:rPr>
                <w:b/>
              </w:rPr>
              <w:t>25 mg</w:t>
              <w:br/>
            </w:r>
            <w:r>
              <w:rPr/>
              <w:t>IR/100 PY</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pPr>
            <w:r>
              <w:rPr>
                <w:b/>
              </w:rPr>
              <w:t>50 mg</w:t>
              <w:br/>
            </w:r>
            <w:r>
              <w:rPr/>
              <w:t>IR/100 PY</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pPr>
            <w:r>
              <w:rPr>
                <w:b/>
              </w:rPr>
              <w:t>All Active</w:t>
              <w:br/>
            </w:r>
            <w:r>
              <w:rPr/>
              <w:t>IR/100 PY</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 Range</w:t>
              <w:br/>
              <w:t>Based on Published</w:t>
              <w:br/>
              <w:t>UC Studies</w:t>
            </w:r>
          </w:p>
        </w:tc>
        <w:tc>
          <w:tcPr>
            <w:tcW w:w="71" w:type="dxa"/>
            <w:tcBorders/>
            <w:vAlign w:val="bottom"/>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Integrated UC Program</w:t>
              <w:br/>
              <w:t>(Phase 2 + Phase 3)</w:t>
            </w:r>
          </w:p>
        </w:tc>
        <w:tc>
          <w:tcPr>
            <w:tcW w:w="3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b/>
              </w:rPr>
            </w:pPr>
            <w:r>
              <w:rPr>
                <w:b/>
              </w:rPr>
              <w:t>0.46</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0.53</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0.64</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b/>
              </w:rPr>
            </w:pPr>
            <w:r>
              <w:rPr>
                <w:b/>
              </w:rPr>
              <w:t>0.59</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bidi w:val="0"/>
              <w:spacing w:before="0" w:after="283"/>
              <w:jc w:val="right"/>
              <w:rPr/>
            </w:pPr>
            <w:r>
              <w:rPr/>
              <w:t>0.70 – 1.40</w:t>
            </w:r>
          </w:p>
        </w:tc>
        <w:tc>
          <w:tcPr>
            <w:tcW w:w="71" w:type="dxa"/>
            <w:tcBorders/>
            <w:shd w:fill="CCEEFF" w:val="clear"/>
            <w:vAlign w:val="bottom"/>
          </w:tcPr>
          <w:p>
            <w:pPr>
              <w:pStyle w:val="TableContents"/>
              <w:bidi w:val="0"/>
              <w:spacing w:before="0" w:after="283"/>
              <w:jc w:val="left"/>
              <w:rPr/>
            </w:pPr>
            <w:r>
              <w:rPr/>
              <w:t> </w:t>
            </w:r>
          </w:p>
        </w:tc>
      </w:tr>
      <w:tr>
        <w:trPr/>
        <w:tc>
          <w:tcPr>
            <w:tcW w:w="2904" w:type="dxa"/>
            <w:tcBorders/>
          </w:tcPr>
          <w:p>
            <w:pPr>
              <w:pStyle w:val="TableContents"/>
              <w:bidi w:val="0"/>
              <w:spacing w:before="0" w:after="0"/>
              <w:jc w:val="left"/>
              <w:rPr>
                <w:rFonts w:ascii="Times New Roman" w:hAnsi="Times New Roman"/>
                <w:b/>
                <w:sz w:val="20"/>
              </w:rPr>
            </w:pPr>
            <w:r>
              <w:rPr>
                <w:rFonts w:ascii="Times New Roman" w:hAnsi="Times New Roman"/>
                <w:b/>
                <w:sz w:val="20"/>
              </w:rPr>
              <w:t>Phase 3 Maintenance</w:t>
              <w:br/>
              <w:t>(Part 1 + Part 2)</w:t>
            </w:r>
          </w:p>
        </w:tc>
        <w:tc>
          <w:tcPr>
            <w:tcW w:w="30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b/>
              </w:rPr>
            </w:pPr>
            <w:r>
              <w:rPr>
                <w:b/>
              </w:rPr>
              <w:t>0.68</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1.09</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1.37</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b/>
              </w:rPr>
            </w:pPr>
            <w:r>
              <w:rPr>
                <w:b/>
              </w:rPr>
              <w:t>1.26</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right"/>
              <w:rPr/>
            </w:pPr>
            <w:r>
              <w:rPr/>
              <w:t>0.70 – 1.40</w:t>
            </w:r>
          </w:p>
        </w:tc>
        <w:tc>
          <w:tcPr>
            <w:tcW w:w="71" w:type="dxa"/>
            <w:tcBorders/>
            <w:vAlign w:val="bottom"/>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2 Only</w:t>
            </w:r>
          </w:p>
        </w:tc>
        <w:tc>
          <w:tcPr>
            <w:tcW w:w="3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1.52</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0.69</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b/>
              </w:rPr>
            </w:pPr>
            <w:r>
              <w:rPr>
                <w:b/>
              </w:rPr>
              <w:t>0.95</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bidi w:val="0"/>
              <w:spacing w:before="0" w:after="283"/>
              <w:jc w:val="right"/>
              <w:rPr/>
            </w:pPr>
            <w:r>
              <w:rPr/>
              <w:t>0.70 – 1.40</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Note: IR = incidence rate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overall safety results observed in Part 2 were consistent with those previously observed in the broader obefazimod clinical development program. No new safety pattern emerged with the additional cumulative exposure provided by Part 2.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Regulatory Path Forward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the foregoing Part 2 results expand the integrated clinical dataset supporting the planned New Drug Application (“NDA”) for obefazimod in UC. We believe we remain on track to submit our NDA to the U.S. Food and Drug Administration in the fourth quarter of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as a </w:t>
      </w:r>
      <w:r>
        <w:rPr>
          <w:rFonts w:ascii="Times New Roman" w:hAnsi="Times New Roman"/>
          <w:i/>
          <w:sz w:val="20"/>
          <w:bdr w:val="single" w:sz="8" w:space="1" w:color="000000"/>
        </w:rPr>
        <w:t>société anonyme</w:t>
      </w:r>
      <w:r>
        <w:rPr>
          <w:rFonts w:ascii="Times New Roman" w:hAnsi="Times New Roman"/>
          <w:sz w:val="20"/>
          <w:bdr w:val="single" w:sz="8" w:space="1" w:color="000000"/>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 +33 (0) 1 53 83 09 63. We have one wholly owned subsidiary, Abivax LLC, a Delaware limited liability company, formed on March 20,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ADSs began trading on the Nasdaq Global Market in October 2023. We also maintain a website at www.abivax.com. The reference to our website is an inactive textual reference only and the information contained in, or that can be accessed through, our website or any other website cited in this prospectus supplement or the accompanying prospectus is not a part of this prospectus supplement or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auditor attestation requirements of Section 404 of the Sarbanes-Oxley Act of 2002;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December 31, 2028 or until such earlier time that we no longer qualify as an emerging growth company. We would cease to be an emerging growth company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choose to take advantage of some but not all of these exemptions. For example,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In addition, our executive officers, members of our board of directors and our principal shareholders are exempt from “short-swing” profit recovery provisions of Section 16 of the Exchange Act and the rules under the Exchange Act with respect to their purchases and sales of our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$600,000,000 of ADSs offered by us, each representing one ordinary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Option to Purchase Additional ADSs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underwriters have an option, exercisable on or before the initial settlement date, to purchase up to an aggregate of     ADSs at the public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Ordinary Shares (Including in the Form of ADSs) to be Outstanding After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w:t>
            </w:r>
            <w:r>
              <w:rPr/>
              <w:t xml:space="preserve">ordinary shares (including in the form of ADSs) or up to    ordinary shares (including in the form of ADSs) if we issue    additional ADSs pursuant to the exercise in full of the underwriters’ option.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American Depositary Shares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Purchasers of ADSs in the offering will have the rights of an ADS holder as provided in the deposit agreement among us, the depositary and all holders and beneficial owners of ADSs issued thereunder. To better understand the terms of the ADSs, you should carefully read the section in the accompanying prospectus titled “Description of American Depositary Shares.” We also encourage you to read the deposit agreement, which is filed as an exhibit to the registration statement that includes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Depositary</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Citibank,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estimate that we will receive net proceeds from this offering of approximately $     (   ) million based on the public offering price of $    per ADS, after deducting underwriting discounts and commissions and estimated offering expenses payable by us, and assuming no issuance by us of additional ADSs pursuant to the exercise of the underwriters’ option to purchase up to      additional ADSs in this offering. If we issue    additional ADSs pursuant to the exercise in full of the underwriters’ option in the offering, we estimate that we will receive net proceeds from the offering of approximately $    (   )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intend to use the net proceeds from this offering for expenses relating to potential commercialization of our lead drug candidate, obefazimod, in the United States; clinical research and development expenses, primarily related to ulcerative colitis and Crohn’s disease; and the remainder, if any, for general corporate purposes. We may also use a portion of the net proceeds to in-license, invest in or acquire businesses, technologies, products or assets that we believe are complementary to our own, although we have no current plans, commitments or agreements with respect to any such transactions as of the date of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The Nasdaq Global Market Symbol for our ADSs</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ABVX”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Regulated Market of Euronext in Paris Trading Symbol for our Ordinary Shares</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ABVX”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Settlement</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expect to deliver the ADSs on or about the date of delivery specified on the cover page of this prospectus supplement, which will be the second business day following the trade date for the ADSs (this settlement cycle being referred to as “T+2”). Under Rule 15c6-1 of the Exchange Act, trades in the secondary market generally are required to settle in one business day unless the parties to any such trade expressly agree otherwise. Accordingly, purchasers who wish to trade the ADSs prior to the business day preceding the date of delivery will be required, by virtue of the fact that the ADSs initially will settle in T+2, to specify an alternate settlement cycle at the time of any such trade to prevent a failed settlement and should consult their own advisors.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Before deciding whether to invest in our ordinary shares (including in the form of ADSs), you should carefully consider the risks described under “Risk Factors” beginning on page S-9 of this prospectus supplement, as well as the other information included or incorporated by reference into this prospectus supplement and the accompanying prospectus, including our financial statements and the notes thereto.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in this prospectus supplement, the number of ordinary shares (including in the form of ADSs) that will be outstanding after this offering is based on 79,291,188 ordinary shares outstanding as of March 31, 2026 (as adjusted to give effect to the Royalty Certificate Repurchase),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277,204 ordinary shares issuable upon the exercise of share warrants (BSA) outstanding as of March 31, 2026 at a weighted-average exercise price of 16.26 per ordinary share (or $18.70 based on the exchange rate in effect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205,139 ordinary shares issuable upon the exercise of founder’s share warrants (BCE) outstanding as of March 31, 2026 at a weighted-average exercise price of 10.20 per ordinary share (or $11.73 based on the exchange rate in effect as of March 31,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8,083,287 ordinary shares issuable upon vesting of free shares (AGAs) outstanding as of March 31,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BSA and BCE or vesting of the AGAs listed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issuance by us of additional ADSs pursuant to the exercise of the underwriters’ over-allotment option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1135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ordinary shares (including ordinary shares in the form of ADSs) involves a high degree of risk. You should carefully consider the risks and uncertainties described below, as well as general economic and business risks, including those set forth in the section titled “Risk Factors” included in our Annual Report on Form 20-F for the year ended December 31, 2025 incorporated by reference herein, together with all of the other information in this prospectus supplement, the accompanying prospectus, and the documents incorporated by reference herein, including our consolidated financial statements and related notes, before deciding whether to purchase our securities. If any of the following risks are realized, our business, financial condition, operating results and prospects could be materially and adversely affected. In that event, the market price of our securities could decline, and you could lose part or all of your investment. Additional risks not presently known to us or that we currently believe are immaterial may also significantly impair our business operations. Please also read carefully the section above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management will have broad discretion over the use of the proceeds from this offering and may apply these proceeds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to use the net proceeds we receive from this offering, and you will be relying on its judgment regarding the application of these proceeds. We may spend or invest these proceeds in a way with which our shareholders disagree. The failure by our management to apply these funds effectively could harm our business and financial condition. We expect to use the net proceeds from this offering as described under the heading “Use of Proceeds.” However, management may not apply such proceeds in ways that increase the value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ADSs in the offering, you will experience substantial and immediate dilution.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ADSs in the offering, you will experience substantial and immediate dilution of $    per ADS (    per ordinary share) in net tangible book value after giving effect to this offering at the public offering price of $    per ADS in the offering, because the price that you pay will be substantially greater than the net tangible book value per ADS that you acquire. This dilution is due in large part to the fact that our earlier investors paid substantially less than the public offering price when they purchased their ADSs or ordinary shares, as applicable. You will experience additional dilution at the end of the vesting period for our free shares that we have granted, and upon exercise of any outstanding share warrants to purchase ordinary shares, or if we otherwise issue additional ordinary shares or ADSs below the public offering price. For a further description of the dilution that you will experience immediately after the offering, see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Concurrent or future sales of ordinary shares or ADSs by existing shareholders could depress the market price of the ADSs and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additional capital will be needed to continue our planned operations, including conducting our planned clinical trials, manufacturing and commercialization efforts, expanded research and development activities and costs associated with operating as a public company. Additional financing may be obtained through additional equity offerings, which may include underwritten offerings, private placement financing or the initiation of an at-the-market program. Sales of additional ordinary shares or ADSs by us, or the perception that these sales could occur, could cause the market price of our ADSs to decline. </w:t>
      </w:r>
    </w:p>
    <w:p>
      <w:pPr>
        <w:pStyle w:val="TextBody"/>
        <w:bidi w:val="0"/>
        <w:spacing w:before="240" w:after="0"/>
        <w:jc w:val="left"/>
        <w:rPr>
          <w:rFonts w:ascii="Times New Roman" w:hAnsi="Times New Roman"/>
          <w:sz w:val="20"/>
        </w:rPr>
      </w:pPr>
      <w:r>
        <w:rPr>
          <w:rFonts w:ascii="Times New Roman" w:hAnsi="Times New Roman"/>
          <w:sz w:val="20"/>
        </w:rPr>
        <w:t xml:space="preserve">If existing shareholders sell, or indicate an intent to sell, substantial amounts of ordinary shares or ADSs in the public market after the 60-day contractual lock-up and other legal restrictions on resale discussed in this prospectus supplement lapse, the trading price of the ADSs and ordinary shares could decline significantly and could decline below the public offering price. Upon completion of this offering and based on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ordinary shares (including ordinary shares in the form of ADSs) outstanding as of March 31, 2026, we will have outstanding     ordinary shares (including ordinary shares in the form of ADSs) assuming no issuance by us of additional ADSs pursuant to the exercise of the underwriters’ option, approximately     of which will be subject to a contractual restriction on selling for up to 60 days, subject to certain exceptions. The underwriters may permit our executive officers and directors to sell ADSs or ordinary shares prior to the expiration of the lock-up agreements. See “Underwriting.” </w:t>
      </w:r>
    </w:p>
    <w:p>
      <w:pPr>
        <w:pStyle w:val="TextBody"/>
        <w:bidi w:val="0"/>
        <w:spacing w:before="240" w:after="0"/>
        <w:jc w:val="left"/>
        <w:rPr>
          <w:rFonts w:ascii="Times New Roman" w:hAnsi="Times New Roman"/>
          <w:sz w:val="20"/>
        </w:rPr>
      </w:pPr>
      <w:r>
        <w:rPr>
          <w:rFonts w:ascii="Times New Roman" w:hAnsi="Times New Roman"/>
          <w:sz w:val="20"/>
        </w:rPr>
        <w:t xml:space="preserve">After the 60-day lock-up agreements with our executive officers and board members expire, additional ordinary shares (including in the form of ADSs) will be eligible for sale by such executive officers and board members in the public market, subject to compliance with applicable requirements under Rule 144 or Regulation S. In addition, the ordinary shares subject to outstanding warrants and outstanding free shares will become eligible for sale in the public market in the future, subject to certain legal and contractual limitations. We have filed a registration statement on Form S-8 with the SEC covering the ordinary shares issuable upon exercise of outstanding share warrants and vesting of outstanding free shares. Sales of a large number of ordinary shares or ADSs in the public market by our officers or board members or by significant shareholders upon the exercise of share warrants or vesting of free shares, in future public offerings by us or otherwise could have an adverse effect on the market price of the ADSs or ordinary shares. If these additional ordinary shares are sold, or if it is perceived that they will be sold, in the public market, the trading price of the ADSs and ordinary shares could decline substantially.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including as a result of this offering, may cause dilution to our shareholders, restrict our operations or require us to relinquish rights to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revenue from the sale of our product candidates, we expect to finance our cash needs through a combination of equity offerings, debt financing, collaborations, strategic alliances and licensing arrangements. To the extent that we raise additional capital through the sale of equity securities, or convertible debt securities, your ownership interest will be diluted, and the terms of these securities may include liquidation or other preferences that adversely affect your rights as a shareholder.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drug development or future commercialization efforts or grant rights to third parties to develop and market product candidates that we would otherwise prefer to develop and market ourselves.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biotechnology industry has been included in the list of critical technologies subject to foreign investment control procedure in France, which may limit the ability to certain non-French investors to participate in this or any other offering of our securities. </w:t>
      </w:r>
    </w:p>
    <w:p>
      <w:pPr>
        <w:pStyle w:val="TextBody"/>
        <w:bidi w:val="0"/>
        <w:spacing w:before="120" w:after="0"/>
        <w:jc w:val="left"/>
        <w:rPr>
          <w:rFonts w:ascii="Times New Roman" w:hAnsi="Times New Roman"/>
          <w:sz w:val="20"/>
        </w:rPr>
      </w:pPr>
      <w:r>
        <w:rPr>
          <w:rFonts w:ascii="Times New Roman" w:hAnsi="Times New Roman"/>
          <w:sz w:val="20"/>
        </w:rPr>
        <w:t>The completion of any investment (i) by (a) an individual of foreign nationality, (b) any individual of French nationality not domiciled in France within the meaning of Article 4B of the French General Tax Code (</w:t>
      </w:r>
      <w:r>
        <w:rPr>
          <w:rFonts w:ascii="Times New Roman" w:hAnsi="Times New Roman"/>
          <w:i/>
          <w:sz w:val="20"/>
        </w:rPr>
        <w:t>Code général des impôts</w:t>
      </w:r>
      <w:r>
        <w:rPr>
          <w:rFonts w:ascii="Times New Roman" w:hAnsi="Times New Roman"/>
          <w:sz w:val="20"/>
        </w:rPr>
        <w:t xml:space="preserve">), (c) any entity governed by foreign law, and (d) any entity governed by French law controlled by one or more of the individuals or entities referred to in (a) to (c), (ii) which would result in (a) the acquisition of control-within the meaning of Article L. 233-3 of the French Commercial Code (Code de commerce)-of a French company, (b) the acquisition of all or part of an activity of a French company, or (c) for individuals who are not nationals of a Member State of the European Union or of a State party to the agreement on the European Economic Area that has entered into an administrative assistance agreement with France and/or are not domiciled in one of these States, or for legal entities of which at least one of the members of the control chain is not governed by the law of one of these States or is not a national and/or is not domiciled there, to cross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threshold of 25% of the voting rights of a French company, or (d) for individuals who are not nationals of a Member State of the EU or of a State party to the agreement on the EEA that has entered into an administrative assistance agreement with France and/or are not domiciled in one of these State, or for legal entities of which at least one of the members of the control chain is not governed by the law of one of these States or is not a national and/or is not domiciled there, to cross the threshold of 10% of the voting rights of a French company whose shares are admitted to trading on a regulated market and (iii) whose activities concern, even occasionally, the research and development of so-called critical technologies, such as biotechnologies, and considered essential to the protection of public health, is subject to prior authorization by the French Minister of the Economy (</w:t>
      </w:r>
      <w:r>
        <w:rPr>
          <w:rFonts w:ascii="Times New Roman" w:hAnsi="Times New Roman"/>
          <w:i/>
          <w:sz w:val="20"/>
        </w:rPr>
        <w:t>ministère de l’Économie</w:t>
      </w:r>
      <w:r>
        <w:rPr>
          <w:rFonts w:ascii="Times New Roman" w:hAnsi="Times New Roman"/>
          <w:sz w:val="20"/>
        </w:rPr>
        <w:t xml:space="preserve">). The French Decree No. 2023-1293 of December 28, 2023 has made permanent the temporary regime under French Decree No. 2022-1622 of December 23, 2022, which expired on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crossing of the threshold of 10% of the voting rights of French companies whose shares are admitted to trading on a regulated market is subject to a fast track review procedure (filing of a simplified form, delay for the Minister to respond limited to 10 business days, transaction deemed authorized in the absence of a response at the end of the delay). </w:t>
      </w:r>
    </w:p>
    <w:p>
      <w:pPr>
        <w:pStyle w:val="TextBody"/>
        <w:bidi w:val="0"/>
        <w:spacing w:before="240" w:after="0"/>
        <w:jc w:val="left"/>
        <w:rPr>
          <w:rFonts w:ascii="Times New Roman" w:hAnsi="Times New Roman"/>
          <w:sz w:val="20"/>
        </w:rPr>
      </w:pPr>
      <w:r>
        <w:rPr>
          <w:rFonts w:ascii="Times New Roman" w:hAnsi="Times New Roman"/>
          <w:sz w:val="20"/>
        </w:rPr>
        <w:t xml:space="preserve">If an investment in the Company requiring the prior authorization of the Minister of the Economy is made without such authorization having been granted, the Minister of the Economy may cancel the transaction or order (possibly under financial penalty) the investor concerned (i) to submit an application for authorization, (ii) to have the previous situation restored at its own expense or (iii) to modify the investment. In addition, the Minister may impose undertakings and conditions on the investor (including regular reporting commitments). The investor concerned could also be declared criminally liable and be sanctioned, in particular, by exclusion from any public contract or by a fine which may not exceed the highest of the following three amounts: (i) twice the amount of the investment concerned, (ii) 10% of our annual pre-tax revenues and (iii) 5 million (for a company) or 1 million (for an individual). The application of these regulations is likely to constitute a potential barrier to investments made by investors located outside the European Economic Area and could therefore limit our access to sources of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11359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from this offering of approximately $    (   ) million based on the public offering price of $    per ADS, after deducting underwriting discounts and commissions and estimated offering expenses payable by us, and assuming no issuance by us of additional ADSs pursuant to the exercise of the underwriters’ option to purchase up to    additional ADSs in this offering. If we issue    additional ADSs pursuant to the exercise in full of the underwriters’ option in the offering, we estimate that we will receive net proceeds from the offering of approximately $    (   ) million.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for expenses relating to potential commercialization of our lead drug candidate, obefazimod, in the United States; clinical research and development expenses, primarily related to ulcerative colitis and Crohn’s disease; and the remainder, if any, for general corporate purposes. We may also use a portion of the net proceeds to in-license, invest in or acquire businesses, technologies, products or assets that we believe are complementary to our own, although we have no current plans, commitments or agreements with respect to any such transactions as of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net proceeds from the offering, together with our existing cash, cash equivalents and other short-term investments will be sufficient to meet our working capital requirements into    . Our estimates of the period of time through which our financial resources are expected to be adequate to meet our working capital requirements are forward-looking statements and involve risks and uncertainties, and actual results could vary materially and negatively as a result of a number of factors, as described under “Special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proceeds from the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research and development efforts, the timing and success of preclinical studies, our ongoing clinical trials or clinical trials we may commence in the future, as well as any collaborations that we may enter into with third parties for our drug candidates, the timing of regulatory submissions and any unforeseen cash needs. As a result, our management retains broad discretion over the allocation of the net proceeds from the offering. </w:t>
      </w:r>
    </w:p>
    <w:p>
      <w:pPr>
        <w:pStyle w:val="TextBody"/>
        <w:bidi w:val="0"/>
        <w:spacing w:before="240" w:after="0"/>
        <w:jc w:val="left"/>
        <w:rPr>
          <w:rFonts w:ascii="Times New Roman" w:hAnsi="Times New Roman"/>
          <w:sz w:val="20"/>
        </w:rPr>
      </w:pPr>
      <w:r>
        <w:rPr>
          <w:rFonts w:ascii="Times New Roman" w:hAnsi="Times New Roman"/>
          <w:sz w:val="20"/>
        </w:rPr>
        <w:t xml:space="preserve">Pending our use of the net proceeds from the offering, we intend to invest the net proceeds in a variety of capital preservation investments, including short-term,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11359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cash equivalents and other short-term investments and capitalization in euros and U.S. dollars as of March 31,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 adjusted basis to give effect to the Royalty Certificate Repurchase;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forma as adjusted basis to give further effect to the issuances of our ADSs in this offering (assuming no exercise of the option of the underwriters in this offering to purchase additional ADSs), after deducting the underwriting discounts and commissions and our estimated offering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is illustrative only, and our capitalization following the completion of this offering, if it is completed, will depend on the final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following table should be read in conjunction with and is qualified in its entirety by our financial statements and notes thereto incorporated by reference in this prospectus supplement and the accompanying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73"/>
        <w:gridCol w:w="85"/>
        <w:gridCol w:w="60"/>
        <w:gridCol w:w="1010"/>
        <w:gridCol w:w="155"/>
        <w:gridCol w:w="85"/>
        <w:gridCol w:w="60"/>
        <w:gridCol w:w="1010"/>
        <w:gridCol w:w="155"/>
        <w:gridCol w:w="85"/>
        <w:gridCol w:w="60"/>
        <w:gridCol w:w="1010"/>
        <w:gridCol w:w="155"/>
        <w:gridCol w:w="84"/>
        <w:gridCol w:w="60"/>
        <w:gridCol w:w="1010"/>
        <w:gridCol w:w="155"/>
        <w:gridCol w:w="85"/>
        <w:gridCol w:w="60"/>
        <w:gridCol w:w="892"/>
        <w:gridCol w:w="155"/>
        <w:gridCol w:w="85"/>
        <w:gridCol w:w="60"/>
        <w:gridCol w:w="892"/>
        <w:gridCol w:w="164"/>
      </w:tblGrid>
      <w:tr>
        <w:trPr/>
        <w:tc>
          <w:tcPr>
            <w:tcW w:w="257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83"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As of March 31, 2026</w:t>
            </w:r>
          </w:p>
        </w:tc>
        <w:tc>
          <w:tcPr>
            <w:tcW w:w="164" w:type="dxa"/>
            <w:tcBorders/>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b/>
                <w:i/>
              </w:rPr>
            </w:pPr>
            <w:r>
              <w:rPr>
                <w:b/>
                <w:i/>
              </w:rPr>
              <w:t>(In thousands)</w:t>
            </w:r>
          </w:p>
        </w:tc>
        <w:tc>
          <w:tcPr>
            <w:tcW w:w="85" w:type="dxa"/>
            <w:tcBorders/>
            <w:vAlign w:val="bottom"/>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1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w:t>
            </w:r>
          </w:p>
        </w:tc>
        <w:tc>
          <w:tcPr>
            <w:tcW w:w="164" w:type="dxa"/>
            <w:tcBorders/>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b/>
              </w:rPr>
            </w:pPr>
            <w:r>
              <w:rPr>
                <w:b/>
              </w:rPr>
              <w:t>$(1)</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b/>
              </w:rPr>
            </w:pPr>
            <w:r>
              <w:rPr>
                <w:b/>
              </w:rPr>
              <w:t>$(1)</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52"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52" w:type="dxa"/>
            <w:gridSpan w:val="2"/>
            <w:tcBorders/>
            <w:vAlign w:val="bottom"/>
          </w:tcPr>
          <w:p>
            <w:pPr>
              <w:pStyle w:val="TableContents"/>
              <w:bidi w:val="0"/>
              <w:spacing w:before="0" w:after="283"/>
              <w:jc w:val="center"/>
              <w:rPr>
                <w:b/>
              </w:rPr>
            </w:pPr>
            <w:r>
              <w:rPr>
                <w:b/>
              </w:rPr>
              <w:t>$(1)</w:t>
            </w:r>
          </w:p>
        </w:tc>
        <w:tc>
          <w:tcPr>
            <w:tcW w:w="164" w:type="dxa"/>
            <w:tcBorders/>
            <w:vAlign w:val="bottom"/>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other short-term investments(1)</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477,423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548,941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438,286</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503,941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 portion</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1,101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1,266</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1,101</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1,266</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1,101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1,266</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 portion</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33,110</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38,070</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347</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399</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347</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399</w:t>
            </w:r>
          </w:p>
        </w:tc>
        <w:tc>
          <w:tcPr>
            <w:tcW w:w="164" w:type="dxa"/>
            <w:tcBorders/>
            <w:vAlign w:val="bottom"/>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34,211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39,336</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1,448</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1,665</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1,448</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1,665</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Equity attributable to shareholders:</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shares(2)(3)</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793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912</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797</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916</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Premiums related to share capital</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1,191,083</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1,369,507</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1,230,216</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1,414,502</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Translation reserves</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2,029</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2,333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2,029</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2,333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2,029</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2,333</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(715,843</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(823,076</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(715,843</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(823,076</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(715,843</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(823,076</w:t>
            </w:r>
          </w:p>
        </w:tc>
        <w:tc>
          <w:tcPr>
            <w:tcW w:w="164" w:type="dxa"/>
            <w:tcBorders/>
            <w:vAlign w:val="bottom"/>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(48,468</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(55,729</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(87,903</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(101,071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(87,903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(101,071</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429,594</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493,947</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429,296</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493,605</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73"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463,805</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533,283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430,744</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495,269</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73"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Translated solely for convenience at an exchange rate of 1.00 = $1.1498, the exchange rate as reported by the European Central Bank on March 31, 2026, except for the net proceeds of the offering, which has been based on an exchange rate of 1.00 = $    on June 30, 2026. As adjusted and pro forma as adjusted cash, cash equivalents and other short-term investments reflect $45.0 million in cash payments related to the Royalty Certificate Repurchase.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as of March 31, 2026, our outstanding share capital consisted of a total of 79,291,188 ordinary shares, with nominal value of 0.01 per share, all issued and outstanding.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share information set forth above is as of March 31, 2026, and excludes, as of that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277,204 ordinary shares issuable upon the exercise of share warrants (BSA) outstanding as of March 31, 2026 at a weighted-average exercise price of 16.26 per ordinary share (or $18.70 based on the exchange rate in effect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205,139 ordinary shares issuable upon the exercise of founder’s share warrants (BCE) outstanding as of March 31, 2026 at a weighted-average exercise price of 10.20 per ordinary share (or $11.73 based on the exchange rate in effect as of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8,083,287 ordinary shares issuable upon vesting of free shares (AGAs) outstanding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11359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ADSs in this offering, your ownership interest will be diluted to the extent of the difference between the public offering price per ADS paid by you and our as adjusted net tangible book value (deficit) per ADS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March 31, 2026 was 404.6 million ($465.2 million), or 5.10 ($5.87) per ADS, based on an exchange rate of 1.00 = $1.1498, the exchange rate as reported by the European Central Bank on March 31, 2026. Net tangible book value per ADS is determined by dividing (1) our total assets less our intangible assets (including goodwill) and our total liabilities by (2) the number of ordinary shares outstanding as of March 31, 2026, or 79,291,188 ordinary shares. For the purposes of this “Dilution” section, we assume all outstanding ordinary shares are held in the form of ADSs for the purpose of per ADS calculations. </w:t>
      </w:r>
    </w:p>
    <w:p>
      <w:pPr>
        <w:pStyle w:val="TextBody"/>
        <w:bidi w:val="0"/>
        <w:spacing w:before="240" w:after="0"/>
        <w:jc w:val="left"/>
        <w:rPr>
          <w:rFonts w:ascii="Times New Roman" w:hAnsi="Times New Roman"/>
          <w:sz w:val="20"/>
        </w:rPr>
      </w:pPr>
      <w:r>
        <w:rPr>
          <w:rFonts w:ascii="Times New Roman" w:hAnsi="Times New Roman"/>
          <w:sz w:val="20"/>
        </w:rPr>
        <w:t xml:space="preserve">Our as adjusted net tangible book value as of March 31, 2026 was 404.3 million ($464.8 million), or 5.07 ($5.83) per ADS, based on an exchange rate of 1.00 = $1.1498, the exchange rate as reported by the European Central Bank on March 31, 2026. Our as adjusted net tangible book value per ADS is our net tangible book value as of March 31, 2026, after giving effect to the Royalty Certificate Repurchase.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sale of    ADSs in this offering, assuming all ADSs in the offering are sold at the public offering price of $    per ADS, and after deducting underwriting discounts and commissions and estimated offering expenses payable by us, our pro forma as adjusted net tangible book value as of March 31, 2026 would have been     ($    ), or     ($    ) per ADS. This represents an immediate increase in as adjusted net tangible book value of     ($    ) per ADS to existing shareholders and an immediate dilution in as adjusted net tangible book value of     ($    ) per ADS to new investors.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ADS basis: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41"/>
        <w:gridCol w:w="176"/>
        <w:gridCol w:w="60"/>
        <w:gridCol w:w="562"/>
        <w:gridCol w:w="155"/>
        <w:gridCol w:w="176"/>
        <w:gridCol w:w="60"/>
        <w:gridCol w:w="442"/>
        <w:gridCol w:w="60"/>
        <w:gridCol w:w="176"/>
        <w:gridCol w:w="140"/>
        <w:gridCol w:w="562"/>
        <w:gridCol w:w="155"/>
        <w:gridCol w:w="176"/>
        <w:gridCol w:w="140"/>
        <w:gridCol w:w="442"/>
        <w:gridCol w:w="65"/>
      </w:tblGrid>
      <w:tr>
        <w:trPr/>
        <w:tc>
          <w:tcPr>
            <w:tcW w:w="584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30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Per ADS</w:t>
            </w:r>
          </w:p>
        </w:tc>
        <w:tc>
          <w:tcPr>
            <w:tcW w:w="65" w:type="dxa"/>
            <w:tcBorders/>
            <w:vAlign w:val="bottom"/>
          </w:tcPr>
          <w:p>
            <w:pPr>
              <w:pStyle w:val="TableContents"/>
              <w:bidi w:val="0"/>
              <w:spacing w:before="0" w:after="283"/>
              <w:jc w:val="left"/>
              <w:rPr/>
            </w:pPr>
            <w:r>
              <w:rPr/>
              <w:t> </w:t>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ADS as of March 31, 2026</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5.10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5.87</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net tangible book value per ADS attributable to the Royalty Certificate Repurchase</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841"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ADS as of March 31, 2026</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5.07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5.83</w:t>
            </w:r>
          </w:p>
        </w:tc>
        <w:tc>
          <w:tcPr>
            <w:tcW w:w="65" w:type="dxa"/>
            <w:tcBorders/>
            <w:vAlign w:val="bottom"/>
          </w:tcPr>
          <w:p>
            <w:pPr>
              <w:pStyle w:val="TableContents"/>
              <w:bidi w:val="0"/>
              <w:spacing w:before="0" w:after="283"/>
              <w:jc w:val="left"/>
              <w:rPr/>
            </w:pPr>
            <w:r>
              <w:rPr/>
              <w:t> </w:t>
            </w:r>
          </w:p>
        </w:tc>
      </w:tr>
      <w:tr>
        <w:trPr/>
        <w:tc>
          <w:tcPr>
            <w:tcW w:w="5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as adjusted net tangible book value per ADS attributable to new investors participating in this offering</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ADS as of March 31, 2026 after giving effect to this offering</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841"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841" w:type="dxa"/>
            <w:tcBorders/>
          </w:tcPr>
          <w:p>
            <w:pPr>
              <w:pStyle w:val="TableContents"/>
              <w:bidi w:val="0"/>
              <w:spacing w:before="0" w:after="0"/>
              <w:jc w:val="left"/>
              <w:rPr>
                <w:rFonts w:ascii="Times New Roman" w:hAnsi="Times New Roman"/>
                <w:sz w:val="20"/>
              </w:rPr>
            </w:pPr>
            <w:r>
              <w:rPr>
                <w:rFonts w:ascii="Times New Roman" w:hAnsi="Times New Roman"/>
                <w:sz w:val="20"/>
              </w:rPr>
              <w:t>Dilution per ADS to investors participating in this offering</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841"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issue    additional ADSs pursuant to the exercise in full of the underwriters’ option, the pro forma as adjusted net tangible book value after this offering would be     ($    ) per ADS, the increase in the as adjusted net tangible book value to existing shareholders would be     ($    ) per ADS, and the dilution to investors participating in this offering would be     ($    ) per ADS.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securityholders. To the extent that we issue additional ordinary shares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equity incentive plans, pursuant to draws under our existing equity line facility, through the establishment of an at-the-market program, or upon the exercise of share warrants, there will be further dilution to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in this prospectus supplement, the number of ordinary shares (including in the form of ADSs) that will be outstanding after this offering is based on 79,291,188 ordinary shares outstanding as of March 31,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277,204 ordinary shares issuable upon the exercise of share warrants (BSA) outstanding as of March 31, 2026 at a weighted-average exercise price of 16.26 per ordinary share (or $18.70 based on the exchange rate in effect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205,139 ordinary shares issuable upon the exercise of founder’s share warrants (BCE) outstanding as of March 31, 2026 at a weighted-average exercise price of 10.20 per ordinary share (or $11.73 based on the exchange rate in effect as of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8,083,287 ordinary shares issuable upon vesting of free shares (AGAs) outstanding as of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the information in this prospectus supplement assumes: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BSA and BCE or vesting of the AGAs listed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issuance by us of additional ADSs pursuant to the exercise of the underwriters’ option to purchase additional ADSs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11359_8"/>
      <w:bookmarkEnd w:id="10"/>
      <w:r>
        <w:rPr>
          <w:rFonts w:ascii="Times New Roman" w:hAnsi="Times New Roman"/>
          <w:b/>
          <w:sz w:val="20"/>
        </w:rPr>
        <w:t xml:space="preserve">TAXATION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U.S.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material U.S. federal income tax consequences to the U.S. Holders described below of acquiring, owning and disposing of the ADSs acquired pursuant to this offering. It is not a comprehensive description of all tax considerations that may be relevant to a particular person’s decision to acquire securities. This discussion applies only to U.S. Holders that hold ADSs as “capital assets” (generally, property held for investment) under the U.S. Internal Revenue Code of 1986, as amended (the “Code”). In addition, it does not describe all of the tax considerations that may be relevant in light of a U.S. Holder’s particular circumstances, including U.S. federal estate and gift taxes, the Medicare contribution tax on net investment income, alternative minimum tax considerations, the special tax accounting rules under Section 451(b) of the Code, any state, local, or non-U.S. tax considerations, and tax considerations applicable to 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who use a mark-to-market method of tax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ADSs as part of a hedging transaction, “straddle,” wash sale, conversion transaction or integrated transaction or persons entering into a constructive sale with respect to the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grantor trusts or other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exempt entities, including “individual retirement accounts” and “Roth IRAs”;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classified as partnerships or other pass-through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received ADSs as compensation for the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ten percent or more of our shares (by vote or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ADSs in connection with a trade or business, permanent establishment, or fixed base outside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the ADSs, the U.S. federal income tax treatment of a partner in that partnership will generally depend on the status of the partner and the activities of the partnership. Entities or arrangements treated as partnerships holding the ADSs and partners in such partnerships are encouraged to consult their own tax advisers as to the particular U.S. federal income tax consequences of acquiring, owning, and disposing of the ADSs.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is based on the Code, existing, proposed and temporary U.S. Treasury Regulations promulgated thereunder and administrative and judicial interpretations thereof, in each case as in effect and available on the date hereof. All of the foregoing is subject to change, which change could apply retroactively, and to differing interpretations, all of which could affect the tax considerations described below. No rulings have been sought from the U.S. Internal Revenue Service (the “IRS”) regarding the matters discussed herein and there can be no assurance that the IRS will not take a contrary position concerning the tax consequences of the acquisition, ownership and disposition of the ADSs or that such a position will not be sustained. U.S. Holders should consult their own tax advisers concerning the U.S. federal, state, local and non-U.S. tax consequences of acquiring, owning, and disposing of the ADSs in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used for purposes of this section “—Material U.S. Federal Income Tax Considerations,” a “U.S. Holder” is a holder who, for U.S. federal income tax purposes, is a beneficial owner of the ADSs that is an initial purchaser of the ADSs sold in this offering of our ADSs in the United States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eligible for inclusion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a U.S. court is able to exercise primary supervision over the trust’s administration and one or more United States persons (as such term is defined under the Code) have authority to control all substantial decisions of the trust, or (B) the trust has a valid election in place under applicable U.S. Treasury Regulations to treat the trust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discussion below assumes that the representations contained in the depositary agreement are true and that the obligations in the depositary agreement and any related agreement will be complied with in accordance with its terms. For U.S. federal income tax purposes, it is generally expected that a U.S. Holder of ADSs will be treated as the beneficial owner of the underlying ordinary shares represented by the ADSs. The remainder of this discussion assumes that a U.S. Holder of our ADSs will be treated in this manner. Accordingly, deposits or withdrawals of ADSs for ordinary shares will generally not be subject to U.S. federal income tax. </w:t>
      </w:r>
    </w:p>
    <w:p>
      <w:pPr>
        <w:pStyle w:val="TextBody"/>
        <w:bidi w:val="0"/>
        <w:spacing w:before="240" w:after="0"/>
        <w:jc w:val="left"/>
        <w:rPr>
          <w:rFonts w:ascii="Times New Roman" w:hAnsi="Times New Roman"/>
          <w:b/>
          <w:sz w:val="20"/>
        </w:rPr>
      </w:pPr>
      <w:r>
        <w:rPr>
          <w:rFonts w:ascii="Times New Roman" w:hAnsi="Times New Roman"/>
          <w:b/>
          <w:sz w:val="20"/>
        </w:rPr>
        <w:t xml:space="preserve">U.S. Holders are encouraged to consult their own tax advisers concerning the U.S. federal, state, local and foreign tax consequences of acquiring, owning and disposing of the ADSs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passive foreign investment company (“PFIC”) rules described below, distributions paid on the ADSs, other than certain pro rata distributions of the ADSs, will generally be treated as dividends to the extent paid out of our current or accumulated earnings and profits (as determined under U.S. federal income tax principles). We do not maintain calculations of our earnings and profits under U.S. federal income tax principles, and so we expect that distributions generally will be reported to U.S. Holders as dividends. Subject to applicable limitations, dividends paid by a “qualified foreign corporation” are eligible for taxation at a preferential capital gains rate rather than the marginal tax rates generally applicable to ordinary income provided that certain requirements are met. However, if we are a PFIC (or treated as a PFIC with respect to the U.S. Holder) for the taxable year in which the dividend is paid or the preceding taxable year (see discussion below under “Passive Foreign Investment Company Rules”), we will not be treated as a qualified foreign corporation, and therefore the preferential capital gains tax rate described above will not apply. Each U.S. Holder is advised to consult its tax advisors regarding the availability of the preferential tax rate on dividends with regard to its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non-U.S. corporation (other than a corporation classified as a PFIC for the taxable year in which the dividend is paid or the preceding taxable year) generally will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provision; or (ii) with respect to any dividend it pays on shares that are readily tradable on an established securities market in the United States. We believe that we qualify as a resident of France for the purposes of, and are eligible for the benefits of, the income tax treaty between France and the United States, which the IRS has determined is satisfactory for purposes of the qualified dividend rules, and that it includes an exchange of information provision, although there can be no assurance in this regard. Further, our ADSs will generally be considered to be readily tradable on an established securities market in the United States, including the Nasdaq Global Market. Therefore, subject to the discussion below under “Passive Foreign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Rules,” if the income tax treaty between France and the United States is applicable, or if the ADSs are readily tradable on an established securities market in the United States, dividends paid on the ADSs will generally be “qualified dividend income” subject to lower applicable long-term capital gain rate in the hands of certain non-corporate U.S. Holders including individuals, provided that certain conditions are met, including conditions relating to the holding period and the absence of certain risk reduction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A U.S. Holder must include the gross amount of a dividend without reduction for amounts withheld by us in respect of French income taxes (see “—Material French Income Tax Considerations”), even though the U.S. Holder did not in fact receive the amount associated with the withheld French tax. The amount of the dividend will be treated as foreign-source dividend income to U.S. Holders and will not be eligible for the dividends-received deduction generally available to U.S. corporations under the Code. Dividends generally will be included in a U.S. Holder’s income on the date of the U.S. Holder’s receipt (or deemed receipt) of the dividend. The amount of any distribution of property other than cash (excluding certain pro rata distributions of ADSs or rights to acquire ADSs) will be the fair market value of such property on the date of the distribution. The amount of any dividend income paid in euros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limitations, some of which vary depending upon the U.S. Holder’s particular circumstances, French income taxes withheld from dividends on the ADSs at a rate not exceeding the rate provided by the income tax treaty between France and the United States generally will be creditable against the U.S. Holder’s U.S. federal income tax liability. Dividend distributions with respect to the ADSs generally will be treated as “passive category” income from sources outside the United States for purposes of determining a U.S. Holder’s U.S. foreign tax credit limitation.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French income tax, in computing their taxable income, subject to generally applicable limitations under U.S. law. An election to deduct foreign taxes instead of claiming foreign tax credits applies to all foreign taxes paid or accrued in the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ADSs </w:t>
      </w:r>
    </w:p>
    <w:p>
      <w:pPr>
        <w:pStyle w:val="TextBody"/>
        <w:bidi w:val="0"/>
        <w:spacing w:before="120" w:after="0"/>
        <w:jc w:val="left"/>
        <w:rPr>
          <w:rFonts w:ascii="Times New Roman" w:hAnsi="Times New Roman"/>
          <w:sz w:val="20"/>
        </w:rPr>
      </w:pPr>
      <w:r>
        <w:rPr>
          <w:rFonts w:ascii="Times New Roman" w:hAnsi="Times New Roman"/>
          <w:sz w:val="20"/>
        </w:rPr>
        <w:t>Subject to the PFIC rules described below, a U.S. Holder generally will recognize gain or loss for U.S. federal income tax purposes upon the sale, exchange or other taxable disposition of the ADSs in an amount equal to the difference between the U.S. dollar value of the amount realized from such sale or exchange and the U.S. Holder’s tax basis for those ADSs. Subject to the PFIC rules described below, this gain or loss generally will be a capital gain or loss. The tax basis in an ADS generally will be equal to the cost of such ADS. Capital gain from the sale, exchange or other taxable disposition of ADSs of a non-corporate U.S. Holder is generally eligible for a preferential rate of taxation applicable to capital gains, if the non-corporate U.S. Holder’s holding period determined at the time of such sale, exchange or other taxable disposition for such ADSs exceeds one year (</w:t>
      </w:r>
      <w:r>
        <w:rPr>
          <w:rFonts w:ascii="Times New Roman" w:hAnsi="Times New Roman"/>
          <w:i/>
          <w:sz w:val="20"/>
        </w:rPr>
        <w:t>i.e.,</w:t>
      </w:r>
      <w:r>
        <w:rPr>
          <w:rFonts w:ascii="Times New Roman" w:hAnsi="Times New Roman"/>
          <w:sz w:val="20"/>
        </w:rPr>
        <w:t xml:space="preserve"> such gain is long-term taxable gain). The deductibility of capital losses is subject to limitations for U.S. federal income tax purposes. Any such gain or loss that a U.S. Holder recognizes generally will be treated as U.S. source income or loss for foreign tax credit limitation purposes. </w:t>
      </w:r>
    </w:p>
    <w:p>
      <w:pPr>
        <w:pStyle w:val="TextBody"/>
        <w:bidi w:val="0"/>
        <w:spacing w:before="240" w:after="0"/>
        <w:jc w:val="left"/>
        <w:rPr>
          <w:rFonts w:ascii="Times New Roman" w:hAnsi="Times New Roman"/>
          <w:sz w:val="20"/>
        </w:rPr>
      </w:pPr>
      <w:r>
        <w:rPr>
          <w:rFonts w:ascii="Times New Roman" w:hAnsi="Times New Roman"/>
          <w:sz w:val="20"/>
        </w:rPr>
        <w:t xml:space="preserve">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the ADSs that are traded on an established securities market, provided the election is applied consistently from year to year. Such election may not be changed without the consent of the IRS. For an accrual basis taxpayer who does not make such an election, units of foreign currency paid or received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Under the Code, we will be a PFIC for any taxable year in which, after the application of certain “look-through” rules with respect to subsidiaries, either (i) 75% or more of our gross income consists of “passive income,” or (ii) 50% or more of the average quarterly value of our assets (generally determined on the basis of a weighted quarterly average) consist of assets that produce, or are held for the production of, “passive income.” Passive income generally includes dividends, interest, gains from the sale or exchange of investment property and rents or royalties other than rents or royalties which are received from unrelated parties in connection with the active conduct of a trade or business. Passive assets include, among others, cash and assets readily convertible into cash, while our goodwill and other unbooked intangibles associated with active business activities may generally be treated as non-passive assets. In addition, for purposes of the above calculations, a non-U.S. corporation that owns, directly or indirectly, at least 25% by value of the equity interests of another corporation is treated as if it held its proportionate share of the assets of the other corporation, and received directly its proportionate share of the income of the other corporation. If a corporation is treated as a PFIC with respect to a U.S. Holder for any taxable year, the corporation will continue to be treated as a PFIC with respect to that U.S. Holder in all succeeding taxable years during which the U.S. Holder holds the ADSs, regardless of whether the corporation continues to meet the PFIC requirements in such years, unless certain elections are made. </w:t>
      </w:r>
    </w:p>
    <w:p>
      <w:pPr>
        <w:pStyle w:val="TextBody"/>
        <w:bidi w:val="0"/>
        <w:spacing w:before="240" w:after="0"/>
        <w:jc w:val="left"/>
        <w:rPr>
          <w:rFonts w:ascii="Times New Roman" w:hAnsi="Times New Roman"/>
          <w:sz w:val="20"/>
        </w:rPr>
      </w:pPr>
      <w:r>
        <w:rPr>
          <w:rFonts w:ascii="Times New Roman" w:hAnsi="Times New Roman"/>
          <w:sz w:val="20"/>
        </w:rPr>
        <w:t xml:space="preserve">Based on our analysis of our financial statements, activities and relevant market and shareholder data, we do not believe that we were a PFIC for the taxable year ended December 31, 2025. The determination of whether we are a PFIC is a fact-intensive determination made on an annual basis and the applicable law is subject to varying interpretation. Whether we are a PFIC for any taxable year will depend on the composition of our income and the composition, nature and value of our assets from time to time (including the value of our goodwill, which may be determined by reference to the value of our ADSs, which could fluctuate considerably). We currently do not generate product revenues and therefore we may be a PFIC for any taxable year in which we do not generate sufficient amounts of other non-passive income.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or that the IRS will not successfully challenge our position.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a U.S. Holder holds the ADSs, the U.S. Holder may be subject to adverse tax consequences, regardless of whether we remain a PFIC. Generally, gain recognized upon a disposition (including, under certain circumstances, a pledge) of the ADSs by the U.S. Holder would be allocated ratably over the U.S. Holder’s holding period for such ADSs. The amounts allocated to the taxable year of disposition and to years before we became a PFIC would be taxed as ordinary income. The amount allocated to each other taxable year would be subject to tax at the highest rate in effect for that taxable year for individuals or corporations, as appropriate, and would be subject to an interest charge on the resulting tax deemed deferred with respect to each such other taxable year. Further, to the extent that any distribution received by a U.S. Holder on its ADSs exceeds 125% of the average of the annual distributions on such ADSs received by the U.S. Holder during the (i) preceding three years or (ii) the U.S. Holder’s holding period, whichever is shorter, that distribution would be subject to taxation in the same manner described immediately above with respect to gain on disposition.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we are a PFIC and if the ADSs are “regularly traded” on a “qualified exchange,” a U.S. Holder could make a mark-to-market election that would result in tax treatment different from the general tax treatment described in the preceding paragraph. The ADSs would be treated as “regularly traded” in any calendar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 in which more than a </w:t>
      </w:r>
      <w:r>
        <w:rPr>
          <w:rFonts w:ascii="Times New Roman" w:hAnsi="Times New Roman"/>
          <w:i/>
          <w:sz w:val="20"/>
        </w:rPr>
        <w:t xml:space="preserve">de minimis </w:t>
      </w:r>
      <w:r>
        <w:rPr>
          <w:rFonts w:ascii="Times New Roman" w:hAnsi="Times New Roman"/>
          <w:sz w:val="20"/>
        </w:rPr>
        <w:t xml:space="preserve">quantity of the ADSs are traded on a qualified exchange, including the Nasdaq Global Market, on at least 15 days during each calendar quarter. The ADSs are listed on the Nasdaq Global Market, and we expect, although no assurance can be given, that they will be regularly traded on the Nasdaq Global Market. U.S. Holders should consult with their own tax advisors regarding potential availability of the mark-to-market election.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these income or loss amounts. Any gain recognized on the sale or other disposition of ADSs in a year when we are a PFIC will be treated as ordinary income and any loss will be treated as an ordinary loss (but only to the extent of the net amount of income previously included as a result of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w:t>
      </w:r>
    </w:p>
    <w:p>
      <w:pPr>
        <w:pStyle w:val="TextBody"/>
        <w:bidi w:val="0"/>
        <w:spacing w:before="240" w:after="0"/>
        <w:jc w:val="left"/>
        <w:rPr>
          <w:rFonts w:ascii="Times New Roman" w:hAnsi="Times New Roman"/>
          <w:sz w:val="20"/>
        </w:rPr>
      </w:pPr>
      <w:r>
        <w:rPr>
          <w:rFonts w:ascii="Times New Roman" w:hAnsi="Times New Roman"/>
          <w:sz w:val="20"/>
        </w:rPr>
        <w:t xml:space="preserve">A timely election to treat a PFIC as a qualified electing fund under Section 1295 of the Code (“QEF Election”) would result in alternative treatment. If a U.S. Holder makes a QEF Election for the first tax year of such U.S. Holder’s holding period in which we are classified as a PFIC, then such U.S. Holder generally would not be subject to the PFIC rules described above. Instead, a U.S. Holder that makes a timely and effective QEF Election will currently include in gross income such U.S. Holder’s (i) pro rata share of our ordinary earnings as ordinary income and (ii) pro rata share of our net capital gain as long-term capital gain, regardless of whether we have made any distributions of such earnings or gain. The U.S. Holder’s basis in its ADSs would be increased to reflect the amount of such income inclusions. Generally, for this purpose, “ordinary earnings” are the excess of our (a) “earnings and profits” over (b) net capital gain, and “net capital gain” is the excess of our (a) net long-term capital gain over (b) net short-term capital loss. </w:t>
      </w:r>
    </w:p>
    <w:p>
      <w:pPr>
        <w:pStyle w:val="TextBody"/>
        <w:bidi w:val="0"/>
        <w:spacing w:before="240" w:after="0"/>
        <w:jc w:val="left"/>
        <w:rPr>
          <w:rFonts w:ascii="Times New Roman" w:hAnsi="Times New Roman"/>
          <w:sz w:val="20"/>
        </w:rPr>
      </w:pPr>
      <w:r>
        <w:rPr>
          <w:rFonts w:ascii="Times New Roman" w:hAnsi="Times New Roman"/>
          <w:sz w:val="20"/>
        </w:rPr>
        <w:t>A U.S. Holder that has made such a timely and effective QEF Election generally may receive a distribution tax-free as a return of capital to the extent that such distribution represents “earnings and profits” that were previously included in income by the U.S. Holder because of such QEF Election and such distribution will reduce such U.S. holder’s adjusted tax basis in our ADSs to reflect the amount allowed as a tax-free distribution because of such QEF Election. A U.S. Holder that makes a QEF Election would generally recognize capital gain or loss on the sale, exchange or other taxable disposition of its ADSs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However, a U.S. Holder will only be able to make a QEF Election if we provide such U.S. Holder with certain tax information annually, and we may determine not to provide such information. Furthermore, if the IRS determines that we were a PFIC for a year with respect to which we had determined that we were not (or believed we were not) a PFIC, it might be too late for a U.S. Holder to make a timely QEF Election, unless the U.S. Holder qualifies under applicable U.S. Treasury Regulations to make a retroactive (late) election. U.S. Holders should consult their own tax advisors regarding the making of any such QEF Election.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are a PFIC or, with respect to particular U.S. Holders, are treated as a PFIC for the taxable year in which we paid a dividend or for the prior taxable year, the preferential rates discussed above with respect to dividends paid to certain non-corporate U.S. Holders would not apply.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owns ADSs during any year in which we are a PFIC, the holder generally must file an IRS Form 8621, or such other form as is required by the U.S. Treasury Department, generally with the holder’s federal income tax return for that year.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advisers regarding whether we are or may become a PFIC and the potential application of the PFIC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distributions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With Respect to Foreign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who are individuals may be required to report information relating to their ownership of an interest in certain foreign financial assets, including stock of a non-U.S. person, generally on an IRS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ADSs. U.S. Holders should consult their tax advisers regarding their reporting obligations with respect to the ADSs.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French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describes the material French income tax consequences to U.S. Holders (as defined below for the purposes of this section) of purchasing, owning and disposing of the ADSs and, unless otherwise noted, this discussion is the opinion of Orrick, our French tax counsel, insofar as it relates to matters of French tax law and legal conclusions with respect to those matters.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w:t>
      </w:r>
    </w:p>
    <w:p>
      <w:pPr>
        <w:pStyle w:val="TextBody"/>
        <w:bidi w:val="0"/>
        <w:spacing w:before="240" w:after="0"/>
        <w:jc w:val="left"/>
        <w:rPr>
          <w:rFonts w:ascii="Times New Roman" w:hAnsi="Times New Roman"/>
          <w:sz w:val="20"/>
        </w:rPr>
      </w:pPr>
      <w:r>
        <w:rPr>
          <w:rFonts w:ascii="Times New Roman" w:hAnsi="Times New Roman"/>
          <w:sz w:val="20"/>
        </w:rPr>
        <w:t xml:space="preserve">All of the following is subject to change. Such changes could apply retroactively and could affect the consequences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tax guidelines issued by the French tax authorities in force as of the date hereof (the “Treaty”).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of French income tax consequences, the term “U.S. Holder” is a holder who, for U.S. federal income tax purposes, is a beneficial owner of the ADSs that is an initial purchaser of the ADSs sold in this offering of our ADSs in the United States and is: (i) an individual who is a citizen or resident of the United States, (ii) a corporation or other entity taxable as a corporation, created or organized in or under the laws of the United States, any state therein or the District of Columbia, (iii) an estate whose income is eligible for inclusion in gross income for U.S. federal income tax purposes, regardless of its source, or (iv) a trust, if (a) a U.S. court is able to exercise primary supervision over the trust’s administration and one or more U.S. persons have the authority to control all substantial decisions of the trust or (b) the trust has a valid election in effect under applicable U.S. Treasury Regulations to treat the trust as a United States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partnership (or any other entity treated as partnership for U.S. federal income tax purposes) holds ADSs, the tax treatment of the partnership and a partner in such partnership generally will depend upon the status of the partner and the activities of the partnership. If a U.S. Holder is a partnership or a partner in a partnership that holds ADSs, such holder is urged to consult its own tax adviser regarding the specific tax consequences of acquiring, owning and disposing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 in France.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warrants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urged to consult their own tax advisors regarding the tax consequences of the purchase, ownership and disposition of securities in light of their particular circumstances, especially with regard to the “Limitations on Benefits”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Assets held through a Trust </w:t>
      </w:r>
    </w:p>
    <w:p>
      <w:pPr>
        <w:pStyle w:val="TextBody"/>
        <w:bidi w:val="0"/>
        <w:spacing w:before="120" w:after="0"/>
        <w:jc w:val="left"/>
        <w:rPr>
          <w:rFonts w:ascii="Times New Roman" w:hAnsi="Times New Roman"/>
          <w:sz w:val="20"/>
        </w:rPr>
      </w:pPr>
      <w:r>
        <w:rPr>
          <w:rFonts w:ascii="Times New Roman" w:hAnsi="Times New Roman"/>
          <w:sz w:val="20"/>
        </w:rPr>
        <w:t xml:space="preserve">France introduced a comprehensive set of tax rules applicable to French assets that are held by or in foreign trusts. These rules, among other things, provide for the inclusion of trust assets in the settlor’s net assets for purpose of applying the French real estate wealth tax for the application of French gift and inheritance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ADSs held in trusts. If ADSs are held in trust, the settlor, trustee and beneficiary are urged to consult their own tax adviser regarding the specific tax consequences of acquiring, owning and disposing of ADSs through a trust. </w:t>
      </w:r>
    </w:p>
    <w:p>
      <w:pPr>
        <w:pStyle w:val="TextBody"/>
        <w:bidi w:val="0"/>
        <w:spacing w:before="360" w:after="0"/>
        <w:jc w:val="left"/>
        <w:rPr>
          <w:rFonts w:ascii="Times New Roman" w:hAnsi="Times New Roman"/>
          <w:b/>
          <w:i/>
          <w:sz w:val="20"/>
        </w:rPr>
      </w:pPr>
      <w:r>
        <w:rPr>
          <w:rFonts w:ascii="Times New Roman" w:hAnsi="Times New Roman"/>
          <w:b/>
          <w:i/>
          <w:sz w:val="20"/>
        </w:rPr>
        <w:t xml:space="preserve">Estate and Gift Taxes </w:t>
      </w:r>
    </w:p>
    <w:p>
      <w:pPr>
        <w:pStyle w:val="TextBody"/>
        <w:bidi w:val="0"/>
        <w:spacing w:before="120" w:after="0"/>
        <w:jc w:val="left"/>
        <w:rPr>
          <w:rFonts w:ascii="Times New Roman" w:hAnsi="Times New Roman"/>
          <w:sz w:val="20"/>
        </w:rPr>
      </w:pPr>
      <w:r>
        <w:rPr>
          <w:rFonts w:ascii="Times New Roman" w:hAnsi="Times New Roman"/>
          <w:sz w:val="20"/>
        </w:rPr>
        <w:t xml:space="preserve">In general, a transfer of securities by gift or by reason of death of a U.S. Holder that would otherwise be subject to French gift or inheritance tax, respectively, will not be subject to such French tax based on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dated from December 8, 2004), unless the donor or the transferor is domiciled in France at the time of making the gift or at the time of his or her death, or the securities were used in, or held for use in, the conduct of a business through a permanent establishment or a fixed base in France.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Transactions Tax </w:t>
      </w:r>
    </w:p>
    <w:p>
      <w:pPr>
        <w:pStyle w:val="TextBody"/>
        <w:bidi w:val="0"/>
        <w:spacing w:before="120" w:after="0"/>
        <w:jc w:val="left"/>
        <w:rPr>
          <w:rFonts w:ascii="Times New Roman" w:hAnsi="Times New Roman"/>
          <w:sz w:val="20"/>
        </w:rPr>
      </w:pPr>
      <w:r>
        <w:rPr>
          <w:rFonts w:ascii="Times New Roman" w:hAnsi="Times New Roman"/>
          <w:sz w:val="20"/>
        </w:rPr>
        <w:t xml:space="preserve">Under Article 235 </w:t>
      </w:r>
      <w:r>
        <w:rPr>
          <w:rFonts w:ascii="Times New Roman" w:hAnsi="Times New Roman"/>
          <w:i/>
          <w:sz w:val="20"/>
        </w:rPr>
        <w:t>ter</w:t>
      </w:r>
      <w:r>
        <w:rPr>
          <w:rFonts w:ascii="Times New Roman" w:hAnsi="Times New Roman"/>
          <w:sz w:val="20"/>
        </w:rPr>
        <w:t xml:space="preserve"> ZD of the French Tax Code (“FTC”) (</w:t>
      </w:r>
      <w:r>
        <w:rPr>
          <w:rFonts w:ascii="Times New Roman" w:hAnsi="Times New Roman"/>
          <w:i/>
          <w:sz w:val="20"/>
        </w:rPr>
        <w:t>Code général des impôts</w:t>
      </w:r>
      <w:r>
        <w:rPr>
          <w:rFonts w:ascii="Times New Roman" w:hAnsi="Times New Roman"/>
          <w:sz w:val="20"/>
        </w:rPr>
        <w:t>), a financial transaction tax (“FTT”) (</w:t>
      </w:r>
      <w:r>
        <w:rPr>
          <w:rFonts w:ascii="Times New Roman" w:hAnsi="Times New Roman"/>
          <w:i/>
          <w:sz w:val="20"/>
        </w:rPr>
        <w:t>taxe sur les transactions financières</w:t>
      </w:r>
      <w:r>
        <w:rPr>
          <w:rFonts w:ascii="Times New Roman" w:hAnsi="Times New Roman"/>
          <w:sz w:val="20"/>
        </w:rPr>
        <w:t xml:space="preserve">) applies, subject to certain conditions and exemptions, to certain acquisitions of equity securities or equivalent instruments of French companies, including ordinary shares (which may be in the form of ADSs), whose market capitalization exceeds 1 billion as of December 1st of the year preceding the year during which the taxable acquisition takes place, and whose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admitted to trading on a regulated market within the European Union, the European Economic Area or a foreign regulated market formally recognized as such by the </w:t>
      </w:r>
      <w:r>
        <w:rPr>
          <w:rFonts w:ascii="Times New Roman" w:hAnsi="Times New Roman"/>
          <w:i/>
          <w:sz w:val="20"/>
        </w:rPr>
        <w:t xml:space="preserve">Autorité des Marchés Financiers </w:t>
      </w:r>
      <w:r>
        <w:rPr>
          <w:rFonts w:ascii="Times New Roman" w:hAnsi="Times New Roman"/>
          <w:sz w:val="20"/>
        </w:rPr>
        <w:t xml:space="preserve">(“AMF”) (in each case within the meaning of the French Monetary and Financial Code, or the “FMFC”). The tax is currently levied at a rate of 0.4% of the acquisition price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 list of French relevant companies whose market capitalization exceeds 1 billion as of December 1st of the year preceding the taxation year is published annually by the French tax authorities. The last version of such list was dated December 17, 2025 (BOI-ANNX-000467). It included Abivax SA as its market capitalization exceeded 1.0 billion.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according to the French tax authorities’ guidelines, depositary receipts (including ADSs) representing shares issued by a French company are within the scope of the FTT where the underlying shares are admitted to trading on a regulated or recognized market, irrespective of the place where such depositary receipts are issued or traded. Although the Nasdaq Global Market, on which the ADSs are listed, is not currently recognized by the AMF, the ordinary shares represented by the ADSs are themselves admitted to trading on Euronext Paris, which is a recognized regulated market. </w:t>
      </w:r>
    </w:p>
    <w:p>
      <w:pPr>
        <w:pStyle w:val="TextBody"/>
        <w:bidi w:val="0"/>
        <w:spacing w:before="240" w:after="0"/>
        <w:jc w:val="left"/>
        <w:rPr>
          <w:rFonts w:ascii="Times New Roman" w:hAnsi="Times New Roman"/>
          <w:sz w:val="20"/>
        </w:rPr>
      </w:pPr>
      <w:r>
        <w:rPr>
          <w:rFonts w:ascii="Times New Roman" w:hAnsi="Times New Roman"/>
          <w:sz w:val="20"/>
        </w:rPr>
        <w:t xml:space="preserve">Accordingly, acquisitions for consideration of ADSs representing ordinary shares of Abivax should in principle fall within the scope of the FTT, subject to the application of any available exemptions, including notably the primary market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It is being further noted that concerning ADSs creation, the French tax authorities’ guidelines provide that the acquisition of a share falling within the scope of the French FTT and the subsequent creation and acquisition of an ADSs representing this share, constitute a single transaction, which is subject to French FTT. The French FTT is payable, subject to any applicable exceptions, only when the ADS is acquired. </w:t>
      </w:r>
    </w:p>
    <w:p>
      <w:pPr>
        <w:pStyle w:val="TextBody"/>
        <w:bidi w:val="0"/>
        <w:spacing w:before="240" w:after="0"/>
        <w:jc w:val="left"/>
        <w:rPr>
          <w:rFonts w:ascii="Times New Roman" w:hAnsi="Times New Roman"/>
          <w:sz w:val="20"/>
        </w:rPr>
      </w:pPr>
      <w:r>
        <w:rPr>
          <w:rFonts w:ascii="Times New Roman" w:hAnsi="Times New Roman"/>
          <w:sz w:val="20"/>
        </w:rPr>
        <w:t xml:space="preserve">If the ADS is created not through the acquisition of an existing share but through the issue of a new share, the acquisition of the ADS could benefit from the primary market exemption.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Duties </w:t>
      </w:r>
    </w:p>
    <w:p>
      <w:pPr>
        <w:pStyle w:val="TextBody"/>
        <w:bidi w:val="0"/>
        <w:spacing w:before="120" w:after="0"/>
        <w:jc w:val="left"/>
        <w:rPr>
          <w:rFonts w:ascii="Times New Roman" w:hAnsi="Times New Roman"/>
          <w:sz w:val="20"/>
        </w:rPr>
      </w:pPr>
      <w:r>
        <w:rPr>
          <w:rFonts w:ascii="Times New Roman" w:hAnsi="Times New Roman"/>
          <w:sz w:val="20"/>
        </w:rPr>
        <w:t xml:space="preserve">Acquisition of equity or similar securities subject to the abovementioned FTT are exempt from registration taxes provided for by Article 726 of the FTC. </w:t>
      </w:r>
    </w:p>
    <w:p>
      <w:pPr>
        <w:pStyle w:val="TextBody"/>
        <w:bidi w:val="0"/>
        <w:spacing w:before="240" w:after="0"/>
        <w:jc w:val="left"/>
        <w:rPr>
          <w:rFonts w:ascii="Times New Roman" w:hAnsi="Times New Roman"/>
          <w:sz w:val="20"/>
        </w:rPr>
      </w:pPr>
      <w:r>
        <w:rPr>
          <w:rFonts w:ascii="Times New Roman" w:hAnsi="Times New Roman"/>
          <w:sz w:val="20"/>
        </w:rPr>
        <w:t>In the case where the FTT is not applicable, (1) transfers of shares issued by a French company which are listed on a regulated or organized market within the meaning of the FMFC are subject to uncapped registration duties at the rate of 0.1% if the transfer is evidenced by a written statement (“</w:t>
      </w:r>
      <w:r>
        <w:rPr>
          <w:rFonts w:ascii="Times New Roman" w:hAnsi="Times New Roman"/>
          <w:i/>
          <w:sz w:val="20"/>
        </w:rPr>
        <w:t>acte</w:t>
      </w:r>
      <w:r>
        <w:rPr>
          <w:rFonts w:ascii="Times New Roman" w:hAnsi="Times New Roman"/>
          <w:sz w:val="20"/>
        </w:rPr>
        <w:t xml:space="preserve">”)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statement. </w:t>
      </w:r>
    </w:p>
    <w:p>
      <w:pPr>
        <w:pStyle w:val="TextBody"/>
        <w:bidi w:val="0"/>
        <w:spacing w:before="240" w:after="0"/>
        <w:jc w:val="left"/>
        <w:rPr>
          <w:rFonts w:ascii="Times New Roman" w:hAnsi="Times New Roman"/>
          <w:sz w:val="20"/>
        </w:rPr>
      </w:pPr>
      <w:r>
        <w:rPr>
          <w:rFonts w:ascii="Times New Roman" w:hAnsi="Times New Roman"/>
          <w:sz w:val="20"/>
        </w:rPr>
        <w:t xml:space="preserve">As our ordinary shares are listed on Euronext Paris, which is a regulated market within the meaning of the FMFC, their transfer should be subject to uncapped registration duties at the rate of 0.1% only if such transfer is evidenced by a written agreement. </w:t>
      </w:r>
    </w:p>
    <w:p>
      <w:pPr>
        <w:pStyle w:val="TextBody"/>
        <w:bidi w:val="0"/>
        <w:spacing w:before="240" w:after="0"/>
        <w:jc w:val="left"/>
        <w:rPr>
          <w:rFonts w:ascii="Times New Roman" w:hAnsi="Times New Roman"/>
          <w:sz w:val="20"/>
        </w:rPr>
      </w:pPr>
      <w:r>
        <w:rPr>
          <w:rFonts w:ascii="Times New Roman" w:hAnsi="Times New Roman"/>
          <w:sz w:val="20"/>
        </w:rPr>
        <w:t xml:space="preserve">Although French tax law and the official guidelines published by the French tax authorities are silent regarding the treatment of ADS representing listed shares of a French issuer for registration duties purposes (BOI-ENR-DMTOM-40-10-10-24/04/2024), ADSs should remain outside of the scope of the aforementioned 0.1% registration duties if the transfer is not evidenced by a written agreement. Furthermore, if the transactions in ADSs do not imply a transfer of ownership of the underlying shares they should be outside the scope of the registration duties. In case the transactions in the ADSs imply such a transfer, the 0.1% duty should not apply if the transfer is not evidenced by a written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Real Estate Wealth Tax </w:t>
      </w:r>
    </w:p>
    <w:p>
      <w:pPr>
        <w:pStyle w:val="TextBody"/>
        <w:bidi w:val="0"/>
        <w:spacing w:before="120" w:after="0"/>
        <w:jc w:val="left"/>
        <w:rPr>
          <w:rFonts w:ascii="Times New Roman" w:hAnsi="Times New Roman"/>
          <w:sz w:val="20"/>
        </w:rPr>
      </w:pPr>
      <w:r>
        <w:rPr>
          <w:rFonts w:ascii="Times New Roman" w:hAnsi="Times New Roman"/>
          <w:sz w:val="20"/>
        </w:rPr>
        <w:t>Since January 1, 2018, the French wealth tax (</w:t>
      </w:r>
      <w:r>
        <w:rPr>
          <w:rFonts w:ascii="Times New Roman" w:hAnsi="Times New Roman"/>
          <w:i/>
          <w:sz w:val="20"/>
        </w:rPr>
        <w:t>impôt de solidarité sur la fortune</w:t>
      </w:r>
      <w:r>
        <w:rPr>
          <w:rFonts w:ascii="Times New Roman" w:hAnsi="Times New Roman"/>
          <w:sz w:val="20"/>
        </w:rPr>
        <w:t>) has been repealed and replaced by the French real estate wealth tax (</w:t>
      </w:r>
      <w:r>
        <w:rPr>
          <w:rFonts w:ascii="Times New Roman" w:hAnsi="Times New Roman"/>
          <w:i/>
          <w:sz w:val="20"/>
        </w:rPr>
        <w:t>impôt sur la fortune immobilière</w:t>
      </w:r>
      <w:r>
        <w:rPr>
          <w:rFonts w:ascii="Times New Roman" w:hAnsi="Times New Roman"/>
          <w:sz w:val="20"/>
        </w:rPr>
        <w:t xml:space="preserve">). The scope of the French real estate wealth tax is narrowed to real estate assets (and certain assets deemed to be real estate assets) or rights, held directly or indirectly through one or more legal entities and whose net taxable assets amount at least to 1,300,000. </w:t>
      </w:r>
    </w:p>
    <w:p>
      <w:pPr>
        <w:pStyle w:val="TextBody"/>
        <w:bidi w:val="0"/>
        <w:spacing w:before="240" w:after="0"/>
        <w:jc w:val="left"/>
        <w:rPr>
          <w:rFonts w:ascii="Times New Roman" w:hAnsi="Times New Roman"/>
          <w:sz w:val="20"/>
        </w:rPr>
      </w:pPr>
      <w:r>
        <w:rPr>
          <w:rFonts w:ascii="Times New Roman" w:hAnsi="Times New Roman"/>
          <w:sz w:val="20"/>
        </w:rPr>
        <w:t xml:space="preserve">Broadly, subject to provisions of double tax treaties and to certain exceptions, individuals who are not residents of France for tax purposes within the meaning of Article 4 B of the FTC, are subject to real estate wealth tax in France in respect of the portion of the value of their shares of our Company representing real estate assets (Article 965, 2° of the FTC). Some exceptions are provided by the FTC. For instance, any participations representing less than 10% of the share capital of an operating company and shares representing real estate for the professional use of the company considered shall not fall within the scope of the French real estate wealth tax. Under the Treaty (the provisions of which should be applicable to the real estate wealth tax in France), the French real estate wealth tax will however generally not apply to securities held by an eligible U.S. Holder who is a U.S. resident, as defined above and pursuant to the provisions of the Treaty, provided that such (i) U.S. Holder (a) does not own directly or indirectly more than 25% of the issuer’s financial rights and (b) that the ADSs do not form part of the business property of a permanent establishment or fixed base in France and (ii) that the issuer’s assets do not consist in at least 50 percent of real property located in France, or that the issuer’s shares do not derive at least 50 percent of their value, directly or indirectly, from real property located in France.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advised to consult their own tax advisor regarding the specific tax consequences which may apply to their particular situation with respect to such French real estate wealth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Dividends </w:t>
      </w:r>
    </w:p>
    <w:p>
      <w:pPr>
        <w:pStyle w:val="TextBody"/>
        <w:bidi w:val="0"/>
        <w:spacing w:before="120" w:after="0"/>
        <w:jc w:val="left"/>
        <w:rPr>
          <w:rFonts w:ascii="Times New Roman" w:hAnsi="Times New Roman"/>
          <w:sz w:val="20"/>
        </w:rPr>
      </w:pPr>
      <w:r>
        <w:rPr>
          <w:rFonts w:ascii="Times New Roman" w:hAnsi="Times New Roman"/>
          <w:sz w:val="20"/>
        </w:rPr>
        <w:t xml:space="preserve">Dividends paid by a French corporation, when their beneficial owners are not French tax residents are generally subject to French withholding tax at a rate of currently (i) 25% for dividends the beneficial owners of which are legal persons which are not French tax residents, and (ii) 12.8% for dividends the beneficial owners of which are individuals who are not French tax residents. Dividends paid by a French corporation in a non-cooperative State or territory, as defined in Article 238-0 A of the FTC, other than those states or territories mentioned in 2° of 2 bis of the same Article, will generally be subject to French withholding tax at a rate of 75% (unless the safeguard clause provided for by Article 187, 2 of the FTC were to apply). </w:t>
      </w:r>
    </w:p>
    <w:p>
      <w:pPr>
        <w:pStyle w:val="TextBody"/>
        <w:bidi w:val="0"/>
        <w:spacing w:before="240" w:after="0"/>
        <w:jc w:val="left"/>
        <w:rPr>
          <w:rFonts w:ascii="Times New Roman" w:hAnsi="Times New Roman"/>
          <w:sz w:val="20"/>
        </w:rPr>
      </w:pPr>
      <w:r>
        <w:rPr>
          <w:rFonts w:ascii="Times New Roman" w:hAnsi="Times New Roman"/>
          <w:sz w:val="20"/>
        </w:rPr>
        <w:t xml:space="preserve">However, eligible U.S. Holders entitled to Treaty benefits under the “Limitation on Benefits” provision contained in the Treaty who are U.S. residents, as defined pursuant to the provisions of the Treaty, may not be subject to this 12.8%, 25% or 75% withholding tax rate, but may be subject to the withholding tax at a reduced rate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Under the Treaty, the rate of French withholding tax on dividends paid to an eligible U.S. Holder who is a U.S. resident as defined pursuant to the provisions of the Treaty and the beneficial owner of these dividends, whose ownership of the ordinary shares (which may be in the form of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under certain conditions claim a refund from the French tax authorities of the amount withheld in excess of the Treaty rates of 15% or 5%, if any. </w:t>
      </w:r>
    </w:p>
    <w:p>
      <w:pPr>
        <w:pStyle w:val="TextBody"/>
        <w:bidi w:val="0"/>
        <w:spacing w:before="240" w:after="0"/>
        <w:jc w:val="left"/>
        <w:rPr>
          <w:rFonts w:ascii="Times New Roman" w:hAnsi="Times New Roman"/>
          <w:sz w:val="20"/>
        </w:rPr>
      </w:pPr>
      <w:r>
        <w:rPr>
          <w:rFonts w:ascii="Times New Roman" w:hAnsi="Times New Roman"/>
          <w:sz w:val="20"/>
        </w:rPr>
        <w:t xml:space="preserve">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advisers regarding their eligibility for Treaty benefits in light of their own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paid to an eligible U.S. Holder may immediately be subject to the reduced rates of 5% or 15%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U.S. Holder establishes before the date of payment that it is a U.S. resident under the Treaty by completing and providing the depositary with a treaty form (Form 5000) in accordance with French guidelines (BOI-INT-DG-20-20-20-20-12/09/2012);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or other financial institution managing the securities account in the United States of such U.S. Holder provides the French paying agent, with a document listing certain information about the U.S. Holder and its ordinary shares or ADSs and a certificate (BOI-LETTRE-000138-28/07/2014) whereby the financial institution managing the U.S. Holder’s securities account in the United States takes full responsibility for the accuracy of the information provided in the document.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Otherwise, dividends paid to a U.S. Holder, if such U.S. Holder is a legal person, will be subject to French withholding tax at the rate of 25%, or 75% if paid to an account situated in a non-cooperative State or territory (as defined in Article 238-0 A of the FTC, but other than those states or territories mentioned in 2° of 2 bis of the same Article 238-0 A of the FTC, unless the safeguard clause provided for by Article 187, 2 of the FTC were to apply), and then reduced at a later date to 5% or 15%, provided that such holder duly completes and provides the French tax authorities with the treaty forms Form 5000 and Form 5001 before December 31 of the year following the year during which the dividend is paid (due to recent case law regarding the statute of limitation for filing a withholding tax claim: U.S. Holders are advised to consult their own tax advisor in this respect). </w:t>
      </w:r>
    </w:p>
    <w:p>
      <w:pPr>
        <w:pStyle w:val="TextBody"/>
        <w:bidi w:val="0"/>
        <w:spacing w:before="240" w:after="0"/>
        <w:jc w:val="left"/>
        <w:rPr>
          <w:rFonts w:ascii="Times New Roman" w:hAnsi="Times New Roman"/>
          <w:sz w:val="20"/>
        </w:rPr>
      </w:pPr>
      <w:r>
        <w:rPr>
          <w:rFonts w:ascii="Times New Roman" w:hAnsi="Times New Roman"/>
          <w:sz w:val="20"/>
        </w:rPr>
        <w:t xml:space="preserve">Certain qualifying pension funds and certain other tax-exempt entities are subject to the same general filing requirements as other U.S. Holders except that they may have to supply additional documentation evidencing their entitlement to these benefits. </w:t>
      </w:r>
    </w:p>
    <w:p>
      <w:pPr>
        <w:pStyle w:val="TextBody"/>
        <w:bidi w:val="0"/>
        <w:spacing w:before="240" w:after="0"/>
        <w:jc w:val="left"/>
        <w:rPr>
          <w:rFonts w:ascii="Times New Roman" w:hAnsi="Times New Roman"/>
          <w:sz w:val="20"/>
        </w:rPr>
      </w:pPr>
      <w:r>
        <w:rPr>
          <w:rFonts w:ascii="Times New Roman" w:hAnsi="Times New Roman"/>
          <w:sz w:val="20"/>
        </w:rPr>
        <w:t>Since the withholding tax rate applicable under French domestic law to U.S. Holders who are individuals does not exceed the cap provided in the Treaty (</w:t>
      </w:r>
      <w:r>
        <w:rPr>
          <w:rFonts w:ascii="Times New Roman" w:hAnsi="Times New Roman"/>
          <w:i/>
          <w:sz w:val="20"/>
        </w:rPr>
        <w:t>i.e.</w:t>
      </w:r>
      <w:r>
        <w:rPr>
          <w:rFonts w:ascii="Times New Roman" w:hAnsi="Times New Roman"/>
          <w:sz w:val="20"/>
        </w:rPr>
        <w:t xml:space="preserve">, 15%), the 12.8% rate shall apply, without any reduction provided under the Treaty. </w:t>
      </w:r>
    </w:p>
    <w:p>
      <w:pPr>
        <w:pStyle w:val="TextBody"/>
        <w:bidi w:val="0"/>
        <w:spacing w:before="240" w:after="0"/>
        <w:jc w:val="left"/>
        <w:rPr>
          <w:rFonts w:ascii="Times New Roman" w:hAnsi="Times New Roman"/>
          <w:sz w:val="20"/>
        </w:rPr>
      </w:pPr>
      <w:r>
        <w:rPr>
          <w:rFonts w:ascii="Times New Roman" w:hAnsi="Times New Roman"/>
          <w:sz w:val="20"/>
        </w:rPr>
        <w:t xml:space="preserve">Besides, please note that pursuant to Article 235 </w:t>
      </w:r>
      <w:r>
        <w:rPr>
          <w:rFonts w:ascii="Times New Roman" w:hAnsi="Times New Roman"/>
          <w:i/>
          <w:sz w:val="20"/>
        </w:rPr>
        <w:t>quater</w:t>
      </w:r>
      <w:r>
        <w:rPr>
          <w:rFonts w:ascii="Times New Roman" w:hAnsi="Times New Roman"/>
          <w:sz w:val="20"/>
        </w:rPr>
        <w:t xml:space="preserve"> of the FTC and under certain conditions, a corporate U.S. Holder which is in a tax loss position for the fiscal year during which the dividend is received may be entitled to a deferral regime, and obtain a withholding tax refund. The tax deferral ends in respect of the first financial year during which this U.S. Holder is in a profit-making position, as well as in the cases set out in Article 235 </w:t>
      </w:r>
      <w:r>
        <w:rPr>
          <w:rFonts w:ascii="Times New Roman" w:hAnsi="Times New Roman"/>
          <w:i/>
          <w:sz w:val="20"/>
        </w:rPr>
        <w:t>quater</w:t>
      </w:r>
      <w:r>
        <w:rPr>
          <w:rFonts w:ascii="Times New Roman" w:hAnsi="Times New Roman"/>
          <w:sz w:val="20"/>
        </w:rPr>
        <w:t xml:space="preserve"> of the FTC. Finance Bill for 2022 extended the deadline to claim the refund (December 31 of the second year following the year of payment instead of three months after the end of the fiscal year following the payment of the income) and clarified the order in which the deferred taxes become due (the forfeiture of the deferral applies in priority to the oldest withholding taxes). Also, pursuant to Article 235 </w:t>
      </w:r>
      <w:r>
        <w:rPr>
          <w:rFonts w:ascii="Times New Roman" w:hAnsi="Times New Roman"/>
          <w:i/>
          <w:sz w:val="20"/>
        </w:rPr>
        <w:t>quinquies</w:t>
      </w:r>
      <w:r>
        <w:rPr>
          <w:rFonts w:ascii="Times New Roman" w:hAnsi="Times New Roman"/>
          <w:sz w:val="20"/>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on Sale or Other Disposition </w:t>
      </w:r>
    </w:p>
    <w:p>
      <w:pPr>
        <w:pStyle w:val="TextBody"/>
        <w:bidi w:val="0"/>
        <w:spacing w:before="120" w:after="0"/>
        <w:jc w:val="left"/>
        <w:rPr>
          <w:rFonts w:ascii="Times New Roman" w:hAnsi="Times New Roman"/>
          <w:sz w:val="20"/>
        </w:rPr>
      </w:pPr>
      <w:r>
        <w:rPr>
          <w:rFonts w:ascii="Times New Roman" w:hAnsi="Times New Roman"/>
          <w:sz w:val="20"/>
        </w:rPr>
        <w:t>As a matter of principle, under French tax law, and provided that Abivax SA is not a real estate company within the meaning of Article 244 bis A of the FTC, a U.S. Holder should not be subject to any French tax on any capital gain from the sale, exchange, repurchase or redemption by us of ADSs, provided such U.S. Holder is not a French tax resident for French tax purposes and has not held more than 25% of our dividend rights, known as “</w:t>
      </w:r>
      <w:r>
        <w:rPr>
          <w:rFonts w:ascii="Times New Roman" w:hAnsi="Times New Roman"/>
          <w:i/>
          <w:sz w:val="20"/>
        </w:rPr>
        <w:t>droits aux bénéfices sociaux</w:t>
      </w:r>
      <w:r>
        <w:rPr>
          <w:rFonts w:ascii="Times New Roman" w:hAnsi="Times New Roman"/>
          <w:sz w:val="20"/>
        </w:rPr>
        <w:t xml:space="preserve">” at any time during the preceding five years, either directly or indirectly, and, as relates to individuals, alone or with relatives. In the case of redemptions, all or part of the proceeds may, under certain circumstances, be partially or fully qualified as dividends for French domestic tax purposes and therefore be subject to French dividend withholding tax subject to the application of the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an exception, a U.S. Holder resident, domiciled, established or incorporated in a non-cooperative State or territory as set out in the list referred to in Article 238-0 A of the FTC other than those mentioned in 2° of 2 bis of the same Article should be subject to a 75% withholding tax in France on any such capital gain, regardless of the fraction of the dividend rights it holds, unless the safeguard clause provided by the second paragraph of Article 244 bis B of the FTC were to apply. This list of non-cooperative States or territories was last updated on April 15, 2026, and currently includes Anguilla, Antigua and Barbuda, Guam, US Virgin Islands, Palau, Panama, Russia, American Samoa, Vietnam, Turk and Caicos Islands and Vanuatu. States and territories referred to in Article 238-0 A 2 bis 2° of the FTC, and thus outside of the scope of the provisions of Article 244 bis B of the FTC mentioned in this paragraph, are currently Guam, US Virgin Islands, Palau, Panama, Russia, American Samoa and Vietnam.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the Treaty, a U.S. Holder who is a U.S. resident for purposes of the Treaty and entitled to Treaty benefit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and subject to the application of the Treaty) of ADSs unless such ADSs form part of the business property of a permanent establishment or fixed base that the U.S. Holder has in France. U.S. Holders who own ADSs through U.S. partnerships that are not resident for Treaty purposes are advised to consult their own tax advisors regarding their French tax treatment and their eligibility for Treaty benefits in light of their own particular circumstances. </w:t>
      </w:r>
    </w:p>
    <w:p>
      <w:pPr>
        <w:pStyle w:val="TextBody"/>
        <w:bidi w:val="0"/>
        <w:spacing w:before="240" w:after="0"/>
        <w:jc w:val="left"/>
        <w:rPr>
          <w:rFonts w:ascii="Times New Roman" w:hAnsi="Times New Roman"/>
          <w:sz w:val="20"/>
        </w:rPr>
      </w:pPr>
      <w:r>
        <w:rPr>
          <w:rFonts w:ascii="Times New Roman" w:hAnsi="Times New Roman"/>
          <w:sz w:val="20"/>
        </w:rPr>
        <w:t>A holder that is not a U.S. resident for Treaty purposes or is not entitled to Treaty benefit (and in both cases is not resident, established or incorporated in a non-cooperative State or territory as set out in the list referred to in Article other than those States or territories mentioned in 2° of 2 bis of the same Article 238-0 A of the FTC, unless the above mentioned safeguard clause were to apply) and has held more than 25% of our dividend rights, known as “</w:t>
      </w:r>
      <w:r>
        <w:rPr>
          <w:rFonts w:ascii="Times New Roman" w:hAnsi="Times New Roman"/>
          <w:i/>
          <w:sz w:val="20"/>
        </w:rPr>
        <w:t>droits aux bénéfices sociaux</w:t>
      </w:r>
      <w:r>
        <w:rPr>
          <w:rFonts w:ascii="Times New Roman" w:hAnsi="Times New Roman"/>
          <w:sz w:val="20"/>
        </w:rPr>
        <w:t xml:space="preserve">” at any time during the preceding five years, either directly or indirectly, and, as relates to individuals, alone or with relatives, will be subject to a levy in France at the rate of the standard corporate income tax (currently 25%), if such holder is a legal person, or 12.8%, if such holder is an individual subject to the application of any relevant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a non-French resident entity that holds more than 25% of our dividend rights and may be subject to French tax on capital gains, Article 244 bis B of the FTC provides under certain conditions for a refund mechanism, allowing an eligible non-French resident corporate investor to claim a refund of the non-resident French capital gains tax to the extent such tax exceeds the amount of the French corporate income tax it would have borne if it had been a French resident. This refund mechanism is available to entities established in (i) an EU Member State or a Member State of the European Economic Area (EEA), other than a non-cooperative State or territory within the meaning of Article 238-0 A of the FTC that has concluded a tax treaty with France that includes an administrative assistance provision to combat tax fraud and tax evasion (an “EU/EEA State”) or (ii) a State, other than a non-cooperative State or territory that has concluded a tax treaty with France that includes an administrative assistance clause regarding the exchange of information aimed at combating tax fraud and tax evasion (a “Treaty State”), provided that the transferor is not effectively involved in the management or control of the entity whose shares are disposed of or redeemed. In addition, Article 244 bis B of the FTC also provides that specific collective investment funds established in EU/EEA States or Treaty States are excluded from the scope of the non-resident capital gain tax mentioned above under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Article 16 of the Finance Act for 2025 amended the provisions of Article 244 bis B of the FTC as to align with EU law, by allowing non-resident individuals to obtain, upon request to the French tax authorities, the reimbursement of the portion of the tax levy that exceeds the personal income tax they would have been liable for if they had been domiciled in France and had opted for the taxation of their securities income pursuant to the progressive income tax rates (benefiting, where applicable under certain conditions and limitations, from holding period allowances). </w:t>
      </w:r>
    </w:p>
    <w:p>
      <w:pPr>
        <w:pStyle w:val="TextBody"/>
        <w:bidi w:val="0"/>
        <w:spacing w:before="240" w:after="0"/>
        <w:jc w:val="left"/>
        <w:rPr>
          <w:rFonts w:ascii="Times New Roman" w:hAnsi="Times New Roman"/>
          <w:sz w:val="20"/>
        </w:rPr>
      </w:pPr>
      <w:r>
        <w:rPr>
          <w:rFonts w:ascii="Times New Roman" w:hAnsi="Times New Roman"/>
          <w:sz w:val="20"/>
        </w:rPr>
        <w:t xml:space="preserve">Special rules apply to U.S. Holders who are residents of more than one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discussion above is a summary of the material French tax consequences of an investment in our ADSs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ADSs in light of the investor’s own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111359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Morgan Stanley &amp; Co. LLC, Piper Sandler &amp; Co.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ADSs (including underlying ordinary shares)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94"/>
        <w:gridCol w:w="452"/>
        <w:gridCol w:w="84"/>
        <w:gridCol w:w="1046"/>
        <w:gridCol w:w="63"/>
      </w:tblGrid>
      <w:tr>
        <w:trPr/>
        <w:tc>
          <w:tcPr>
            <w:tcW w:w="5294"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94" w:type="dxa"/>
            <w:tcBorders/>
            <w:vAlign w:val="bottom"/>
          </w:tcPr>
          <w:p>
            <w:pPr>
              <w:pStyle w:val="TableContents"/>
              <w:bidi w:val="0"/>
              <w:spacing w:before="0" w:after="283"/>
              <w:jc w:val="left"/>
              <w:rPr>
                <w:b/>
              </w:rPr>
            </w:pPr>
            <w:r>
              <w:rPr>
                <w:b/>
              </w:rPr>
              <w:t>Underwriter</w:t>
            </w:r>
          </w:p>
        </w:tc>
        <w:tc>
          <w:tcPr>
            <w:tcW w:w="452"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ADSs</w:t>
            </w:r>
          </w:p>
        </w:tc>
        <w:tc>
          <w:tcPr>
            <w:tcW w:w="63" w:type="dxa"/>
            <w:tcBorders/>
            <w:vAlign w:val="bottom"/>
          </w:tcPr>
          <w:p>
            <w:pPr>
              <w:pStyle w:val="TableContents"/>
              <w:bidi w:val="0"/>
              <w:spacing w:before="0" w:after="283"/>
              <w:jc w:val="left"/>
              <w:rPr/>
            </w:pPr>
            <w:r>
              <w:rPr/>
              <w:t> </w:t>
            </w:r>
          </w:p>
        </w:tc>
      </w:tr>
      <w:tr>
        <w:trPr/>
        <w:tc>
          <w:tcPr>
            <w:tcW w:w="5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45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94"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45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94"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4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45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94" w:type="dxa"/>
            <w:tcBorders/>
          </w:tcPr>
          <w:p>
            <w:pPr>
              <w:pStyle w:val="TableContents"/>
              <w:bidi w:val="0"/>
              <w:spacing w:before="0" w:after="0"/>
              <w:jc w:val="left"/>
              <w:rPr>
                <w:rFonts w:ascii="Times New Roman" w:hAnsi="Times New Roman"/>
                <w:sz w:val="20"/>
              </w:rPr>
            </w:pPr>
            <w:r>
              <w:rPr>
                <w:rFonts w:ascii="Times New Roman" w:hAnsi="Times New Roman"/>
                <w:sz w:val="20"/>
              </w:rPr>
              <w:t>Van Lanschot Kempen (USA) Inc.</w:t>
            </w:r>
          </w:p>
        </w:tc>
        <w:tc>
          <w:tcPr>
            <w:tcW w:w="4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94"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294"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04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ADSs sold under the underwriting agreement if any of the ADSs are purchased. If an underwriter defaults, the underwriting agreement provides that the purchase commitments of the non-defaulting underwriters may be increased or the underwriting agreement may be terminated. The underwriters may provide their services in this offering through or in conjunction with one or more of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ADSs, subject to prior sale, when, as and if issued to and accepted by them, subject to approval of legal matters by their counsel, including the validity of the ordinary shares, including ordinary shares represented by the ADSs,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Discounts and Commissions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ADSs to the public at the public offering price set forth on the cover page of this prospectus supplement and to dealers at that price less a concession not in excess of $    per ADS. After the initial offering of the ADSs, the public offering price, concession or any other term of this offering may be changed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ADS public offering price, underwriting discounts and commissions, and proceeds, before expenses, to us. The total amount is shown assuming both no exercise and full exercise of the underwriters’ option to purchase up to an additional    ADSs.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20"/>
        <w:gridCol w:w="328"/>
        <w:gridCol w:w="140"/>
        <w:gridCol w:w="852"/>
        <w:gridCol w:w="60"/>
        <w:gridCol w:w="328"/>
        <w:gridCol w:w="188"/>
        <w:gridCol w:w="1094"/>
        <w:gridCol w:w="60"/>
        <w:gridCol w:w="328"/>
        <w:gridCol w:w="200"/>
        <w:gridCol w:w="1209"/>
        <w:gridCol w:w="65"/>
      </w:tblGrid>
      <w:tr>
        <w:trPr/>
        <w:tc>
          <w:tcPr>
            <w:tcW w:w="372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0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7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ADS</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5" w:type="dxa"/>
            <w:tcBorders/>
            <w:vAlign w:val="bottom"/>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72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$    million. We have also agreed to reimburse the underwriters for certain of their expenses in an amount up to $30,000.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ADSs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on or before the initial settlement date, to purchase up to an aggregate of     additional ADSs at the public offering price set forth on the cover page of this prospectus supplement. If the underwriters exercise this option, each underwriter will be obligated, subject to the conditions contained in the underwriting agreement, to purchase a number of additional ADSs proportionate to that underwriter’s initial amount reflected in the above table.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and all directors and executive officers and certain of our shareholders have agreed that, without the prior written consent of Leerink Partners LLC, Morgan Stanley &amp; Co. LLC, Piper Sandler &amp; Co. and Guggenheim Securities, LLC on behalf of the underwriters, we and they will not, and will not publicly disclose an intention to, during the period ending 60 days after the date of this prospectus supplement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 offer, pledge, sell, contract to sell, sell any option or contract to purchase, purchase any option or contract to sell, grant any option, right or warrant to purchase, lend, or otherwise transfer or dispose of, directly or indirectly, any ADSs, ordinary shares, or any securities convertible into or exercisable or exchangeable for ADSs or ordinary shares (such other securities, including any received upon grant or vesting pursuant to a free share plan, “derivative securities”); or </w:t>
      </w:r>
    </w:p>
    <w:p>
      <w:pPr>
        <w:pStyle w:val="TextBody"/>
        <w:bidi w:val="0"/>
        <w:spacing w:before="240" w:after="0"/>
        <w:jc w:val="left"/>
        <w:rPr>
          <w:rFonts w:ascii="Times New Roman" w:hAnsi="Times New Roman"/>
          <w:sz w:val="20"/>
        </w:rPr>
      </w:pPr>
      <w:r>
        <w:rPr>
          <w:rFonts w:ascii="Times New Roman" w:hAnsi="Times New Roman"/>
          <w:sz w:val="20"/>
        </w:rPr>
        <w:t xml:space="preserve">(ii) enter into any hedging, swap or other arrangement that transfers to another, in whole or in part, any of the economic consequences of ownership of ADSs, ordinary shares or derivative securities, whether any such transaction described above is to be settled by delivery of ADSs, ordinary shares or derivative securities, in cash or otherwise; or </w:t>
      </w:r>
    </w:p>
    <w:p>
      <w:pPr>
        <w:pStyle w:val="TextBody"/>
        <w:bidi w:val="0"/>
        <w:spacing w:before="240" w:after="0"/>
        <w:jc w:val="left"/>
        <w:rPr>
          <w:rFonts w:ascii="Times New Roman" w:hAnsi="Times New Roman"/>
          <w:sz w:val="20"/>
        </w:rPr>
      </w:pPr>
      <w:r>
        <w:rPr>
          <w:rFonts w:ascii="Times New Roman" w:hAnsi="Times New Roman"/>
          <w:sz w:val="20"/>
        </w:rPr>
        <w:t xml:space="preserve">(iii) file any registration statement with the SEC relating to the offering of any ADSs, ordinary shares or derivative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and each such person agrees that, without the prior written consent of Leerink Partners LLC, Morgan Stanley &amp; Co. LLC, Piper Sandler &amp; Co. and Guggenheim Securities, LLC on behalf of the underwriters, we or such other person will not, during the restricted period, make any demand for, or exercise any right with respect to, the registration of any ADSs, ordinary shares or derivative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us, the restrictions described above do not apply to: </w:t>
      </w:r>
    </w:p>
    <w:p>
      <w:pPr>
        <w:pStyle w:val="TextBody"/>
        <w:bidi w:val="0"/>
        <w:spacing w:before="240" w:after="0"/>
        <w:jc w:val="left"/>
        <w:rPr>
          <w:rFonts w:ascii="Times New Roman" w:hAnsi="Times New Roman"/>
          <w:sz w:val="20"/>
        </w:rPr>
      </w:pPr>
      <w:r>
        <w:rPr>
          <w:rFonts w:ascii="Times New Roman" w:hAnsi="Times New Roman"/>
          <w:sz w:val="20"/>
        </w:rPr>
        <w:t xml:space="preserve">(a) the sale of the ADSs offered by this prospectus supplement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(b) the issuance of ADSs or ordinary shares upon the exercise of an option or warrant or the conversion of a security outstanding on the date of this prospectus supplement and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(c) the issuance of ADSs, ordinary shares, share options, free shares or warrants (including share warrants (BSA) and founder’s warrants (BSPCE)) pursuant to existing shareholder authorizations described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 the facilitating of the establishment of a trading plan on behalf of any of our shareholders, officers or directors pursuant to Rule 10b5-1 under the Exchange Act (“10b5-1 trading plan”) for the transfer of ADSs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ordinary shares or of the amendment of an existing 10b5-1 trading plan, provided that (i) such 10b5-1 trading plan does not provide for the transfer of ADSs or ordinary shares during the restricted period and (ii) no public announcement or filing under the Exchange Act or otherwise is required of or voluntarily made by or on behalf of the applicable individual or us regarding the establishment or amendment of such 10b5-1 trading plan; </w:t>
      </w:r>
    </w:p>
    <w:p>
      <w:pPr>
        <w:pStyle w:val="TextBody"/>
        <w:bidi w:val="0"/>
        <w:spacing w:before="240" w:after="0"/>
        <w:jc w:val="left"/>
        <w:rPr>
          <w:rFonts w:ascii="Times New Roman" w:hAnsi="Times New Roman"/>
          <w:sz w:val="20"/>
        </w:rPr>
      </w:pPr>
      <w:r>
        <w:rPr>
          <w:rFonts w:ascii="Times New Roman" w:hAnsi="Times New Roman"/>
          <w:sz w:val="20"/>
        </w:rPr>
        <w:t xml:space="preserve">(f) the issuance and sale of ADSs pursuant to our existing equity distribution agreement with Piper Sandler &amp; Co., provided that any such sales may only occur at least 30 days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(g) the entry into any agreement providing for the issuance by us of ADSs, ordinary shares or derivative securities in connection with (i) the acquisition by us of the securities, business, technology, property or other assets of another person or entity, or pursuant to an employee benefit plan assumed by us in connection with such acquisition, or (ii) joint ventures, commercial relationships or other strategic transactions, and in each case, the issuance of any such securities pursuant to any such agreement; provided, however, that the aggregate number of ADSs, ordinary shares or derivative securities that we may sell or issue or agree to sell or issue shall not exceed 5% of the total number of ordinary shares (including in the form of ADSs) issued and outstanding immediately following the completion of this offering; and provided, further, that we must cause each recipient of such securities to execute and deliver to the representatives, on or prior to the issuance of such securities, a lock-up agreement substantially in the form attached to the underwriting agreement with respect to the remainder of the restricted period and enter stop transfer instructions with our transfer agent and registrar for such securities; or </w:t>
      </w:r>
    </w:p>
    <w:p>
      <w:pPr>
        <w:pStyle w:val="TextBody"/>
        <w:bidi w:val="0"/>
        <w:spacing w:before="240" w:after="0"/>
        <w:jc w:val="left"/>
        <w:rPr>
          <w:rFonts w:ascii="Times New Roman" w:hAnsi="Times New Roman"/>
          <w:sz w:val="20"/>
        </w:rPr>
      </w:pPr>
      <w:r>
        <w:rPr>
          <w:rFonts w:ascii="Times New Roman" w:hAnsi="Times New Roman"/>
          <w:sz w:val="20"/>
        </w:rPr>
        <w:t xml:space="preserve">(h) the filing, after the completion of this offering, of a registration statement on Form F-6 relating to the ADSs, provided, however, that we will furnish to the representatives a copy of the proposed registration statement prior to any such filing.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 respect to our directors and executive officers and certain of our shareholders, the restrictions described above are subject to specified exceptions, including, without limitation and subject in certain cases to various conditions: </w:t>
      </w:r>
    </w:p>
    <w:p>
      <w:pPr>
        <w:pStyle w:val="TextBody"/>
        <w:bidi w:val="0"/>
        <w:spacing w:before="240" w:after="0"/>
        <w:jc w:val="left"/>
        <w:rPr>
          <w:rFonts w:ascii="Times New Roman" w:hAnsi="Times New Roman"/>
          <w:sz w:val="20"/>
        </w:rPr>
      </w:pPr>
      <w:r>
        <w:rPr>
          <w:rFonts w:ascii="Times New Roman" w:hAnsi="Times New Roman"/>
          <w:sz w:val="20"/>
        </w:rPr>
        <w:t xml:space="preserve">(a) transactions relating to ADSs, ordinary shares or derivative securities acquired in this offering or in open market transactions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 transfers of ADSs, ordinary shares or derivative securities (i) as a </w:t>
      </w:r>
      <w:r>
        <w:rPr>
          <w:rFonts w:ascii="Times New Roman" w:hAnsi="Times New Roman"/>
          <w:i/>
          <w:sz w:val="20"/>
        </w:rPr>
        <w:t>bona fide</w:t>
      </w:r>
      <w:r>
        <w:rPr>
          <w:rFonts w:ascii="Times New Roman" w:hAnsi="Times New Roman"/>
          <w:sz w:val="20"/>
        </w:rPr>
        <w:t xml:space="preserve"> gift or gifts; (ii) to any trust for the direct or indirect benefit of such person or their immediate family; (iii) as a distribution or other transfer by a partnership to its partners or former partners, by a limited liability company to its members or retired members, or by a corporation to its shareholders or former shareholders or to any wholly-owned subsidiary of such corporation; (iv) to such person’s affiliates or to any investment fund or other entity controlled or managed by such person; (v) pursuant to a qualified domestic relations order or in connection with a divorce settlement; or (vi) by will or intestate succession or intestate distribution upon the death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(c) surrender of ordinary shares to the depositary or the depositary’s custodian for the purpose of receiving an equivalent number of ADSs in lieu of such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(d) transfers of ADSs, ordinary shares or derivative securities to the company in satisfaction of any tax withholding obligation; </w:t>
      </w:r>
    </w:p>
    <w:p>
      <w:pPr>
        <w:pStyle w:val="TextBody"/>
        <w:bidi w:val="0"/>
        <w:spacing w:before="240" w:after="0"/>
        <w:jc w:val="left"/>
        <w:rPr>
          <w:rFonts w:ascii="Times New Roman" w:hAnsi="Times New Roman"/>
          <w:sz w:val="20"/>
        </w:rPr>
      </w:pPr>
      <w:r>
        <w:rPr>
          <w:rFonts w:ascii="Times New Roman" w:hAnsi="Times New Roman"/>
          <w:sz w:val="20"/>
        </w:rPr>
        <w:t xml:space="preserve">(e) transfers or sales of up to 1,000,000 ADSs or ordinary shares (in the aggregate for all of our directors, officers and affiliates) used for the primary purpose of satisfying any withholding tax or other governmental withholding or payment obligations pursuant to equity awards granted under a share incentive plan or other equity award plan that is described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transfers of ADSs, ordinary shares or derivative securities to us pursuant to any contractual arrangement that provides for the repurchase of the ADSs, ordinary shares or derivative securities held by such person in connection with the termination of such person’s services to us or such person’s failure to meet certain conditions set out upon receipt of such ADSs, ordinary shares or derivative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(g) the exercise or exchange by such person of any option or warrant to acquire any ADSs or ordinary shares or options to purchase ADSs or ordinary shares, in each case for cash or on a “cashless” or “net exercise” basis, pursuant to any share option, share bonus or other share plan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(h) the transfer of ADSs, ordinary shares or derivative securities upon the completion of a </w:t>
      </w:r>
      <w:r>
        <w:rPr>
          <w:rFonts w:ascii="Times New Roman" w:hAnsi="Times New Roman"/>
          <w:i/>
          <w:sz w:val="20"/>
        </w:rPr>
        <w:t>bona fide</w:t>
      </w:r>
      <w:r>
        <w:rPr>
          <w:rFonts w:ascii="Times New Roman" w:hAnsi="Times New Roman"/>
          <w:sz w:val="20"/>
        </w:rPr>
        <w:t xml:space="preserve"> third-party tender offer, merger, consolidation or other similar transaction that is approved by our Board, made to all holders of our securities and involves a change of control of us; or </w:t>
      </w:r>
    </w:p>
    <w:p>
      <w:pPr>
        <w:pStyle w:val="TextBody"/>
        <w:bidi w:val="0"/>
        <w:spacing w:before="240" w:after="0"/>
        <w:jc w:val="left"/>
        <w:rPr>
          <w:rFonts w:ascii="Times New Roman" w:hAnsi="Times New Roman"/>
          <w:sz w:val="20"/>
        </w:rPr>
      </w:pPr>
      <w:r>
        <w:rPr>
          <w:rFonts w:ascii="Times New Roman" w:hAnsi="Times New Roman"/>
          <w:sz w:val="20"/>
        </w:rPr>
        <w:t xml:space="preserve">(i) the establishment of a 10b5-1 trading plan for the transfer of ADSs or ordinary shares or the amendment of an existing 10b5-1 trading plan, provided that such 10b5-1 trading plan does not provide for the transfer of ADSs or ordinary shares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Morgan Stanley &amp; Co. LLC, Piper Sandler &amp; Co. and Guggenheim Securities, LLC, in their sole discretion, may release the ADSs, ordinary shares and derivative securities subject to the lock-up agreements described above in whole or in part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Listings </w:t>
      </w:r>
    </w:p>
    <w:p>
      <w:pPr>
        <w:pStyle w:val="TextBody"/>
        <w:bidi w:val="0"/>
        <w:spacing w:before="120" w:after="0"/>
        <w:jc w:val="left"/>
        <w:rPr>
          <w:rFonts w:ascii="Times New Roman" w:hAnsi="Times New Roman"/>
          <w:sz w:val="20"/>
        </w:rPr>
      </w:pPr>
      <w:r>
        <w:rPr>
          <w:rFonts w:ascii="Times New Roman" w:hAnsi="Times New Roman"/>
          <w:sz w:val="20"/>
        </w:rPr>
        <w:t xml:space="preserve">Our ADSs are listed on the Nasdaq Global Market under the symbol “ABVX.” Our ordinary shares are listed on Euronext Paris under the symbol “ABVX.”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ADSs is completed, SEC rules may limit underwriters and selling group members from bidding for and purchasing our ADSs. However, the representatives may engage in transactions that stabilize the price of our ADSs,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purchase and sell our ADSs in the open market. These transactions may include short sales, purchases on the open market to cover positions created by short sales and stabilizing transactions. Short sales involve the sale by the underwriters of a greater number of ADSs than they are required to purchase in this offering. “Covered” short sales are sales made in an amount not greater than the underwriters’ option to purchase additional ADSs described above.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 granted to them under the underwriting agreement described above. “Naked” short sales are sales in excess of such option.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 Stabilizing transactions consist of various bids for or purchases of ADSs made by the underwriters in the open market prior to the closing of this offering. Such stabilization transactions will need to comply with European Union laws and notably Regulation n°596/2014 on market abuse,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The underwriters may conduct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ADSs.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certain of the underwriters or securities dealers may distribute prospectuses by electronic means, such as e-mail.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to deliver the ADSs on or about the date of delivery specified on the cover page of this prospectus supplement, which will be the second business day following the trade date for the ADSs (this settlement cycle being referred to as “T+2”). Under Rule 15c6-1 of the Exchange Act, trades in the secondary market generally are required to settle in one business day unless the parties to any such trade expressly agree otherwise. Accordingly, purchasers who wish to trade the ADSs prior to the business day preceding the date of delivery will be required, by virtue of the fact that the ADSs initially will settle in T+2, to specify an alternate settlement cycle at the time of any such trade to prevent a failed settlement and should consult their own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For example, Piper Sandler &amp; Co. is the sales agent under our Equity Distribution Agreement, dated November 19, 2024, in connection with our at-the-market program.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the securities may be made to the public in that Relevant State at any time under the following exemptions under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(a) to any legal entity which is a qualified investor as defined under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the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securities shall require us or any of our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any securities, and the expression “Prospectus Regulation” means Regulation (EU) 2017/1129, as amended.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State who receives any communication in respect of, or who acquires any securities under, the offering contemplated hereby will be deemed to have represented, warranted and agreed to and with each of the underwriters and their affiliates and to us that: </w:t>
      </w:r>
    </w:p>
    <w:p>
      <w:pPr>
        <w:pStyle w:val="TextBody"/>
        <w:bidi w:val="0"/>
        <w:spacing w:before="240" w:after="0"/>
        <w:jc w:val="left"/>
        <w:rPr>
          <w:rFonts w:ascii="Times New Roman" w:hAnsi="Times New Roman"/>
          <w:sz w:val="20"/>
        </w:rPr>
      </w:pPr>
      <w:r>
        <w:rPr>
          <w:rFonts w:ascii="Times New Roman" w:hAnsi="Times New Roman"/>
          <w:sz w:val="20"/>
        </w:rPr>
        <w:t xml:space="preserve">(a) it is a qualified investor within the meaning of the Prospectus Regulation;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 (ii) where the securities have been acquired by it on behalf of persons in any Relevant State other than qualified investors, the offer of those securities to it is not treated under the Prospectus Regulation as having been made to such persons. </w:t>
      </w:r>
    </w:p>
    <w:p>
      <w:pPr>
        <w:pStyle w:val="TextBody"/>
        <w:bidi w:val="0"/>
        <w:spacing w:before="240" w:after="0"/>
        <w:jc w:val="left"/>
        <w:rPr>
          <w:rFonts w:ascii="Times New Roman" w:hAnsi="Times New Roman"/>
          <w:sz w:val="20"/>
        </w:rPr>
      </w:pPr>
      <w:r>
        <w:rPr>
          <w:rFonts w:ascii="Times New Roman" w:hAnsi="Times New Roman"/>
          <w:sz w:val="20"/>
        </w:rPr>
        <w:t xml:space="preserve">We, the underwriters and their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securities in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MiFID II Product Governance </w:t>
      </w:r>
    </w:p>
    <w:p>
      <w:pPr>
        <w:pStyle w:val="TextBody"/>
        <w:bidi w:val="0"/>
        <w:spacing w:before="120" w:after="0"/>
        <w:jc w:val="left"/>
        <w:rPr>
          <w:rFonts w:ascii="Times New Roman" w:hAnsi="Times New Roman"/>
          <w:sz w:val="20"/>
        </w:rPr>
      </w:pPr>
      <w:r>
        <w:rPr>
          <w:rFonts w:ascii="Times New Roman" w:hAnsi="Times New Roman"/>
          <w:sz w:val="20"/>
        </w:rPr>
        <w:t xml:space="preserve">Solely for the purposes of each manufacturer’s product approval process, the target market assessment in respect of ordinary shares has led to the conclusion that: (i) the target market for the ordinary shares is eligible counterparties, professional clients and retail clients, each as defined in Directive 2014/65/EU, as amended (“MiFID II”); and (ii) all channels for distribution of the ordinary shares to eligible counterparties, professional clients and retail clients are appropriate. Any person subsequently offering, selling or recommending the ordinary shares, or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 appropriate distribution channels. For the avoidance of doubt, even if the target market includes retail clients, it has been decided that the ordinary shares will only be offered to persons who meet the criteria of eligible counterparties and professional clients.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MiFIR Product Governance </w:t>
      </w:r>
    </w:p>
    <w:p>
      <w:pPr>
        <w:pStyle w:val="TextBody"/>
        <w:bidi w:val="0"/>
        <w:spacing w:before="120" w:after="0"/>
        <w:jc w:val="left"/>
        <w:rPr>
          <w:rFonts w:ascii="Times New Roman" w:hAnsi="Times New Roman"/>
          <w:sz w:val="20"/>
        </w:rPr>
      </w:pPr>
      <w:r>
        <w:rPr>
          <w:rFonts w:ascii="Times New Roman" w:hAnsi="Times New Roman"/>
          <w:sz w:val="20"/>
        </w:rPr>
        <w:t xml:space="preserve">Solely for the purposes of each manufacturer’s product approval process, the target market assessment in respect of the securities has led to the conclusion that: (i) the target market for the securities is retail clients, as defined in point (8) of article 2 of Regulation (EU) No. 2017/565 as it forms part of domestic law by virtue of the European Union (Withdrawal) Act 2018 (“EUWA”), and eligible counterparties, as defined in the Financial Conduct Authority (“FCA”) Handbook Conduct of Business Sourcebook (“COBS”) and professional clients, as defined in Regulation (EU) No 600/2014 as it forms part of domestic law by virtue of the EUWA (“UK MiFIR”); and (ii) all channels for distribution of the securities are appropriate. Any person subsequently offering, selling or recommending the securities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securities (by either adopting or refining the manufacturer’s target market assessment) and determining appropriate distribution channels. For the avoidance of doubt, even if the target market includes retail clients, it has been decided that the securities will only be offered to persons who meet the criteria of eligible counterparties and professional clients.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and any other material in relation to the securities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securities are only available in the UK to, and any invitation, offer or agreement to purchase or otherwise acquire the securities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 </w:t>
      </w:r>
    </w:p>
    <w:p>
      <w:pPr>
        <w:pStyle w:val="TextBody"/>
        <w:bidi w:val="0"/>
        <w:spacing w:before="240" w:after="0"/>
        <w:jc w:val="left"/>
        <w:rPr>
          <w:rFonts w:ascii="Times New Roman" w:hAnsi="Times New Roman"/>
          <w:sz w:val="20"/>
        </w:rPr>
      </w:pPr>
      <w:r>
        <w:rPr>
          <w:rFonts w:ascii="Times New Roman" w:hAnsi="Times New Roman"/>
          <w:sz w:val="20"/>
        </w:rPr>
        <w:t xml:space="preserve">No securities have been offered or will be offered pursuant to the offering to the public in the UK prior to the publication of a prospectus in relation to the shares (including in the form of ADSs) which has been approved by the Financial Conduct Authority in the UK in accordance with the Public Offers and Admissions to Trading Regulations 2024 (the “POATRs”) and the FSMA, except that offers of the securities may be made to the public in the UK at any time: </w:t>
      </w:r>
    </w:p>
    <w:p>
      <w:pPr>
        <w:pStyle w:val="TextBody"/>
        <w:bidi w:val="0"/>
        <w:spacing w:before="240" w:after="0"/>
        <w:jc w:val="left"/>
        <w:rPr>
          <w:rFonts w:ascii="Times New Roman" w:hAnsi="Times New Roman"/>
          <w:sz w:val="20"/>
        </w:rPr>
      </w:pPr>
      <w:r>
        <w:rPr>
          <w:rFonts w:ascii="Times New Roman" w:hAnsi="Times New Roman"/>
          <w:sz w:val="20"/>
        </w:rPr>
        <w:t xml:space="preserve">(a) to any legal entity which is a “qualified investor” as defined in paragraph 15 of Schedule 1 to the POATRs;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in paragraph 15 of Schedule 1 to the POATRs), subject to obtaining the prior consent of the underwriters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Part 1 to Schedule 1 of the POATRs.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the Company or any of the underwriters to publish a prospectus pursuant to the PROATRs or supplement a prospectus.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the UK means the communication in any form and by any means of sufficient information on the terms of the offer and any securities to be offered so as to enable an investor to decide to purchase or subscribe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acquires any securities in the offer or to whom any offer is made will be deemed to have represented, acknowledged and agreed to and with us, the underwriters and their affiliates that it meets the criteria outlined in this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France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offered or sold to the public in the Republic of France, and no offering of this prospectus or any marketing materials relating to securities may be made available or distributed in any way that would constitute, directly or indirectly, an offer to the public in France (except for public offerings defined in Article L.411-2 1° of the French Monetary and Financial Code). </w:t>
      </w:r>
    </w:p>
    <w:p>
      <w:pPr>
        <w:pStyle w:val="TextBody"/>
        <w:bidi w:val="0"/>
        <w:spacing w:before="240" w:after="0"/>
        <w:jc w:val="left"/>
        <w:rPr>
          <w:rFonts w:ascii="Times New Roman" w:hAnsi="Times New Roman"/>
          <w:sz w:val="20"/>
        </w:rPr>
      </w:pPr>
      <w:r>
        <w:rPr>
          <w:rFonts w:ascii="Times New Roman" w:hAnsi="Times New Roman"/>
          <w:sz w:val="20"/>
        </w:rPr>
        <w:t>The securities may only be offered or sold in France pursuant to Article L. 411-2 1° of the French Monetary and Financial Code to qualified investors (</w:t>
      </w:r>
      <w:r>
        <w:rPr>
          <w:rFonts w:ascii="Times New Roman" w:hAnsi="Times New Roman"/>
          <w:i/>
          <w:sz w:val="20"/>
        </w:rPr>
        <w:t>investisseurs qualifiés</w:t>
      </w:r>
      <w:r>
        <w:rPr>
          <w:rFonts w:ascii="Times New Roman" w:hAnsi="Times New Roman"/>
          <w:sz w:val="20"/>
        </w:rPr>
        <w:t xml:space="preserve">) (as such term is defined in Article 2(e) of Regulation (EU) n° 2017/1129 dated 14 June 2017, as amended ) acting for their own account, and in accordance with Articles L. 411-1, L. 411-2 and D. 411-2 to D.411-4 of the French Monetary and Financial Code.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informed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neither this prospectus nor any other offering materials relating to the securities described in this prospectus has been submitted for clearance to the French financial markets authority (</w:t>
            </w:r>
            <w:r>
              <w:rPr>
                <w:rFonts w:ascii="Times New Roman" w:hAnsi="Times New Roman"/>
                <w:i/>
                <w:sz w:val="20"/>
              </w:rPr>
              <w:t>Autorité des marchés financiers);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this prospectus, nor any offering material relating to the securities has been or will be released, issued, distributed or caused to be released, issued or distributed to the public in France or used in connection with any offer for subscription or sale of the securities to the public in France within the meaning of Article L. 411-1 of the French Monetary and Financial Code (other than public offerings defined in Article L.411-2 1° of the French Monetary and Financial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or entities referred to in Article L. 411-2 1° of the French Monetary and Financial Code may participate in the offering, as provided under Articles D.411-4 of the French Monetary and Financial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 and indirect distribution or sale to the public of the securities acquired by them may only be made in compliance with Articles L. 411-1, L. 411-2 1°, L. 412-1 and L. 621-8 to L. 621-8-2 of the French Monetary and Financial Code.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Ordinance. No advertisement, invitation or document relating to our securities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securities hereunder is directed only at, (i) a limited number of persons in accordance with the Israeli Securities Law and (ii) investors listed in the first addendum to the Israeli Securities Law, or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No registration pursuant to Article 4, paragraph 1 of the Financial Instruments and Exchange Law of Japan (Law No. 25 of 1948, as amended), or the FIEL, has been made or will be made with respect to the solicitation of the application for the acquisition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securities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For Qualified Institutional Investors, or QII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securities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securities. The securities may only be transferred to QIIs. </w:t>
      </w:r>
    </w:p>
    <w:p>
      <w:pPr>
        <w:pStyle w:val="TextBody"/>
        <w:bidi w:val="0"/>
        <w:spacing w:before="360" w:after="0"/>
        <w:jc w:val="left"/>
        <w:rPr>
          <w:rFonts w:ascii="Times New Roman" w:hAnsi="Times New Roman"/>
          <w:b/>
          <w:sz w:val="20"/>
        </w:rPr>
      </w:pPr>
      <w:r>
        <w:rPr>
          <w:rFonts w:ascii="Times New Roman" w:hAnsi="Times New Roman"/>
          <w:b/>
          <w:sz w:val="20"/>
        </w:rPr>
        <w:t xml:space="preserve">For Non-QII Investors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securities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securities. The securities may only be transferred en bloc without subdivision to a single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before="240" w:after="0"/>
        <w:jc w:val="left"/>
        <w:rPr>
          <w:rFonts w:ascii="Times New Roman" w:hAnsi="Times New Roman"/>
          <w:sz w:val="20"/>
        </w:rPr>
      </w:pPr>
      <w:r>
        <w:rPr>
          <w:rFonts w:ascii="Times New Roman" w:hAnsi="Times New Roman"/>
          <w:sz w:val="20"/>
        </w:rPr>
        <w:t xml:space="preserve">(i) 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 </w:t>
      </w:r>
    </w:p>
    <w:p>
      <w:pPr>
        <w:pStyle w:val="TextBody"/>
        <w:bidi w:val="0"/>
        <w:spacing w:before="240" w:after="0"/>
        <w:jc w:val="left"/>
        <w:rPr>
          <w:rFonts w:ascii="Times New Roman" w:hAnsi="Times New Roman"/>
          <w:sz w:val="20"/>
        </w:rPr>
      </w:pPr>
      <w:r>
        <w:rPr>
          <w:rFonts w:ascii="Times New Roman" w:hAnsi="Times New Roman"/>
          <w:sz w:val="20"/>
        </w:rPr>
        <w:t xml:space="preserve">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is not intended to constitute an offer or solicitation to purchase or invest in our securities. Our securities may not be publicly offered, directly or indirectly, in Switzerland within the meaning of the Swiss Financial Services Act, or the FinSA, and no application has or will be made to admit our securities to trading on any trading venue (exchange or multilateral trading facility) in Switzerland. Neither this prospectus nor any other offering or marketing material relating to our securities constitutes a prospectus pursuant to the FinSA, and neither this prospectus nor any other offering or marketing material relating to our securities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111359_10"/>
      <w:bookmarkEnd w:id="12"/>
      <w:r>
        <w:rPr>
          <w:rFonts w:ascii="Times New Roman" w:hAnsi="Times New Roman"/>
          <w:b/>
          <w:sz w:val="20"/>
        </w:rPr>
        <w:t xml:space="preserve">MATERIAL CHANGES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this prospectus supplement or otherwise described in our Annual Report and in our reports on Form 6-K incorporated by reference into this prospectus supplement, no reportable material changes have occurred since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111359_11"/>
      <w:bookmarkEnd w:id="13"/>
      <w:r>
        <w:rPr>
          <w:rFonts w:ascii="Times New Roman" w:hAnsi="Times New Roman"/>
          <w:b/>
          <w:sz w:val="20"/>
        </w:rPr>
        <w:t xml:space="preserve">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a </w:t>
      </w:r>
      <w:r>
        <w:rPr>
          <w:rFonts w:ascii="Times New Roman" w:hAnsi="Times New Roman"/>
          <w:i/>
          <w:sz w:val="20"/>
        </w:rPr>
        <w:t>société anonyme</w:t>
      </w:r>
      <w:r>
        <w:rPr>
          <w:rFonts w:ascii="Times New Roman" w:hAnsi="Times New Roman"/>
          <w:sz w:val="20"/>
        </w:rPr>
        <w:t xml:space="preserve">, organized under the laws of France. The majority of our directors and officers are residents of countries other than the United States, and the majority of our assets are located outside of the United States. We have appointed an agent for service of process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Accordingly, U.S. investors may find it difficult and may be unable: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obtain jurisdiction over us or our non-U.S. resident officers and directors in U.S. courts in actions predicated on the civil liability provisions of the U.S. federal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enforce judgments obtained in such actions against us or our non-U.S. resident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bring an original action in a French court to enforce liabilities based upon the U.S. federal securities laws against us or our officers or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enforce against us or our officers or directors in non-U.S. courts, including French courts, judgments of U.S. courts predicated upon the civil liability provisions of the U.S. federal securities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actions in the United States under U.S. federal securities laws could be affected under certain circumstances by French Law No. 68-678 of July 26, 1968 (relating to the communication of documents and information of an economic, commercial, industrial, financial or technical nature to foreign authorities or persons), as amended by French Law No. 80-538 of July 16, 1980, and French Ordinance No. 2000-916 of September 19, 2000, and as further specified by Decree No. 2022-707 of February 18, 2022 and Order of March 7, 2022, which may preclude or restrict the obtaining of evidence in France or from French persons in connection with those actions. As a result of the above regulations, the U.S. authorities would have to comply with applicable international treaties or agreements and laws and regulations in force (such as the 1970 Hague Convention on the Taking of Evidence Abroad). </w:t>
      </w:r>
    </w:p>
    <w:p>
      <w:pPr>
        <w:pStyle w:val="TextBody"/>
        <w:bidi w:val="0"/>
        <w:spacing w:before="240" w:after="0"/>
        <w:jc w:val="left"/>
        <w:rPr>
          <w:rFonts w:ascii="Times New Roman" w:hAnsi="Times New Roman"/>
          <w:sz w:val="20"/>
        </w:rPr>
      </w:pPr>
      <w:r>
        <w:rPr>
          <w:rFonts w:ascii="Times New Roman" w:hAnsi="Times New Roman"/>
          <w:sz w:val="20"/>
        </w:rPr>
        <w:t xml:space="preserve">Similarly, French data protection rules (Law No. 78-17 of January 6, 1978 on data processing, data files and individual liberties, as modified) and the General Data Protection Regulation (i.e., Regulation (EU) 2016/679 of the European Parliament and of the Council of April 27, 2016) can limit under certain circumstances the possibility of obtaining information in France or from French persons in connection with a U.S. action. </w:t>
      </w:r>
    </w:p>
    <w:p>
      <w:pPr>
        <w:pStyle w:val="TextBody"/>
        <w:bidi w:val="0"/>
        <w:spacing w:before="240" w:after="0"/>
        <w:jc w:val="left"/>
        <w:rPr>
          <w:rFonts w:ascii="Times New Roman" w:hAnsi="Times New Roman"/>
          <w:sz w:val="20"/>
        </w:rPr>
      </w:pPr>
      <w:r>
        <w:rPr>
          <w:rFonts w:ascii="Times New Roman" w:hAnsi="Times New Roman"/>
          <w:sz w:val="20"/>
        </w:rPr>
        <w:t>Nevertheless, a final judgment for the payment of money rendered by any federal or state court in the United States based on civil liability, whether or not predicated solely upon the U.S. federal securities laws, would be recognized and be enforceable in France provided that a French judge considers that this judgment meets the requirements under the French rules of international private law concerning the recognition and the enforcement of foreign judgments and is capable of being immediately enforced in the United States. A French court is therefore likely to grant the enforcement of a foreign judgment without a review of the substantive matters thereby adjudicated, only if: (1) the United States federal or state court has jurisdiction and the dispute is clearly connected to the territory of the court which rendered the judgment (2) the judgment is not tainted by fraud, (3) the judgment complies with French substantive and procedural rules of international public policy (</w:t>
      </w:r>
      <w:r>
        <w:rPr>
          <w:rFonts w:ascii="Times New Roman" w:hAnsi="Times New Roman"/>
          <w:i/>
          <w:sz w:val="20"/>
        </w:rPr>
        <w:t>ordre public international</w:t>
      </w:r>
      <w:r>
        <w:rPr>
          <w:rFonts w:ascii="Times New Roman" w:hAnsi="Times New Roman"/>
          <w:sz w:val="20"/>
        </w:rPr>
        <w:t>), including principles of due process (</w:t>
      </w:r>
      <w:r>
        <w:rPr>
          <w:rFonts w:ascii="Times New Roman" w:hAnsi="Times New Roman"/>
          <w:i/>
          <w:sz w:val="20"/>
        </w:rPr>
        <w:t>principe du contradictoire</w:t>
      </w:r>
      <w:r>
        <w:rPr>
          <w:rFonts w:ascii="Times New Roman" w:hAnsi="Times New Roman"/>
          <w:sz w:val="20"/>
        </w:rPr>
        <w:t>) and notably the right to a fair trial, and (4) the judgment is not irreconcilable with an earlier judgment rendered or recognized by a French court in the same or related matter. The French court may require all relevant supporting documents to be translated into the French language by a “sworn translator” (</w:t>
      </w:r>
      <w:r>
        <w:rPr>
          <w:rFonts w:ascii="Times New Roman" w:hAnsi="Times New Roman"/>
          <w:i/>
          <w:sz w:val="20"/>
        </w:rPr>
        <w:t>traducteur assermenté</w:t>
      </w:r>
      <w:r>
        <w:rPr>
          <w:rFonts w:ascii="Times New Roman" w:hAnsi="Times New Roman"/>
          <w:sz w:val="20"/>
        </w:rPr>
        <w:t xml:space="preserve">) as a condition to their admissibility into evidence or for purposes of enforcement. The decision granting exequatur is subject to appeal, with the appeal court decision also being rendered on the basis of the above-mentioned criteria. </w:t>
      </w:r>
    </w:p>
    <w:p>
      <w:pPr>
        <w:pStyle w:val="TextBody"/>
        <w:bidi w:val="0"/>
        <w:spacing w:before="240" w:after="0"/>
        <w:jc w:val="left"/>
        <w:rPr>
          <w:rFonts w:ascii="Times New Roman" w:hAnsi="Times New Roman"/>
          <w:sz w:val="20"/>
        </w:rPr>
      </w:pPr>
      <w:r>
        <w:rPr>
          <w:rFonts w:ascii="Times New Roman" w:hAnsi="Times New Roman"/>
          <w:sz w:val="20"/>
        </w:rPr>
        <w:t xml:space="preserve">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judgment awarding punitive and exemplary damages well above actual damages would be granted enforcement in France.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the enforcement, by U.S. investors, of any judgments obtained in U.S. courts in civil and commercial matters, including judgments under the U.S. federal securities law against us or members of our Board, officers or certain experts named herein who are residents of France or countries other than the United States would be subject to the above conditions. </w:t>
      </w:r>
    </w:p>
    <w:p>
      <w:pPr>
        <w:pStyle w:val="TextBody"/>
        <w:bidi w:val="0"/>
        <w:spacing w:before="240" w:after="0"/>
        <w:jc w:val="left"/>
        <w:rPr>
          <w:rFonts w:ascii="Times New Roman" w:hAnsi="Times New Roman"/>
          <w:sz w:val="20"/>
        </w:rPr>
      </w:pPr>
      <w:r>
        <w:rPr>
          <w:rFonts w:ascii="Times New Roman" w:hAnsi="Times New Roman"/>
          <w:sz w:val="20"/>
        </w:rPr>
        <w:t xml:space="preserve">Finally, if an original action is brought in France, French courts may refuse to apply foreign law designated by the applicable French rules of conflict (including the law chosen by the parties to govern their contract) if the application of such law is deemed to contravene French international public policy or in case of overriding mandatory rules (as determined on a case by case basis by French courts) or, where all other elements relevant to the situation at the time of the choice are located in a country other than the country whose law has been chosen, the choice of the parties shall not prejudice the application of provisions of the law of that other country which cannot be derogated from by agreement. Furthermore, in an action brought in France on the basis of U.S. federal or state securities laws, French courts may not have the requisite power to grant all the remedies sought.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there may be doubt as to whether a French court would impose civil liability on us, the members of our Board, our officers or certain experts named herein in an original action predicated solely upon the U.S. federal securities laws brought in a court of competent jurisdiction in France against us or such members, officers or experts,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oc111359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New York, New York, is representing us in regards to certain matters governed by U.S. law in connection with this offering. The validity of our ordinary shares, including ordinary shares represented by the ADSs, and certain other matters governed by French law is being passed on for us by Orrick, Herrington &amp; Sutcliffe (Europe) LLP, Paris, France. Latham &amp; Watkins LLP, New York, New York, is representing the underwriters in connection with the offering with respect to U.S. federal law, and Gide Loyrette Nouel A.A.R.P.I. is representing the underwriters in connection with the offering with respect to French law. </w:t>
      </w:r>
    </w:p>
    <w:p>
      <w:pPr>
        <w:pStyle w:val="TextBody"/>
        <w:bidi w:val="0"/>
        <w:spacing w:before="480" w:after="0"/>
        <w:jc w:val="center"/>
        <w:rPr>
          <w:rFonts w:ascii="Times New Roman" w:hAnsi="Times New Roman"/>
          <w:b/>
          <w:sz w:val="20"/>
        </w:rPr>
      </w:pPr>
      <w:bookmarkStart w:id="15" w:name="supptoc111359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incorporated in this prospectus supplement by reference to the Annual Report on Form 20-F for the year ended December 31, 2025 have been so incorporated in reliance on the report of PricewaterhouseCoopers Audit, an independent registered public accounting firm, given 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offices of PricewaterhouseCoopers Audit are located at 63, rue de Villiers, 92208 Neuilly-sur-Seine, France.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oc111359_14"/>
      <w:bookmarkEnd w:id="16"/>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F-3 under the Securities Act with respect to the securities described in this prospectus supplement. A related registration statement on Form F-6 has been filed with the SEC to register the ADSs. This prospectus supplement and the accompanying prospectus, which forms a part of the registration statement, do not contain all of the information included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website (http://www.sec.gov) that contains reports and other information regarding registrants, such as Abivax, that file electronically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reporting requirements of the Exchange Act applicable to foreign private issuers and under those requirements file reports with the SEC. Accordingly, we are required to file or furnish reports and other information with the SEC, including Annual Reports on Form 20-F and Reports on Form 6-K. As a foreign private issuer, we are exempt from the rules under the Exchange Act related to the furnishing and content of proxy statements, and our executive officers, board members and principal shareholders are exempt from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corporate website at www.abivax.com. Information contained on, or that can be accessed through, our website does not constitute a part of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oc111359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Additional Information.” The documents we are incorporating by reference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20-F for the fiscal year ended December 31, 2025, filed with the SEC on </w:t>
            </w:r>
            <w:hyperlink r:id="rId3">
              <w:r>
                <w:rPr>
                  <w:rStyle w:val="InternetLink"/>
                  <w:rFonts w:ascii="Times New Roman" w:hAnsi="Times New Roman"/>
                  <w:sz w:val="20"/>
                </w:rPr>
                <w:t>March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Reports on Form 6-K filed with the SEC on </w:t>
            </w:r>
            <w:hyperlink r:id="rId4">
              <w:r>
                <w:rPr>
                  <w:rStyle w:val="InternetLink"/>
                  <w:rFonts w:ascii="Times New Roman" w:hAnsi="Times New Roman"/>
                  <w:sz w:val="20"/>
                </w:rPr>
                <w:t>February 23, 2026</w:t>
              </w:r>
            </w:hyperlink>
            <w:r>
              <w:rPr>
                <w:rFonts w:ascii="Times New Roman" w:hAnsi="Times New Roman"/>
                <w:sz w:val="20"/>
              </w:rPr>
              <w:t xml:space="preserve">, </w:t>
            </w:r>
            <w:hyperlink r:id="rId5">
              <w:r>
                <w:rPr>
                  <w:rStyle w:val="InternetLink"/>
                  <w:rFonts w:ascii="Times New Roman" w:hAnsi="Times New Roman"/>
                  <w:sz w:val="20"/>
                </w:rPr>
                <w:t>April 20, 2026</w:t>
              </w:r>
            </w:hyperlink>
            <w:r>
              <w:rPr>
                <w:rFonts w:ascii="Times New Roman" w:hAnsi="Times New Roman"/>
                <w:sz w:val="20"/>
              </w:rPr>
              <w:t xml:space="preserve">, </w:t>
            </w:r>
            <w:hyperlink r:id="rId6">
              <w:r>
                <w:rPr>
                  <w:rStyle w:val="InternetLink"/>
                  <w:rFonts w:ascii="Times New Roman" w:hAnsi="Times New Roman"/>
                  <w:sz w:val="20"/>
                </w:rPr>
                <w:t>May  7, 2026</w:t>
              </w:r>
            </w:hyperlink>
            <w:r>
              <w:rPr>
                <w:rFonts w:ascii="Times New Roman" w:hAnsi="Times New Roman"/>
                <w:sz w:val="20"/>
              </w:rPr>
              <w:t xml:space="preserve">, </w:t>
            </w:r>
            <w:hyperlink r:id="rId7">
              <w:r>
                <w:rPr>
                  <w:rStyle w:val="InternetLink"/>
                  <w:rFonts w:ascii="Times New Roman" w:hAnsi="Times New Roman"/>
                  <w:sz w:val="20"/>
                </w:rPr>
                <w:t>May  20, 2026</w:t>
              </w:r>
            </w:hyperlink>
            <w:r>
              <w:rPr>
                <w:rFonts w:ascii="Times New Roman" w:hAnsi="Times New Roman"/>
                <w:sz w:val="20"/>
              </w:rPr>
              <w:t xml:space="preserve">, </w:t>
            </w:r>
            <w:hyperlink r:id="rId8">
              <w:r>
                <w:rPr>
                  <w:rStyle w:val="InternetLink"/>
                  <w:rFonts w:ascii="Times New Roman" w:hAnsi="Times New Roman"/>
                  <w:sz w:val="20"/>
                </w:rPr>
                <w:t>May  22, 2026</w:t>
              </w:r>
            </w:hyperlink>
            <w:r>
              <w:rPr>
                <w:rFonts w:ascii="Times New Roman" w:hAnsi="Times New Roman"/>
                <w:sz w:val="20"/>
              </w:rPr>
              <w:t xml:space="preserve">, </w:t>
            </w:r>
            <w:hyperlink r:id="rId9">
              <w:r>
                <w:rPr>
                  <w:rStyle w:val="InternetLink"/>
                  <w:rFonts w:ascii="Times New Roman" w:hAnsi="Times New Roman"/>
                  <w:sz w:val="20"/>
                </w:rPr>
                <w:t>June 2, 2026</w:t>
              </w:r>
            </w:hyperlink>
            <w:r>
              <w:rPr>
                <w:rFonts w:ascii="Times New Roman" w:hAnsi="Times New Roman"/>
                <w:sz w:val="20"/>
              </w:rPr>
              <w:t xml:space="preserve"> and </w:t>
            </w:r>
            <w:hyperlink r:id="rId10">
              <w:r>
                <w:rPr>
                  <w:rStyle w:val="InternetLink"/>
                  <w:rFonts w:ascii="Times New Roman" w:hAnsi="Times New Roman"/>
                  <w:sz w:val="20"/>
                </w:rPr>
                <w:t>June 29, 2026</w:t>
              </w:r>
            </w:hyperlink>
            <w:r>
              <w:rPr>
                <w:rFonts w:ascii="Times New Roman" w:hAnsi="Times New Roman"/>
                <w:sz w:val="20"/>
              </w:rPr>
              <w:t xml:space="preserve">, solely to the extent the information in such reports has been incorporated by reference into the registration statement of which this prospectus supplement forms a part;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ADSs representing our ordinary shares contained in our Registration Statement on Form 8-A filed with the SEC on </w:t>
            </w:r>
            <w:hyperlink r:id="rId11">
              <w:r>
                <w:rPr>
                  <w:rStyle w:val="InternetLink"/>
                  <w:rFonts w:ascii="Times New Roman" w:hAnsi="Times New Roman"/>
                  <w:sz w:val="20"/>
                </w:rPr>
                <w:t>October 18, 2023</w:t>
              </w:r>
            </w:hyperlink>
            <w:r>
              <w:rPr>
                <w:rFonts w:ascii="Times New Roman" w:hAnsi="Times New Roman"/>
                <w:sz w:val="20"/>
              </w:rPr>
              <w:t xml:space="preserve">, including any amendments or reports filed for the purpose of updating such description, including Exhibit 2.3 to our Annual Report on Form 20-F for the fiscal year ended December  31, 2025, filed with the SEC on </w:t>
            </w:r>
            <w:hyperlink r:id="rId12">
              <w:r>
                <w:rPr>
                  <w:rStyle w:val="InternetLink"/>
                  <w:rFonts w:ascii="Times New Roman" w:hAnsi="Times New Roman"/>
                  <w:sz w:val="20"/>
                </w:rPr>
                <w:t>March 23,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the offering of securities under this prospectus. In all cases, you should rely on the later information over different information included in this prospectus or any accompanying prospectus supplement. The SEC file number for the documents incorporated by reference into this prospectus supplement is 001-41842.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incorporated by reference, nothing in this prospectus supplement shall be deemed to incorporate by reference information furnished to, but not filed with, the SEC. Copies of all documents incorporated by reference in this prospectus supplement and the accompanying prospectus, other than exhibits to those documents unless such exhibits are specifically incorporated by reference in this prospectus supplement, will be provided at no cost to each person, including any beneficial owner, who receives a copy of this prospectus supplement and the accompanying prospectus on the written or oral request of that person made to: </w:t>
      </w:r>
    </w:p>
    <w:p>
      <w:pPr>
        <w:pStyle w:val="TextBody"/>
        <w:bidi w:val="0"/>
        <w:spacing w:before="480" w:after="0"/>
        <w:jc w:val="center"/>
        <w:rPr>
          <w:rFonts w:ascii="Times New Roman" w:hAnsi="Times New Roman"/>
          <w:b/>
          <w:sz w:val="20"/>
        </w:rPr>
      </w:pPr>
      <w:r>
        <w:rPr>
          <w:rFonts w:ascii="Times New Roman" w:hAnsi="Times New Roman"/>
          <w:b/>
          <w:sz w:val="20"/>
        </w:rPr>
        <w:t xml:space="preserve">Abivax SA </w:t>
      </w:r>
    </w:p>
    <w:p>
      <w:pPr>
        <w:pStyle w:val="TextBody"/>
        <w:bidi w:val="0"/>
        <w:spacing w:before="0" w:after="0"/>
        <w:jc w:val="center"/>
        <w:rPr>
          <w:rFonts w:ascii="Times New Roman" w:hAnsi="Times New Roman"/>
          <w:sz w:val="20"/>
        </w:rPr>
      </w:pPr>
      <w:r>
        <w:rPr>
          <w:rFonts w:ascii="Times New Roman" w:hAnsi="Times New Roman"/>
          <w:sz w:val="20"/>
        </w:rPr>
        <w:t xml:space="preserve">7-11 Boulevard Haussmann </w:t>
      </w:r>
    </w:p>
    <w:p>
      <w:pPr>
        <w:pStyle w:val="TextBody"/>
        <w:bidi w:val="0"/>
        <w:spacing w:before="0" w:after="0"/>
        <w:jc w:val="center"/>
        <w:rPr>
          <w:rFonts w:ascii="Times New Roman" w:hAnsi="Times New Roman"/>
          <w:sz w:val="20"/>
        </w:rPr>
      </w:pPr>
      <w:r>
        <w:rPr>
          <w:rFonts w:ascii="Times New Roman" w:hAnsi="Times New Roman"/>
          <w:sz w:val="20"/>
        </w:rPr>
        <w:t xml:space="preserve">75009 Paris </w:t>
      </w:r>
    </w:p>
    <w:p>
      <w:pPr>
        <w:pStyle w:val="TextBody"/>
        <w:bidi w:val="0"/>
        <w:spacing w:before="0" w:after="0"/>
        <w:jc w:val="center"/>
        <w:rPr>
          <w:rFonts w:ascii="Times New Roman" w:hAnsi="Times New Roman"/>
          <w:sz w:val="20"/>
        </w:rPr>
      </w:pPr>
      <w:r>
        <w:rPr>
          <w:rFonts w:ascii="Times New Roman" w:hAnsi="Times New Roman"/>
          <w:sz w:val="20"/>
        </w:rPr>
        <w:t xml:space="preserve">France </w:t>
      </w:r>
    </w:p>
    <w:p>
      <w:pPr>
        <w:pStyle w:val="TextBody"/>
        <w:bidi w:val="0"/>
        <w:spacing w:before="0" w:after="0"/>
        <w:jc w:val="center"/>
        <w:rPr>
          <w:rFonts w:ascii="Times New Roman" w:hAnsi="Times New Roman"/>
          <w:sz w:val="20"/>
        </w:rPr>
      </w:pPr>
      <w:r>
        <w:rPr>
          <w:rFonts w:ascii="Times New Roman" w:hAnsi="Times New Roman"/>
          <w:sz w:val="20"/>
        </w:rPr>
        <w:t xml:space="preserve">Tel: +33 1 53 83 09 63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w:t>
      </w:r>
      <w:r>
        <w:rPr>
          <w:rFonts w:ascii="Times New Roman" w:hAnsi="Times New Roman"/>
          <w:i/>
          <w:sz w:val="20"/>
        </w:rPr>
        <w:t>www.abivax.com</w:t>
      </w:r>
      <w:r>
        <w:rPr>
          <w:rFonts w:ascii="Times New Roman" w:hAnsi="Times New Roman"/>
          <w:sz w:val="20"/>
        </w:rPr>
        <w:t xml:space="preserve">. The information contained on, or that can be accessed through, our website is not a part of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22145" cy="29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92214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Ordinary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American Depositary Shares representing Ordinary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to Purchase Ordinary Shares or American Depositary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and/or any selling security holder may offer and sell from time to time the securities described in this prospectus, either individually or in any combination, in one or more offerings at prices and on terms that will be determined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terms of these securities and the general manner in which these securities will be offered. We will provide you with the specific terms of any offering in one or more supplements to this prospectus. We and/or our selling security holders may offer these securities in amounts, at prices and on terms determined at the time of offering. We and/or our selling security holders may sell the securities through public or private transactions directly to you, through agents, or through underwriters and dealers on or off the Nasdaq Global Market.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directly by us or any selling security holders to you,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Other than any securities sold in connection with a rights offering, we will only sell securities pursuant to this prospectus for which preferential subscription rights shall have been waived by our shareholders in accordance with French law.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expect to receive from such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ADSs are listed on the Nasdaq Global Market under the symbol “ABVX.” On June 29, 2026, the last reported sale price of the ADSs on the Nasdaq Global Market was $96.15 per ADS. Our ordinary shares are listed on Euronext Paris under the symbol “ABVX.” On June 29, 2026, the closing price of our ordinary shares on Euronext Paris was 83.30 per ordinary share. Each ADS represents the right to receive one ordinary share, and the ADSs may be evidenced by American Depositary Receipts (“ADRs”). The applicable prospectus supplement will contain information, where applicable, as to any other listing, if any, on the Nasdaq Global Market or any securities market or other securities exchange of the securities covered by the prospectus supplement. There is currently no market through which warrants may be sold, and purchasers may not be able to resell warrants purchased under this prospectus. This may affect the pricing of any warrants in the secondary market, the transparency and availability of trading prices, the liquidity of the warrants and the extent of issuer regulation. Prospective purchasers of our securities are urged to obtain current information as to the market prices of our securities, where applicable.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Before deciding whether to invest in our securities, you should consider carefully the risks that we have described under the caption “</w:t>
      </w:r>
      <w:hyperlink w:anchor="rom86113_3">
        <w:r>
          <w:rPr>
            <w:rStyle w:val="InternetLink"/>
            <w:rFonts w:ascii="Times New Roman" w:hAnsi="Times New Roman"/>
            <w:b/>
            <w:sz w:val="24"/>
          </w:rPr>
          <w:t>Risk Factors</w:t>
        </w:r>
      </w:hyperlink>
      <w:r>
        <w:rPr>
          <w:rFonts w:ascii="Times New Roman" w:hAnsi="Times New Roman"/>
          <w:b/>
          <w:sz w:val="24"/>
        </w:rPr>
        <w:t xml:space="preserve">” on page 6 of this prospectus and in our most recent Annual Report on Form 20-F and any other reports or documents incorporated by reference into this prospectus. We may also include specific risk factors in supplements to this prospectus under the caption “Risk Factors.” This prospectus may not be used to sell our securities unless accompanied by a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Owning our securities may subject you to tax consequences both in France and in the United States. This prospectus and any applicable prospectus supplement may not describe these tax consequences fully. You should read the tax discussion in any applicable prospectus supplement. In addition, your ability to enforce civil liabilities under U.S. federal securities laws may be affected adversely by the fact that we are incorporated under the laws of France, many of the members of our board of directors and experts named in this prospectus are residents of France or elsewhere outside of the United States, and a substantial portion of our assets and the assets of such persons are located outside the United States. See “Enforcement of Civil Liabilities.”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June 30,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6"/>
        <w:gridCol w:w="418"/>
        <w:gridCol w:w="130"/>
        <w:gridCol w:w="579"/>
        <w:gridCol w:w="62"/>
      </w:tblGrid>
      <w:tr>
        <w:trPr/>
        <w:tc>
          <w:tcPr>
            <w:tcW w:w="901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1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
              <w:r>
                <w:rPr>
                  <w:rStyle w:val="InternetLink"/>
                  <w:rFonts w:ascii="Times New Roman" w:hAnsi="Times New Roman"/>
                  <w:sz w:val="20"/>
                </w:rPr>
                <w:t>ABOUT THIS PROSPECTUS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2">
              <w:r>
                <w:rPr>
                  <w:rStyle w:val="InternetLink"/>
                  <w:rFonts w:ascii="Times New Roman" w:hAnsi="Times New Roman"/>
                  <w:sz w:val="20"/>
                </w:rPr>
                <w:t>PROSPECTUS SUMMARY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3">
              <w:r>
                <w:rPr>
                  <w:rStyle w:val="InternetLink"/>
                  <w:rFonts w:ascii="Times New Roman" w:hAnsi="Times New Roman"/>
                  <w:sz w:val="20"/>
                </w:rPr>
                <w:t>RISK FACTORS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4">
              <w:r>
                <w:rPr>
                  <w:rStyle w:val="InternetLink"/>
                  <w:rFonts w:ascii="Times New Roman" w:hAnsi="Times New Roman"/>
                  <w:sz w:val="20"/>
                </w:rPr>
                <w:t>SPECIAL NOTE REGARDING FORWARD-LOOKING STATEMENTS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5">
              <w:r>
                <w:rPr>
                  <w:rStyle w:val="InternetLink"/>
                  <w:rFonts w:ascii="Times New Roman" w:hAnsi="Times New Roman"/>
                  <w:sz w:val="20"/>
                </w:rPr>
                <w:t>USE OF PROCEEDS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6">
              <w:r>
                <w:rPr>
                  <w:rStyle w:val="InternetLink"/>
                  <w:rFonts w:ascii="Times New Roman" w:hAnsi="Times New Roman"/>
                  <w:sz w:val="20"/>
                </w:rPr>
                <w:t>SELLING SECURITY HOLDERS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7">
              <w:r>
                <w:rPr>
                  <w:rStyle w:val="InternetLink"/>
                  <w:rFonts w:ascii="Times New Roman" w:hAnsi="Times New Roman"/>
                  <w:sz w:val="20"/>
                </w:rPr>
                <w:t>PLAN OF DISTRIBUTION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8">
              <w:r>
                <w:rPr>
                  <w:rStyle w:val="InternetLink"/>
                  <w:rFonts w:ascii="Times New Roman" w:hAnsi="Times New Roman"/>
                  <w:sz w:val="20"/>
                </w:rPr>
                <w:t>DESCRIPTION OF SHARE CAPITAL</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9">
              <w:r>
                <w:rPr>
                  <w:rStyle w:val="InternetLink"/>
                  <w:rFonts w:ascii="Times New Roman" w:hAnsi="Times New Roman"/>
                  <w:sz w:val="20"/>
                </w:rPr>
                <w:t>LIMITATIONS AFFECTING SHAREHOLDERS OF A FRENCH COMPANY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0">
              <w:r>
                <w:rPr>
                  <w:rStyle w:val="InternetLink"/>
                  <w:rFonts w:ascii="Times New Roman" w:hAnsi="Times New Roman"/>
                  <w:sz w:val="20"/>
                </w:rPr>
                <w:t>DESCRIPTION OF AMERICAN DEPOSITARY SHARES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1">
              <w:r>
                <w:rPr>
                  <w:rStyle w:val="InternetLink"/>
                  <w:rFonts w:ascii="Times New Roman" w:hAnsi="Times New Roman"/>
                  <w:sz w:val="20"/>
                </w:rPr>
                <w:t>DESCRIPTION OF WARRANTS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2">
              <w:r>
                <w:rPr>
                  <w:rStyle w:val="InternetLink"/>
                  <w:rFonts w:ascii="Times New Roman" w:hAnsi="Times New Roman"/>
                  <w:sz w:val="20"/>
                </w:rPr>
                <w:t>DESCRIPTION OF DEBT SECURITIES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3">
              <w:r>
                <w:rPr>
                  <w:rStyle w:val="InternetLink"/>
                  <w:rFonts w:ascii="Times New Roman" w:hAnsi="Times New Roman"/>
                  <w:sz w:val="20"/>
                </w:rPr>
                <w:t>TAXATION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4">
              <w:r>
                <w:rPr>
                  <w:rStyle w:val="InternetLink"/>
                  <w:rFonts w:ascii="Times New Roman" w:hAnsi="Times New Roman"/>
                  <w:sz w:val="20"/>
                </w:rPr>
                <w:t>LEGAL MATTERS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5">
              <w:r>
                <w:rPr>
                  <w:rStyle w:val="InternetLink"/>
                  <w:rFonts w:ascii="Times New Roman" w:hAnsi="Times New Roman"/>
                  <w:sz w:val="20"/>
                </w:rPr>
                <w:t>EXPERTS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6">
              <w:r>
                <w:rPr>
                  <w:rStyle w:val="InternetLink"/>
                  <w:rFonts w:ascii="Times New Roman" w:hAnsi="Times New Roman"/>
                  <w:sz w:val="20"/>
                </w:rPr>
                <w:t>ENFORCEMENT OF CIVIL LIABILITIES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7">
              <w:r>
                <w:rPr>
                  <w:rStyle w:val="InternetLink"/>
                  <w:rFonts w:ascii="Times New Roman" w:hAnsi="Times New Roman"/>
                  <w:sz w:val="20"/>
                </w:rPr>
                <w:t>WHERE YOU CAN FIND MORE INFORMATION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8">
              <w:r>
                <w:rPr>
                  <w:rStyle w:val="InternetLink"/>
                  <w:rFonts w:ascii="Times New Roman" w:hAnsi="Times New Roman"/>
                  <w:sz w:val="20"/>
                </w:rPr>
                <w:t>INCORPORATION OF DOCUMENTS BY REFERENCE</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9">
              <w:r>
                <w:rPr>
                  <w:rStyle w:val="InternetLink"/>
                  <w:rFonts w:ascii="Times New Roman" w:hAnsi="Times New Roman"/>
                  <w:sz w:val="20"/>
                </w:rPr>
                <w:t>EXPENSES ASSOCIATED WITH REGISTRATION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86113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F-3 that we filed with the SEC using a “shelf” registration process available to us as a “well-known seasoned issuer,” as defined in Rule 405 under the Securities Act of 1933, as amended (the “Securities Act”). Under this shelf registration process, we may offer ordinary shares, including ordinary shares represented by ADSs, warrants to purchase ordinary shares or ADSs, and debt securities, either individually or in combination, in one or more offerings. No limit exists on the aggregate number or amount of securities we may sell pursuant to the registration statement of which this prospectus is a part.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Under this shelf registration process, we and/or our selling security holders may offer the securities described in this prospectus from time to time at prices and on terms to be determined by market conditions at the time of offering. Registration of the securities covered by this prospectus does not mean that these securities will necessarily be offered or sold. This prospectus provides you with a general description of the securities we and/or our selling security holders may offer. Each time we and/or our selling security holders offer a type or series of securities, we will provide a prospectus supplement that will describe the specific amounts, prices and other important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and/or our selling security 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Documents by Reference,” before investing in any of the securities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person to give any information or to make any representation other than those contained in or incorporated by reference into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it relates,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 summaries of certain provisions contained in some of the documents described herein, but you should refer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in this prospectus, “Abivax,” “the Company,” “our Company,” “we,” “us” and “our” refer to Abivax SA and its consolidated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references to “euro” or “” are to the legal currency of the countries of the European Union, including the Republic of France, and references to “dollars,” “U.S. dollars” or “$” are to the legal currency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0" w:name="rom86113_2"/>
      <w:bookmarkEnd w:id="20"/>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or free writing prospectus. Investing in our securities involves risks. Therefore, carefully consider the risk factors set forth in any prospectus supplements and in our most recent filings with the SEC including our Annual Reports on Form 20-F and reports on Form 6-K,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developing therapeutics that harness the body’s natural regulatory mechanisms to stabilize the immune response in patients with chronic inflammatory diseases. We focus on indications where existing treatments have left patients with significant unmet needs, and where we believe our investigational agents have the potential to be meaningfully differentiated from currently available therapies. Our initial focus is on inflammatory bowel diseases (“IBD”), chronic conditions involving inflammation of the gastrointestinal tract, of which the two most common forms are ulcerative colitis (“UC”) and Crohn’s disease (“CD”).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drug candidate, obefazimod, is currently being developed for the treatment of moderately to severely active UC and CD. We are also evaluating potential combination therapy opportunities in IBD to pursue. In parallel, we are in the process of strengthening our development portfolio by generating follow-on compounds based on our miR-124 platform and assessing external early drug candidates in IBD.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as a </w:t>
      </w:r>
      <w:r>
        <w:rPr>
          <w:rFonts w:ascii="Times New Roman" w:hAnsi="Times New Roman"/>
          <w:i/>
          <w:sz w:val="20"/>
          <w:bdr w:val="single" w:sz="8" w:space="1" w:color="000000"/>
        </w:rPr>
        <w:t>société anonyme</w:t>
      </w:r>
      <w:r>
        <w:rPr>
          <w:rFonts w:ascii="Times New Roman" w:hAnsi="Times New Roman"/>
          <w:sz w:val="20"/>
          <w:bdr w:val="single" w:sz="8" w:space="1" w:color="000000"/>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 +33 (0) 1 53 83 09 63. We have one wholly owned subsidiary, Abivax LLC, a Delaware limited liability company, formed on March 20,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ADSs began trading on the Nasdaq Global Market in October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SEC maintains a website that contains reports, proxy information statements and other information regarding issuers that file electronically with the SEC. The address of that site is www.sec.gov. Our website address is www.abivax.com. The reference to our website is an inactive textual reference only and information contained in, or that can be accessed through, our website or any other website cited in this prospectus is not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U.S. Jumpstart Our Business Startups Act of 2012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auditor attestation requirements of Section 404 of the Sarbanes-Oxley Act of 2002;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December 31, 2028 or until such earlier time that we no longer qualify as an emerging growth company. We would cease to be an emerging growth company upon the 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choose to take advantage of some but not all of these exemptions. For example,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considered a “foreign private issuer” under U.S. securities laws. In our capacity as a foreign private issuer, we are exempt from certain rules under the U.S. Securities Exchange Act of 1934, as amended (the “Exchange Act”), that impose certain disclosure obligations and procedural requirements for proxy solicitations under Section 14 of the Exchange Act. In addition, members of our board of directors and our principal shareholders are exempt from the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and/or Our Selling Security Holders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this prospectus, we and/or our selling security holders may offer ordinary shares, including ADSs representing our ordinary shares, warrants to purchase ordinary shares or ADSs, and debt securities, either individually or in any combination, from time to time at prices and on terms to be determined by market conditions at the time of the offering. This prospectus provides you with a general description of the securities we and/or our selling security holders may offer. Each time we and/or our selling security holders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in the securities or other property receivable upon conversion or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exercise prices,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and/or our selling security holders may sell the securities directly to investors or to or through agents, underwriters or dealers. We, and our agents or underwriters, reserve the right to accept or reject all or part of any proposed purchase of securities. If we and/or our selling security holders offer securities through agents or underwriters,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or our selling security holders.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any securities unless it is accompanied by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86113_3"/>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20-F as updated by our subsequent filings including our Reports on Form 6-K that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86113_4"/>
      <w:bookmarkEnd w:id="22"/>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contain forward-looking statements within the meaning of Section 27A of the Securities Act of 1933, as amended, and Section 21E of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and the documents incorporated by reference, the words “anticipate,” “believe,” “can,” “could,” “estimate,” “expect,” “intend,” “is designed to,” “may,” “might,” “objective,” “plan,” “potential,” “predict,” “should,” “will,” “would” or the negative of these and similar expressions identify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attaining, maintaining and expanding marketing authorization for our lead drug candidate, obefazimod;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attributes and clinical advantages of obefazimod and our future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preclinical and clinical trials (and those conducted by third parties) and other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availability of data from our clinical trials, including our Phase 3 maintenance trial of obefazimod in moderately to severely active ulcerative colitis and Phase 2b trial of obefazimod in CD;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advance drug candidates through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meetings and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obtain and maintain regulatory approvals for obefazimod and any of our future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new drug candidates from our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sales and marketing capabilities and transition into a commercial-stage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increased competition as well as innovations by new and existing competitors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strategic relationships or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protect and enforce our intellectual property rights and propriety technologies and to operate our business without infringing the intellectual property rights and proprietary technology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revenues, capital requirements and the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conditions in our industry, the global economy or global supply chain, including financial and credit market fluctuations, international trade relations, political turmoil, natural catastrophes, warfare, and terrorist attacks;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indicated in this prospectus and the documents incorporated by reference herein, including those under the heading “Risk Factors,” and the other documents filed or to be filed with the SEC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“Risk Factors” section contained in the applicable prospectus supplement and any related free writing prospectus, and under similar headings in the other documents that are incorporated by reference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for a discussion of important factors that may cause our actual results to differ materially from those expressed or implied by our forward-looking statements. In addition, statements that “we believe” and similar statements reflect our beliefs and opinions on the relevant subject.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undertake no obligation to publicly update any forward-looking statements, whether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that we reference in this prospectus and have filed as exhibits to this prospectus completely and with the understanding that our actual future results may be materially different from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is generally reliable, such information is inherently imprecise.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86113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we offer pursuant to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a variety of capital preservation investments, including short-term, investment-grade, interest-bearing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by selling security holders of the securities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86113_6"/>
      <w:bookmarkEnd w:id="24"/>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 holders are persons or entities that, directly or indirectly, have acquired or will from time to time acquire from us, our securities. Such selling security holders may be parties to registration rights agreements with us, or we otherwise may have agreed or will agree to register their securities for resale. The initial purchasers of our securities, as well as their transferees, pledges, donees or successors, all of whom we refer to as “selling security holders,” may from time to time offer and sell our securities pursuant to this prospectus and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name of each of the selling security holders and the number of securities beneficially owned by such selling security holders that are covered by such prospectus supplement. The applicable prospectus supplement will also disclose whether any of the selling security holders has held any position or office with, has been employed by or otherwise has had a material relationship with us during the three years prior to the date of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86113_7"/>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our selling security holders may offer securities under this prospectus from time to time pursuant to underwritten public offerings, negotiated transactions, block trades or a combination of these methods. We and/or our selling security holders may sell the securities (1) through underwriters or dealers, (2) through agents and/or (3) directly to one or more purchasers. We and/or our selling security holders may distribute the securities from time to time in one or more transactions, in accordance with applicable law and regulations and existing shareholders delegations of authority,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securities may be carried out,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transactions and transactions on the Nasdaq Global Market or any other organized market where such securities may be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own account pursuant to a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through an “at the market offering” as defined in Rule 415(a)(4) under the Securities Act, into an existing trading market, on an exchange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in other ways not involving market makers or established trading markets, including direct sales to purchasers.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time that we and/or our selling security holders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We and/or our selling security holders may directly solicit offers to purchase the securities being offered by this prospectus. We and/or our selling security holders may also designate agents to solicit offers to purchase the securities from time to time. We will name in a prospectus supplement any underwriter or agent involved in the offer or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and/or our selling security holders utilize a dealer in the sale of the securities being offered by this prospectus, we and/or our selling security holders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and/or our selling security holders utilize an underwriter in the sale of the securities being offered by this prospectus, we and/or our selling security holders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the securities for whom the underwriter may act as agent, may compensate the underwriter in the form of underwriting commissions. The underwriter may sell the securities to or through dealers, and the underwriter may compensate those dealers in the form of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provide in the applicable prospectus supplement information regarding any compensation we pay to underwriters, dealers or agents in connection with the offering of the securities, and any concessions or commissions allowed by underwriters to participating dealers. Underwriters, dealers and agents participating in the distribution of the securities may be deemed to be underwriters within the meaning of the Securities Act of 1933, as amended, and any commissions received by them and any profit realized by them on resale of the securities may be deemed to be underwriting commissions. We may enter into agreements to indemnify underwriters, dealers and agents against civil liabilities, including liabilities under the Securities Act, or to contribute to payments they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ADSs are traded, in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ADSs or other securities. The terms of each such distribution agreement will be described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other transactions with us, or perform other services for us, in the ordinary course of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86113_8"/>
      <w:bookmarkEnd w:id="26"/>
      <w:r>
        <w:rPr>
          <w:rFonts w:ascii="Times New Roman" w:hAnsi="Times New Roman"/>
          <w:b/>
          <w:sz w:val="20"/>
        </w:rPr>
        <w:t xml:space="preserve">DESCRIPTION OF SHARE CAPITAL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as a </w:t>
      </w:r>
      <w:r>
        <w:rPr>
          <w:rFonts w:ascii="Times New Roman" w:hAnsi="Times New Roman"/>
          <w:i/>
          <w:sz w:val="20"/>
        </w:rPr>
        <w:t>société anonyme</w:t>
      </w:r>
      <w:r>
        <w:rPr>
          <w:rFonts w:ascii="Times New Roman" w:hAnsi="Times New Roman"/>
          <w:sz w:val="20"/>
        </w:rPr>
        <w:t xml:space="preserve"> (limited liability company) on December 4, 2013 and registered at the Paris Trade and Company Register on December 27, 2013 for a period of 99 years until December 22, 2112, subject to extension or early dissolution, under the number 799 363 718. Our corporate purpose in France and abroad includes the research, development and marketing of therapeutic and prophylactic vaccines and small therapeutic molecules that primarily have applications in the anti-infective field, as set forth in Article 4 of our by-laws. We may participate, by any means, directly or indirectly in any operations that may be related to our purpose through the creation of new companies, contribution, subscription or purchase of company securities or rights, merger or otherwise, creation, acquisition, leasing, management lease of any businesses or establishments. Our principal executive offices are located at 7-11 boulevard Haussmann, 75009 Paris, France, and our telephone number is +33 (0) 1 53 83 09 63. </w:t>
      </w:r>
    </w:p>
    <w:p>
      <w:pPr>
        <w:pStyle w:val="TextBody"/>
        <w:bidi w:val="0"/>
        <w:spacing w:before="240" w:after="0"/>
        <w:jc w:val="left"/>
        <w:rPr>
          <w:rFonts w:ascii="Times New Roman" w:hAnsi="Times New Roman"/>
          <w:sz w:val="20"/>
        </w:rPr>
      </w:pPr>
      <w:r>
        <w:rPr>
          <w:rFonts w:ascii="Times New Roman" w:hAnsi="Times New Roman"/>
          <w:sz w:val="20"/>
        </w:rPr>
        <w:t>The following description of our by-laws and share capital does not purport to be complete and is qualified in its entirety by reference to our by-laws as of the date of this prospectus. Copies of our by-laws may be obtained from the Trade and Company Registry (</w:t>
      </w:r>
      <w:r>
        <w:rPr>
          <w:rFonts w:ascii="Times New Roman" w:hAnsi="Times New Roman"/>
          <w:i/>
          <w:sz w:val="20"/>
        </w:rPr>
        <w:t>Greffe du Registre du Commerce et des Sociétés</w:t>
      </w:r>
      <w:r>
        <w:rPr>
          <w:rFonts w:ascii="Times New Roman" w:hAnsi="Times New Roman"/>
          <w:sz w:val="20"/>
        </w:rPr>
        <w:t xml:space="preserve">) of Paris, France or our corporate headquarters and are filed as an exhibit to this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 Capital History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our share capital amounted to 792,911.88 and is divided into 79,291,188 ordinary shares of 0.01 par value each after taking into account: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64"/>
        <w:gridCol w:w="256"/>
        <w:gridCol w:w="60"/>
        <w:gridCol w:w="1106"/>
        <w:gridCol w:w="60"/>
        <w:gridCol w:w="256"/>
        <w:gridCol w:w="74"/>
        <w:gridCol w:w="551"/>
        <w:gridCol w:w="60"/>
        <w:gridCol w:w="256"/>
        <w:gridCol w:w="60"/>
        <w:gridCol w:w="1105"/>
        <w:gridCol w:w="64"/>
      </w:tblGrid>
      <w:tr>
        <w:trPr/>
        <w:tc>
          <w:tcPr>
            <w:tcW w:w="4664"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6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w:t>
              <w:br/>
              <w:t>Value</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Paid</w:t>
              <w:br/>
              <w:t>Up Capital</w:t>
            </w:r>
          </w:p>
        </w:tc>
        <w:tc>
          <w:tcPr>
            <w:tcW w:w="64" w:type="dxa"/>
            <w:tcBorders/>
            <w:vAlign w:val="bottom"/>
          </w:tcPr>
          <w:p>
            <w:pPr>
              <w:pStyle w:val="TableContents"/>
              <w:bidi w:val="0"/>
              <w:spacing w:before="0" w:after="283"/>
              <w:jc w:val="left"/>
              <w:rPr/>
            </w:pPr>
            <w:r>
              <w:rPr/>
              <w:t> </w:t>
            </w:r>
          </w:p>
        </w:tc>
      </w:tr>
      <w:tr>
        <w:trPr/>
        <w:tc>
          <w:tcPr>
            <w:tcW w:w="466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25"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65" w:type="dxa"/>
            <w:gridSpan w:val="2"/>
            <w:tcBorders/>
            <w:vAlign w:val="bottom"/>
          </w:tcPr>
          <w:p>
            <w:pPr>
              <w:pStyle w:val="TableContents"/>
              <w:bidi w:val="0"/>
              <w:spacing w:before="0" w:after="283"/>
              <w:jc w:val="center"/>
              <w:rPr>
                <w:b/>
              </w:rPr>
            </w:pPr>
            <w:r>
              <w:rPr>
                <w:b/>
              </w:rPr>
              <w:t>()</w:t>
            </w:r>
          </w:p>
        </w:tc>
        <w:tc>
          <w:tcPr>
            <w:tcW w:w="64" w:type="dxa"/>
            <w:tcBorders/>
            <w:vAlign w:val="bottom"/>
          </w:tcPr>
          <w:p>
            <w:pPr>
              <w:pStyle w:val="TableContents"/>
              <w:bidi w:val="0"/>
              <w:spacing w:before="0" w:after="283"/>
              <w:jc w:val="left"/>
              <w:rPr/>
            </w:pPr>
            <w:r>
              <w:rPr/>
              <w:t> </w:t>
            </w:r>
          </w:p>
        </w:tc>
      </w:tr>
      <w:tr>
        <w:trPr/>
        <w:tc>
          <w:tcPr>
            <w:tcW w:w="4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79,291,188</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792,911.88</w:t>
            </w:r>
          </w:p>
        </w:tc>
        <w:tc>
          <w:tcPr>
            <w:tcW w:w="64" w:type="dxa"/>
            <w:tcBorders/>
            <w:shd w:fill="CCEEFF" w:val="clear"/>
            <w:vAlign w:val="bottom"/>
          </w:tcPr>
          <w:p>
            <w:pPr>
              <w:pStyle w:val="TableContents"/>
              <w:bidi w:val="0"/>
              <w:spacing w:before="0" w:after="283"/>
              <w:jc w:val="left"/>
              <w:rPr/>
            </w:pPr>
            <w:r>
              <w:rPr/>
              <w:t> </w:t>
            </w:r>
          </w:p>
        </w:tc>
      </w:tr>
      <w:tr>
        <w:trPr/>
        <w:tc>
          <w:tcPr>
            <w:tcW w:w="4664"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5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79,291,188</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792,911.88</w:t>
            </w:r>
          </w:p>
        </w:tc>
        <w:tc>
          <w:tcPr>
            <w:tcW w:w="64" w:type="dxa"/>
            <w:tcBorders/>
            <w:vAlign w:val="bottom"/>
          </w:tcPr>
          <w:p>
            <w:pPr>
              <w:pStyle w:val="TableContents"/>
              <w:bidi w:val="0"/>
              <w:spacing w:before="0" w:after="283"/>
              <w:jc w:val="left"/>
              <w:rPr/>
            </w:pPr>
            <w:r>
              <w:rPr/>
              <w:t> </w:t>
            </w:r>
          </w:p>
        </w:tc>
      </w:tr>
      <w:tr>
        <w:trPr/>
        <w:tc>
          <w:tcPr>
            <w:tcW w:w="4664"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5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shares are fully subscribed and paid. As of the date of this prospectus, we have not issued securities that do not represent our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changes in our share capital over the last three years. </w:t>
      </w:r>
    </w:p>
    <w:p>
      <w:pPr>
        <w:pStyle w:val="TextBody"/>
        <w:bidi w:val="0"/>
        <w:spacing w:before="0" w:after="0"/>
        <w:jc w:val="left"/>
        <w:rPr/>
      </w:pPr>
      <w:r>
        <w:rPr/>
        <w:t> </w:t>
      </w:r>
    </w:p>
    <w:tbl>
      <w:tblPr>
        <w:tblW w:w="13695" w:type="dxa"/>
        <w:jc w:val="center"/>
        <w:tblInd w:w="0" w:type="dxa"/>
        <w:tblLayout w:type="fixed"/>
        <w:tblCellMar>
          <w:top w:w="0" w:type="dxa"/>
          <w:left w:w="0" w:type="dxa"/>
          <w:bottom w:w="0" w:type="dxa"/>
          <w:right w:w="0" w:type="dxa"/>
        </w:tblCellMar>
      </w:tblPr>
      <w:tblGrid>
        <w:gridCol w:w="500"/>
        <w:gridCol w:w="60"/>
        <w:gridCol w:w="4205"/>
        <w:gridCol w:w="60"/>
        <w:gridCol w:w="63"/>
        <w:gridCol w:w="1157"/>
        <w:gridCol w:w="60"/>
        <w:gridCol w:w="60"/>
        <w:gridCol w:w="60"/>
        <w:gridCol w:w="1220"/>
        <w:gridCol w:w="60"/>
        <w:gridCol w:w="60"/>
        <w:gridCol w:w="60"/>
        <w:gridCol w:w="1100"/>
        <w:gridCol w:w="60"/>
        <w:gridCol w:w="60"/>
        <w:gridCol w:w="62"/>
        <w:gridCol w:w="1143"/>
        <w:gridCol w:w="60"/>
        <w:gridCol w:w="60"/>
        <w:gridCol w:w="106"/>
        <w:gridCol w:w="784"/>
        <w:gridCol w:w="60"/>
        <w:gridCol w:w="60"/>
        <w:gridCol w:w="63"/>
        <w:gridCol w:w="1172"/>
        <w:gridCol w:w="60"/>
        <w:gridCol w:w="60"/>
        <w:gridCol w:w="106"/>
        <w:gridCol w:w="994"/>
        <w:gridCol w:w="60"/>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50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Date</w:t>
            </w:r>
          </w:p>
        </w:tc>
        <w:tc>
          <w:tcPr>
            <w:tcW w:w="60" w:type="dxa"/>
            <w:tcBorders/>
            <w:vAlign w:val="bottom"/>
          </w:tcPr>
          <w:p>
            <w:pPr>
              <w:pStyle w:val="TableContents"/>
              <w:bidi w:val="0"/>
              <w:spacing w:before="0" w:after="283"/>
              <w:jc w:val="left"/>
              <w:rPr/>
            </w:pPr>
            <w:r>
              <w:rPr/>
              <w:t> </w:t>
            </w:r>
          </w:p>
        </w:tc>
        <w:tc>
          <w:tcPr>
            <w:tcW w:w="4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Type of operation</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Share</w:t>
              <w:br/>
              <w:t>Capital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Premium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 xml:space="preserve">shares </w:t>
              <w:br/>
              <w:t>created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Total </w:t>
              <w:br/>
              <w:t>number of</w:t>
              <w:br/>
              <w:t xml:space="preserve">shares after </w:t>
              <w:br/>
              <w:t>issuance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Nominal</w:t>
              <w:br/>
              <w:t xml:space="preserve">value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Share </w:t>
              <w:br/>
              <w:t>capital after</w:t>
              <w:br/>
              <w:t xml:space="preserve">transaction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 price</w:t>
              <w:br/>
              <w:t xml:space="preserve">per share </w:t>
              <w:br/>
              <w:t>()</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20/01/2023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BCE-2014-4</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223,131.85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22,331,585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223,315.85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01/03/2023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Capital increase through issue of new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223,315.85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129,800,000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42,331,585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423,315.85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6.50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10/05/2023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BSA-2014-3</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423,315.85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42,347,985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423,479.85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06/06/2023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BSA-2018-KREOS-A</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423,479.85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488,786.40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67,887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42,415,872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424,158.72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06/06/2023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BSA-2018-KREOS-b</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424,158.72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338,830.24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42,447,568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424,475.68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10.70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19/06/2023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BCE-2014-2</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424,475.68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42,547,568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425,475.68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12/09/2023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BSA-2014-3</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425,475.68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42,563,968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425,639.68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14/09/2023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BSA-2014-3</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425,639.68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42,580,368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425,803.68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24/10/2023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Capital increase through issue of new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425,803.68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223,173,990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20,325,500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62,905,868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629,058.68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10.99</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20/11/2023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BSA-2014-5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629,058.68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62,928,818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629,288.18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22/04/2024</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BCE-2017-5</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629,288.18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62,929,818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629,298.18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11.14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23/04/2024</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BCE-2017-5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629,298.18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62,930,818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629,308.18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4250" w:type="dxa"/>
        <w:jc w:val="center"/>
        <w:tblInd w:w="0" w:type="dxa"/>
        <w:tblLayout w:type="fixed"/>
        <w:tblCellMar>
          <w:top w:w="0" w:type="dxa"/>
          <w:left w:w="0" w:type="dxa"/>
          <w:bottom w:w="0" w:type="dxa"/>
          <w:right w:w="0" w:type="dxa"/>
        </w:tblCellMar>
      </w:tblPr>
      <w:tblGrid>
        <w:gridCol w:w="500"/>
        <w:gridCol w:w="60"/>
        <w:gridCol w:w="4205"/>
        <w:gridCol w:w="60"/>
        <w:gridCol w:w="63"/>
        <w:gridCol w:w="1157"/>
        <w:gridCol w:w="60"/>
        <w:gridCol w:w="60"/>
        <w:gridCol w:w="60"/>
        <w:gridCol w:w="1520"/>
        <w:gridCol w:w="60"/>
        <w:gridCol w:w="60"/>
        <w:gridCol w:w="60"/>
        <w:gridCol w:w="1100"/>
        <w:gridCol w:w="60"/>
        <w:gridCol w:w="60"/>
        <w:gridCol w:w="60"/>
        <w:gridCol w:w="1400"/>
        <w:gridCol w:w="60"/>
        <w:gridCol w:w="60"/>
        <w:gridCol w:w="106"/>
        <w:gridCol w:w="784"/>
        <w:gridCol w:w="60"/>
        <w:gridCol w:w="60"/>
        <w:gridCol w:w="63"/>
        <w:gridCol w:w="1172"/>
        <w:gridCol w:w="60"/>
        <w:gridCol w:w="60"/>
        <w:gridCol w:w="106"/>
        <w:gridCol w:w="994"/>
        <w:gridCol w:w="60"/>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50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Date</w:t>
            </w:r>
          </w:p>
        </w:tc>
        <w:tc>
          <w:tcPr>
            <w:tcW w:w="60" w:type="dxa"/>
            <w:tcBorders/>
            <w:vAlign w:val="bottom"/>
          </w:tcPr>
          <w:p>
            <w:pPr>
              <w:pStyle w:val="TableContents"/>
              <w:bidi w:val="0"/>
              <w:spacing w:before="0" w:after="283"/>
              <w:jc w:val="left"/>
              <w:rPr/>
            </w:pPr>
            <w:r>
              <w:rPr/>
              <w:t> </w:t>
            </w:r>
          </w:p>
        </w:tc>
        <w:tc>
          <w:tcPr>
            <w:tcW w:w="4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Type of operation</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Share</w:t>
              <w:br/>
              <w:t>Capital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Premium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 xml:space="preserve">shares </w:t>
              <w:br/>
              <w:t>created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Total </w:t>
              <w:br/>
              <w:t>number of</w:t>
              <w:br/>
              <w:t xml:space="preserve">shares after </w:t>
              <w:br/>
              <w:t>issuance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Nominal</w:t>
              <w:br/>
              <w:t xml:space="preserve">value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Share </w:t>
              <w:br/>
              <w:t>capital after</w:t>
              <w:br/>
              <w:t xml:space="preserve">transaction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 price</w:t>
              <w:br/>
              <w:t xml:space="preserve">per share </w:t>
              <w:br/>
              <w:t>()</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11/06/2024</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BCE-2017-5</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629,308.18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11,130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62,931,818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629,318.18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11.14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13/06/2024</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BCE-2017-5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629,318.18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11,130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62,932,818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629,328.18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11/07/2024</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629,328.18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344,107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63,276,925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632,769.25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05/09/2024</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632,769.25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63,294,653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632,946.53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13/11/2024</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632,946.53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53,184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63,347,837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633,478.37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23/07/2025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BCE-2018-5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634,719.33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7,320.00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63,472,933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634,729.33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7.33</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24/07/2025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634,729.33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25,997.57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63,476,432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634,764.32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25/07/2025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BCE-2018-1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634,764.32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14,767.50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63,478,082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634,780.82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28/07/2025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Capital increase through issue of new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634,780.82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637,228,064.00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11,679,400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75,157,482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751,574.82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54.57</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29/07/2025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BCE-2018-5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751,574.82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7,320.00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75,158,482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751,584.82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7.33</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29/07/2025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Conversion of convertible bonds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751,584.82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9,371,047.91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394,447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75,552,929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755,529.29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23.77</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30/07/2025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BCE-2016-1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755,529.29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22,290,00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75,555,929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755,559.29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30/07/2025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755,559.29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26,850.00.00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75,558,929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755,589.29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01/08/2025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755,589.29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75,586,657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755,866.57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04/08/2025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BCE-2018-1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755,866.57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17,300.00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75,588,657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755,886.57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05/08/2025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BCE-2016-1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755,886.57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4,829.50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75,589,307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755,893.07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06/08/2025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BCE-2018-1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755,893.07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16,110.0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75,591,107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755,911.07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06/08/2025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BCE-2016-1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755,911.07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29,712.57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75,595,106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755,951.06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07/08/2025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755,951.06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11,137.57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75,596,605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755,966.05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05/08/2025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Conversion of convertible bonds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755,966.05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12,494,729.38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525,930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76,122,535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761,225.35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23.76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08/08/2025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Conversion of convertible bonds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761,225.35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16,658,807.54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785,389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76,907,924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769,079.24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21.21</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08/08/2025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 (Kreos)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769,079.24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2,665,728.23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95,742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77,003,666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770,036.66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18.67</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08/08/2025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 (Kreos)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770,036.66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2,664,564.29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223,509.00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77,227,175,00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772,271.75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9.86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28/08/2025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 (Claret)</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772,985.74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1,331,840.08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135,263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77,433,837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774,338.37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9.86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04/09/2025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774,338.37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17,728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77,451,565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774,515.65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04/09/2025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BCE-2016-1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774,515.65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1,107.07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77,451,714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774,517.14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08/09/2025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774,517.14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7,430.00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77,452,714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774,527.14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28/09/2025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774,527.14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377,353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77,830,067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778,300.67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02/10/2025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BSA-2015-12</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778,300.67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291,592.00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77,846,467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778,464.67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17.79</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23/10/2025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BSA-2017-1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778,464.67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189,584.00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77,862,867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778,628.67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11.57</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23/10/2025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778,628.67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37,150.00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77,867,867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778,678.67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12/11/2025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BCE-2018-1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778,678.67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8,860.50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77,868,857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778,688.57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13/11/2025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778,688.57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77,904,313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779,043.13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17/11/2025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BSA-2015-11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779,043.13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1,723,308.72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96,924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78,001,237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780,012.37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17.79</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28/11/2025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BSA-2024-1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780,012.37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63,656.67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78,006,100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780,061.00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13.10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01/12/2025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780,061.00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78,033,725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780,337.25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02/12/2025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Conversion of convertible bonds (Claret)</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780,337.25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8,329,406.05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392,695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78,426,420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784,264.20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21.22</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11/12/2025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784,264.20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78,444,148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784,441.48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16/12/2025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BCE-2017-1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784,441.48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212,536.94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78,477,461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784,774.61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6.39</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17/12/2025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BCE-2017-5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784,774.61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187,462.59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16,843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78,494,304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784,943.04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17/12/2025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BCE-2018-4</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784,943.04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61,649.04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78,502,726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785,027.26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7.33</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19/12/2025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BCE-2017-4</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785,027.26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374,925.18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78,536,412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785,364.12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12/01/2026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BCE-2018-1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785,364.12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22,733.00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78,538,952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785,389.52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01/02/2026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785,389.52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628,480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79,167,432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791,674.32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19/03/2026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791,674.32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79,202,888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792,028.88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25/03/2026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792,028.88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77,050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79,279,938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792,799.38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28/03/2026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792,799.38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79,291,188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792,911.88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07/05/2026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Capital increase through issue of new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792,911.88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38,451,069.51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403,347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79,694,535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796,945.35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95.34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21/05/2026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796,945.35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79,729,991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797,299.91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27/05/2026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797,299.91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79,770,191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797,701.91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01/06/2026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797,299.91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79,782,941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797,829.41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26/06/2026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797,829.41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79,800,669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798,006.69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Shareholders’ Meetings and Voting Rights (Articles 12, 22, 23, 24, 25 and 26 of the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In accordance with the French Commercial Code (</w:t>
      </w:r>
      <w:r>
        <w:rPr>
          <w:rFonts w:ascii="Times New Roman" w:hAnsi="Times New Roman"/>
          <w:i/>
          <w:sz w:val="20"/>
        </w:rPr>
        <w:t>Code de Commerce</w:t>
      </w:r>
      <w:r>
        <w:rPr>
          <w:rFonts w:ascii="Times New Roman" w:hAnsi="Times New Roman"/>
          <w:sz w:val="20"/>
        </w:rPr>
        <w:t xml:space="preserve">), there are three types of shareholders’ meetings: ordinary, extraordinary and special. </w:t>
      </w:r>
    </w:p>
    <w:p>
      <w:pPr>
        <w:pStyle w:val="TextBody"/>
        <w:bidi w:val="0"/>
        <w:spacing w:before="240" w:after="0"/>
        <w:jc w:val="left"/>
        <w:rPr>
          <w:rFonts w:ascii="Times New Roman" w:hAnsi="Times New Roman"/>
          <w:sz w:val="20"/>
        </w:rPr>
      </w:pPr>
      <w:r>
        <w:rPr>
          <w:rFonts w:ascii="Times New Roman" w:hAnsi="Times New Roman"/>
          <w:sz w:val="20"/>
        </w:rPr>
        <w:t xml:space="preserve">Ordinary shareholders’ meetings are required to elect, replace or remove directors, appoint independent statutory auditors, approve the annual financial statements, approve share repurchase programs, declare dividends or authorizing dividends to be paid in shares and approve regulated agreements. In addition, pursuant to AMF recommendation, French listed companies may be required to conduct a consultation of the Ordinary Shareholders Meeting prior to the disposal of the majority of their assets, under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Extraordinary shareholders’ meetings are required for approval of matters such as amendments to our by-laws, including amendments required in connection with extraordinary corporate actions (i.e., changing our name, corporate purpose or registered office, increasing or decreasing our share capital and creating a new class of equity securities (ordinary or preferred shares)). Shareholders’ rights may be modified as allowed by French law. Only the extraordinary shareholders’ meeting is authorized to amend any and all provisions of our by-laws. It may not, however, increase shareholder commitments without the prior approval of each shareholder. </w:t>
      </w:r>
    </w:p>
    <w:p>
      <w:pPr>
        <w:pStyle w:val="TextBody"/>
        <w:bidi w:val="0"/>
        <w:spacing w:before="0" w:after="0"/>
        <w:jc w:val="left"/>
        <w:rPr>
          <w:rFonts w:ascii="Times New Roman" w:hAnsi="Times New Roman"/>
          <w:sz w:val="20"/>
        </w:rPr>
      </w:pPr>
      <w:r>
        <w:rPr>
          <w:rFonts w:ascii="Times New Roman" w:hAnsi="Times New Roman"/>
          <w:sz w:val="20"/>
        </w:rPr>
        <w:t xml:space="preserve">Special meetings of holders of a certain category of shares or of securities giving access to our share capital are required for any modification of the rights relating to such categories of shares. The resolutions of the shareholders’ meeting modifying these rights are effective only after they have been approved by the relevant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Voting Rights of Warrant Holders </w:t>
      </w:r>
    </w:p>
    <w:p>
      <w:pPr>
        <w:pStyle w:val="TextBody"/>
        <w:bidi w:val="0"/>
        <w:spacing w:before="120" w:after="0"/>
        <w:jc w:val="left"/>
        <w:rPr>
          <w:rFonts w:ascii="Times New Roman" w:hAnsi="Times New Roman"/>
          <w:sz w:val="20"/>
        </w:rPr>
      </w:pPr>
      <w:r>
        <w:rPr>
          <w:rFonts w:ascii="Times New Roman" w:hAnsi="Times New Roman"/>
          <w:sz w:val="20"/>
        </w:rPr>
        <w:t>Under French law, the holders of warrants of the same class (</w:t>
      </w:r>
      <w:r>
        <w:rPr>
          <w:rFonts w:ascii="Times New Roman" w:hAnsi="Times New Roman"/>
          <w:i/>
          <w:sz w:val="20"/>
        </w:rPr>
        <w:t>i.e.,</w:t>
      </w:r>
      <w:r>
        <w:rPr>
          <w:rFonts w:ascii="Times New Roman" w:hAnsi="Times New Roman"/>
          <w:sz w:val="20"/>
        </w:rPr>
        <w:t xml:space="preserve"> warrants that were issued at the same time and with the same rights), including founder’s share warrants (BCEs),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Meetings </w:t>
      </w:r>
    </w:p>
    <w:p>
      <w:pPr>
        <w:pStyle w:val="TextBody"/>
        <w:bidi w:val="0"/>
        <w:spacing w:before="120" w:after="0"/>
        <w:jc w:val="left"/>
        <w:rPr>
          <w:rFonts w:ascii="Times New Roman" w:hAnsi="Times New Roman"/>
          <w:sz w:val="20"/>
        </w:rPr>
      </w:pPr>
      <w:r>
        <w:rPr>
          <w:rFonts w:ascii="Times New Roman" w:hAnsi="Times New Roman"/>
          <w:sz w:val="20"/>
        </w:rPr>
        <w:t>Our Board convenes an annual ordinary shareholders’ meeting for the approval of the annual financial statements. This meeting is held within six months of the end of each fiscal year. This period may be extended by an order of the President of the French Commercial Court (</w:t>
      </w:r>
      <w:r>
        <w:rPr>
          <w:rFonts w:ascii="Times New Roman" w:hAnsi="Times New Roman"/>
          <w:i/>
          <w:sz w:val="20"/>
        </w:rPr>
        <w:t>Tribunal de Commerce</w:t>
      </w:r>
      <w:r>
        <w:rPr>
          <w:rFonts w:ascii="Times New Roman" w:hAnsi="Times New Roman"/>
          <w:sz w:val="20"/>
        </w:rPr>
        <w:t xml:space="preserve">) at the request of the Board. The Board may also convene an ordinary or extraordinary shareholders’ meeting upon proper notice at any time during the year. </w:t>
      </w:r>
    </w:p>
    <w:p>
      <w:pPr>
        <w:pStyle w:val="TextBody"/>
        <w:bidi w:val="0"/>
        <w:spacing w:before="240" w:after="0"/>
        <w:jc w:val="left"/>
        <w:rPr>
          <w:rFonts w:ascii="Times New Roman" w:hAnsi="Times New Roman"/>
          <w:sz w:val="20"/>
        </w:rPr>
      </w:pPr>
      <w:r>
        <w:rPr>
          <w:rFonts w:ascii="Times New Roman" w:hAnsi="Times New Roman"/>
          <w:sz w:val="20"/>
        </w:rPr>
        <w:t xml:space="preserve">If the Board fails to convene a shareholders’ meeting at the shareholders’ request, our statutory auditors may call the meeting. In the event of bankruptcy, the liquidator or court-appointed agent may also call a shareholders’ meeting. In addition, any of the following may request the President of the French Commercial Court to appoint an agent to convene the shareholders’ meeting: one or several shareholders holding at least 5% of our share capital, any interested party in cases of urgency, the workers council in cases of urgency or duly qualified associations of shareholders who have held their shares in registered form for at least two years and who together hold a minimum number of the voting rights of our share capital. Shareholders holding a majority of the share capital or voting may also convene a shareholders’ meeting after the filing of a public offer or sale of a controlling interest in our share capital. </w:t>
      </w:r>
    </w:p>
    <w:p>
      <w:pPr>
        <w:pStyle w:val="TextBody"/>
        <w:bidi w:val="0"/>
        <w:spacing w:before="240" w:after="0"/>
        <w:jc w:val="left"/>
        <w:rPr>
          <w:rFonts w:ascii="Times New Roman" w:hAnsi="Times New Roman"/>
          <w:sz w:val="20"/>
        </w:rPr>
      </w:pPr>
      <w:r>
        <w:rPr>
          <w:rFonts w:ascii="Times New Roman" w:hAnsi="Times New Roman"/>
          <w:sz w:val="20"/>
        </w:rPr>
        <w:t xml:space="preserve">Shareholders’ meetings shall be chaired by the chairperson of the Board or, in his or her absence, by a Deputy chairperson or by a director elected for this purpose. Failing that, the meeting itself shall elect a chairperson. Vote counting shall be performed by the two members of the meeting who are present and accept such duties, who represent, either on their own behalf or as proxies, the greatest number of votes.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of Shareholders’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French law requirements in relation to notice of shareholders’ meetings and announce shareholders’ meetings at least 35 days in advance by means of a preliminary notice published in the </w:t>
      </w:r>
      <w:r>
        <w:rPr>
          <w:rFonts w:ascii="Times New Roman" w:hAnsi="Times New Roman"/>
          <w:i/>
          <w:sz w:val="20"/>
        </w:rPr>
        <w:t>Bulletin des</w:t>
      </w:r>
      <w:r>
        <w:rPr>
          <w:rFonts w:ascii="Times New Roman" w:hAnsi="Times New Roman"/>
          <w:sz w:val="20"/>
        </w:rPr>
        <w:t xml:space="preserve"> </w:t>
      </w:r>
      <w:r>
        <w:rPr>
          <w:rFonts w:ascii="Times New Roman" w:hAnsi="Times New Roman"/>
          <w:i/>
          <w:sz w:val="20"/>
        </w:rPr>
        <w:t>annonces légales obligatoires</w:t>
      </w:r>
      <w:r>
        <w:rPr>
          <w:rFonts w:ascii="Times New Roman" w:hAnsi="Times New Roman"/>
          <w:sz w:val="20"/>
        </w:rPr>
        <w:t xml:space="preserve"> (BALO), as well as on our website at least 21 days prior to the meeting. At least 15 days prior to the date set for a shareholders’ meeting, or 10 days if it is a second call, we must publish a final notice in accordance with French law requirements. In addition to the particulars relative to us, the final notice indicates, notably, the meeting’s agenda and the draft resolutions that will be presented. The requests for recording of issues or draft resolutions on the agenda must be addressed to the Company under the conditions provided for in the current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general, shareholders can only take action at shareholders’ meetings on matters listed on the agenda for the meeting. As an exception to this rule, shareholders may take action, among other things, with respect to the dismissal of directors, even if these actions have not been included on the agenda. The Board must submit properly proposed resolutions to a vote of the shareholders. When a shareholder submits a blank proxy form without naming a representative, his vote is deemed to be in favor of the resolutions (or amendments) proposed or recommended by the Board and against all others. As of the date of the publication of the final notice of a meeting but no later than four business days before the shareholders’ meeting, any shareholder may submit written questions to the Board relating to the agenda for the meeting. The Board must respond to these questions during the meeting. A common answer can be given to several questions if they have the same content or bear on the same topic. The answer to a written question is deemed to have been given insofar as it is published on our website in a section devoted to questions and answers.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Agenda and Conduct of Annual Shareholders’ Meetings. </w:t>
      </w:r>
    </w:p>
    <w:p>
      <w:pPr>
        <w:pStyle w:val="TextBody"/>
        <w:bidi w:val="0"/>
        <w:spacing w:before="120" w:after="0"/>
        <w:jc w:val="left"/>
        <w:rPr>
          <w:rFonts w:ascii="Times New Roman" w:hAnsi="Times New Roman"/>
          <w:sz w:val="20"/>
        </w:rPr>
      </w:pPr>
      <w:r>
        <w:rPr>
          <w:rFonts w:ascii="Times New Roman" w:hAnsi="Times New Roman"/>
          <w:sz w:val="20"/>
        </w:rPr>
        <w:t xml:space="preserve">The agenda of the shareholders’ meeting shall appear in the notice to convene the meeting and is set by the author of the notice. The shareholders’ meeting may only deliberate on the items on the agenda except for the removal of directors and the appointment of their successors which may be put to vote by any shareholder during any shareholders’ meeting. Pursuant to French law and our current share capital, one or more shareholders representing 5% of our share capital may request the inclusion of items or proposed resolutions on the agenda. Such request must be received at the latest on the 25th day preceding the date of the shareholders’ meeting, and in any event no later than the 20th day following the date of the convening notice to the shareholders’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Attendance and Voting at Shareholders’ Meetings </w:t>
      </w:r>
    </w:p>
    <w:p>
      <w:pPr>
        <w:pStyle w:val="TextBody"/>
        <w:bidi w:val="0"/>
        <w:spacing w:before="120" w:after="0"/>
        <w:jc w:val="left"/>
        <w:rPr>
          <w:rFonts w:ascii="Times New Roman" w:hAnsi="Times New Roman"/>
          <w:sz w:val="20"/>
        </w:rPr>
      </w:pPr>
      <w:r>
        <w:rPr>
          <w:rFonts w:ascii="Times New Roman" w:hAnsi="Times New Roman"/>
          <w:sz w:val="20"/>
        </w:rPr>
        <w:t xml:space="preserve">Ownership of one share implies, </w:t>
      </w:r>
      <w:r>
        <w:rPr>
          <w:rFonts w:ascii="Times New Roman" w:hAnsi="Times New Roman"/>
          <w:i/>
          <w:sz w:val="20"/>
        </w:rPr>
        <w:t>ipso jure</w:t>
      </w:r>
      <w:r>
        <w:rPr>
          <w:rFonts w:ascii="Times New Roman" w:hAnsi="Times New Roman"/>
          <w:sz w:val="20"/>
        </w:rPr>
        <w:t xml:space="preserve">, adherence to our by-laws and the decision of the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The voting rights attached to equity or dividend shares are proportional to the percentage of the share capital they represent. Each share entitles the holder to one vote. </w:t>
      </w:r>
    </w:p>
    <w:p>
      <w:pPr>
        <w:pStyle w:val="TextBody"/>
        <w:bidi w:val="0"/>
        <w:spacing w:before="240" w:after="0"/>
        <w:jc w:val="left"/>
        <w:rPr>
          <w:rFonts w:ascii="Times New Roman" w:hAnsi="Times New Roman"/>
          <w:sz w:val="20"/>
        </w:rPr>
      </w:pPr>
      <w:r>
        <w:rPr>
          <w:rFonts w:ascii="Times New Roman" w:hAnsi="Times New Roman"/>
          <w:sz w:val="20"/>
        </w:rPr>
        <w:t xml:space="preserve">However, a double voting right compared to that conferred to other shares with regard to the percentage of share capital they represent is allocated to all fully paid-up ordinary shares with proof of being held in registered form by the same owner for at least two (2) years. Under French law, treasury shares or ordinary shares held by entities controlled by us are not entitled to voting rights and do not count for quorum purposes. Purchasers of ADSs or ordinary shares in an offering under this prospectus, in the open market or in subsequent offerings will be unlikely to meet the requirements to have double voting rights attach to any ordinary shares held by them. </w:t>
      </w:r>
    </w:p>
    <w:p>
      <w:pPr>
        <w:pStyle w:val="TextBody"/>
        <w:bidi w:val="0"/>
        <w:spacing w:before="240" w:after="0"/>
        <w:jc w:val="left"/>
        <w:rPr>
          <w:rFonts w:ascii="Times New Roman" w:hAnsi="Times New Roman"/>
          <w:sz w:val="20"/>
        </w:rPr>
      </w:pPr>
      <w:r>
        <w:rPr>
          <w:rFonts w:ascii="Times New Roman" w:hAnsi="Times New Roman"/>
          <w:sz w:val="20"/>
        </w:rPr>
        <w:t xml:space="preserve">In order to participate in any general meeting, shareholders are required to have their shares registered under the conditions and time limits provided for the applicable laws before such general meeting in their name or in the name of an intermediary registered on their behalf, either in the registered shares shareholder account or in the bearer shares shareholder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Proxies and Votes by Mail or Videoconference </w:t>
      </w:r>
    </w:p>
    <w:p>
      <w:pPr>
        <w:pStyle w:val="TextBody"/>
        <w:bidi w:val="0"/>
        <w:spacing w:before="120" w:after="0"/>
        <w:jc w:val="left"/>
        <w:rPr>
          <w:rFonts w:ascii="Times New Roman" w:hAnsi="Times New Roman"/>
          <w:sz w:val="20"/>
        </w:rPr>
      </w:pPr>
      <w:r>
        <w:rPr>
          <w:rFonts w:ascii="Times New Roman" w:hAnsi="Times New Roman"/>
          <w:sz w:val="20"/>
        </w:rPr>
        <w:t xml:space="preserve">In general, all shareholders who have properly registered and fully paid their shares or duly presented a certificate from their accredited intermediary may participate in shareholders’ meetings. Shareholders may participate in shareholders’ meetings either in person, by proxy or by mail or by videoconference or by any means of telecommunications in accordance with applicable regulations, if the Board provides for such possibility when convening the meeting. </w:t>
      </w:r>
    </w:p>
    <w:p>
      <w:pPr>
        <w:pStyle w:val="TextBody"/>
        <w:bidi w:val="0"/>
        <w:spacing w:before="240" w:after="0"/>
        <w:jc w:val="left"/>
        <w:rPr>
          <w:rFonts w:ascii="Times New Roman" w:hAnsi="Times New Roman"/>
          <w:sz w:val="20"/>
        </w:rPr>
      </w:pPr>
      <w:r>
        <w:rPr>
          <w:rFonts w:ascii="Times New Roman" w:hAnsi="Times New Roman"/>
          <w:sz w:val="20"/>
        </w:rPr>
        <w:t xml:space="preserve">Proxies are sent to any shareholder upon request. In order to be counted, such proxies must be received at our registered office, or at any other address indicated on the notice convening the meeting, prior to the date of the meeting. A shareholder may grant proxies to his or her spouse, civil partner, to another shareholder or to any other person (individual or legal) of his/her/its choice. A shareholder that is a corporation may grant proxies to a legal representative. A shareholder who is a non-resident of France may be represented at a shareholders’ meeting by an intermediary registered under the conditions set forth by French law. Alternatively, the shareholder may send a blank proxy to us without nominating a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votes by mail, we will send shareholders a voting form. The completed form must be returned to us at least three days prior to the date of the shareholders’ meeting. The final date for returning votes by mail is disclosed in the notice of meeting published in accordance with French law requirements. Under our by-laws, shareholders’ meetings by means of telecommunications permitting their identification are possible if the Board so determines in the preliminary or final notice of the meeting. Shareholders voting by proxy, mail, authorized intermediary or, if provided for in the preliminary or final notice of the meeting by any means of telecommunications permitting them to be identified, will be considered to be present at the meeting for the computation of the quorum and the majority. </w:t>
      </w:r>
    </w:p>
    <w:p>
      <w:pPr>
        <w:pStyle w:val="TextBody"/>
        <w:bidi w:val="0"/>
        <w:spacing w:before="240" w:after="0"/>
        <w:jc w:val="left"/>
        <w:rPr>
          <w:rFonts w:ascii="Times New Roman" w:hAnsi="Times New Roman"/>
          <w:sz w:val="20"/>
        </w:rPr>
      </w:pPr>
      <w:r>
        <w:rPr>
          <w:rFonts w:ascii="Times New Roman" w:hAnsi="Times New Roman"/>
          <w:sz w:val="20"/>
        </w:rPr>
        <w:t xml:space="preserve">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For an ordinary shareholders’ meeting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has the same quorum requirement as an ordinary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the requirements for a quorum are not satisfied, the meeting is adjourned. When an adjourned ordinary shareholders’ meeting is resumed, there is no quorum requirement. Extraordinary shareholders’ meetings require a quorum of one-fifth of the holders of shares entitled to voting rights. If a quorum is not present, the reconvened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Should the special meeting be reconvened, the quorum requirement is one-fifth of the certain class of shares entitled to voting rights for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Majority </w:t>
      </w:r>
    </w:p>
    <w:p>
      <w:pPr>
        <w:pStyle w:val="TextBody"/>
        <w:bidi w:val="0"/>
        <w:spacing w:before="120" w:after="0"/>
        <w:jc w:val="left"/>
        <w:rPr>
          <w:rFonts w:ascii="Times New Roman" w:hAnsi="Times New Roman"/>
          <w:sz w:val="20"/>
        </w:rPr>
      </w:pPr>
      <w:r>
        <w:rPr>
          <w:rFonts w:ascii="Times New Roman" w:hAnsi="Times New Roman"/>
          <w:sz w:val="20"/>
        </w:rPr>
        <w:t xml:space="preserve">A simple majority of shareholders may pass a resolution at either an ordinary shareholders’ meeting or an extraordinary shareholders’ meeting deciding upon a share capital increase by capitalization of reserves, profits or share premium. At any other extraordinary shareholders’ meeting, a two-thirds majority of the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votes cast is required. A unanimous shareholder vote is required to increase shareholders’ liabilities. Abstention from voting by those present either in person or by means of telecommunications if provided for by the by-laws, or those represented by proxy or voting by mail is counted as a vote against the resolution submitted to a shareholder vote. In general, each shareholder is entitled to one vote per share at any shareholders’ meeting. Under the French Commercial Code, shares of a company held by it or by entities controlled directly or indirectly by that company are not entitled to voting rights and do not count for quorum or majority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Statements and Other Communications with Shareholders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annual ordinary shareholders’ meeting, we must provide or make available to any shareholder a set of documents including, among other things, our annual report, the annual and consolidated accounts, the statutory auditors’ reports and a draft of the meeting’s resolutions.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Board is required to deliver a special report to the annual ordinary shareholders’ meeting regarding the composition of the Board, the representation of men and women in its composition, the status of the preparation and organization of the work of the Board, the status of the internal control procedures that we have implemented, including those in connection with the treatment of the accounting and financial statements and principles and rules that it establishes to determine management compensation and benefits. French law requires that a special report be provided annually to the ordinary shareholders’ meeting regarding stock options authorized and/or granted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Rights, Preferences and Restrictions Attaching to Ordinary Shares (Articles 7, 11, 30, 31 and 32 of the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only distribute dividends out of our “distributable profits,” plus any amounts filed in its reserves that the shareholders decide to make available for distribution, other than those reserves that are specifically required by French law or our by-laws. “Distributable profits” consist of our net profit in each fiscal year, as increased or reduced by any profit or loss carried forward from prior years, less any contributions to the reserve accounts pursuant to French law or our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Reserve </w:t>
      </w:r>
    </w:p>
    <w:p>
      <w:pPr>
        <w:pStyle w:val="TextBody"/>
        <w:bidi w:val="0"/>
        <w:spacing w:before="120" w:after="0"/>
        <w:jc w:val="left"/>
        <w:rPr>
          <w:rFonts w:ascii="Times New Roman" w:hAnsi="Times New Roman"/>
          <w:sz w:val="20"/>
        </w:rPr>
      </w:pPr>
      <w:r>
        <w:rPr>
          <w:rFonts w:ascii="Times New Roman" w:hAnsi="Times New Roman"/>
          <w:sz w:val="20"/>
        </w:rPr>
        <w:t xml:space="preserve">Under French law, we are required to allocate 5% of our net income for each fiscal year, after reduction for losses carried forward from previous years, if any, to a legal reserve fund until the amount in the legal reserve is equal to 10% of the aggregate nominal value of the share capital. The legal reserve subject to this requirement may only be used to offset losses when other reserves cannot be used and, in particular, may not be distributed to shareholders until our liquidation. As of December 31, 2025, our legal reserve was 0.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Dividends </w:t>
      </w:r>
    </w:p>
    <w:p>
      <w:pPr>
        <w:pStyle w:val="TextBody"/>
        <w:bidi w:val="0"/>
        <w:spacing w:before="120" w:after="0"/>
        <w:jc w:val="left"/>
        <w:rPr>
          <w:rFonts w:ascii="Times New Roman" w:hAnsi="Times New Roman"/>
          <w:sz w:val="20"/>
        </w:rPr>
      </w:pPr>
      <w:r>
        <w:rPr>
          <w:rFonts w:ascii="Times New Roman" w:hAnsi="Times New Roman"/>
          <w:sz w:val="20"/>
        </w:rPr>
        <w:t xml:space="preserve">Shareholders may decide in an ordinary shareholders’ meeting, upon proposal of the Board, to allocate all or part of the distributable profits to special or general reserves, to carry them forward to the following fiscal year as retained earnings, or to allocate them to the shareholders as dividends. Dividends may be paid in cash or as shares upon the option of the shareholders if such option is granted at the annual ordinary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we have earned distributable profits since the end of the preceding fiscal year, as reflected in an interim income statement certified by its auditors, the Board may distribute interim dividends to the extent of the distributable profits for the period covered by the interim income statement before approval of the annual financial statements. Subject to French law, the Board may declare interim dividends paid in cash without obtaining shareholder approval. For interim dividends paid in shares, prior authorization by an ordinary shareholders’ meeting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Distribution of Dividends and Timing of Payment </w:t>
      </w:r>
    </w:p>
    <w:p>
      <w:pPr>
        <w:pStyle w:val="TextBody"/>
        <w:bidi w:val="0"/>
        <w:spacing w:before="120" w:after="0"/>
        <w:jc w:val="left"/>
        <w:rPr>
          <w:rFonts w:ascii="Times New Roman" w:hAnsi="Times New Roman"/>
          <w:sz w:val="20"/>
        </w:rPr>
      </w:pPr>
      <w:r>
        <w:rPr>
          <w:rFonts w:ascii="Times New Roman" w:hAnsi="Times New Roman"/>
          <w:sz w:val="20"/>
        </w:rPr>
        <w:t xml:space="preserve">In principle, dividends are distributed to shareholders pro rata according to their respective shareholdings.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Timing of Payment </w:t>
      </w:r>
    </w:p>
    <w:p>
      <w:pPr>
        <w:pStyle w:val="TextBody"/>
        <w:bidi w:val="0"/>
        <w:spacing w:before="120" w:after="0"/>
        <w:jc w:val="left"/>
        <w:rPr>
          <w:rFonts w:ascii="Times New Roman" w:hAnsi="Times New Roman"/>
          <w:sz w:val="20"/>
        </w:rPr>
      </w:pPr>
      <w:r>
        <w:rPr>
          <w:rFonts w:ascii="Times New Roman" w:hAnsi="Times New Roman"/>
          <w:sz w:val="20"/>
        </w:rPr>
        <w:t xml:space="preserve">Under French law, we must pay any dividends within nine months of the end of our fiscal year, unless otherwise authorized by an order of the President of the French Commercial Court. Dividends on shares that are not claimed within five years of the date of declared payment revert to the French State.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interim dividends, distributions are made to shareholders on the date set by our Board during the meeting in which the distribution of interim dividends is approved. The actual dividend payment date is decided by the shareholders at an annual shareholders’ meeting or by our Board in the absence of such a decision by the shareholders. Shareholders that own shares on the actual payment date are entitled to the dividend. </w:t>
      </w:r>
    </w:p>
    <w:p>
      <w:pPr>
        <w:pStyle w:val="TextBody"/>
        <w:bidi w:val="0"/>
        <w:spacing w:before="240" w:after="0"/>
        <w:jc w:val="left"/>
        <w:rPr>
          <w:rFonts w:ascii="Times New Roman" w:hAnsi="Times New Roman"/>
          <w:sz w:val="20"/>
        </w:rPr>
      </w:pPr>
      <w:r>
        <w:rPr>
          <w:rFonts w:ascii="Times New Roman" w:hAnsi="Times New Roman"/>
          <w:sz w:val="20"/>
        </w:rPr>
        <w:t xml:space="preserve">Shareholders may be granted an option to receive dividends in cash or in shares, in accordance with legal conditions. The conditions for payment of dividends in cash shall be set at the shareholders’ meeting or, failing this, by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Share Capital </w:t>
      </w:r>
    </w:p>
    <w:p>
      <w:pPr>
        <w:pStyle w:val="TextBody"/>
        <w:bidi w:val="0"/>
        <w:spacing w:before="120" w:after="0"/>
        <w:jc w:val="left"/>
        <w:rPr>
          <w:rFonts w:ascii="Times New Roman" w:hAnsi="Times New Roman"/>
          <w:sz w:val="20"/>
        </w:rPr>
      </w:pPr>
      <w:r>
        <w:rPr>
          <w:rFonts w:ascii="Times New Roman" w:hAnsi="Times New Roman"/>
          <w:sz w:val="20"/>
        </w:rPr>
        <w:t xml:space="preserve">Our share capital may only be increased by obtaining the approval of the shareholders at an extraordinary shareholders’ meeting upon the recommendation of the Board. The decision to increase share capital through increases in the nominal value of existing shares requires unanimous approval at an extraordinary shareholders’ meeting. The decision to increase share capital through the capitalization of reserves, profits and/or share premiums must be submitted to an extraordinary shareholders’ meeting applying the quorum and majority requirements applicable to ordinary shareholders’ meetings. In the case of an increase in share capital in connection with the payment of a share dividend the voting and quorum procedures of an ordinary shareholders’ meetings apply. All other share capital increases require the approval of an extraordinary shareholders’ meeting. See “—Shareholders’ Meetings and Voting Rights (Articles 6, 12 and 22 of the By-Laws)” above. </w:t>
      </w:r>
    </w:p>
    <w:p>
      <w:pPr>
        <w:pStyle w:val="TextBody"/>
        <w:bidi w:val="0"/>
        <w:spacing w:before="240" w:after="0"/>
        <w:jc w:val="left"/>
        <w:rPr>
          <w:rFonts w:ascii="Times New Roman" w:hAnsi="Times New Roman"/>
          <w:sz w:val="20"/>
        </w:rPr>
      </w:pPr>
      <w:r>
        <w:rPr>
          <w:rFonts w:ascii="Times New Roman" w:hAnsi="Times New Roman"/>
          <w:sz w:val="20"/>
        </w:rPr>
        <w:t xml:space="preserve">Increases in our share capital may be effected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issuing additional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par value of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a new class of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exercising the rights attached to securities giving access to the share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Increases in share capital by issuing additional securities may be effected through one or a combination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consideration for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consideration for assets contributed in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conversion of previously issued debt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capitalization of profits, reserves or share premium;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conditions, by way of offset against debt incurred by us. </w:t>
            </w:r>
          </w:p>
        </w:tc>
      </w:tr>
    </w:tbl>
    <w:p>
      <w:pPr>
        <w:pStyle w:val="TextBody"/>
        <w:bidi w:val="0"/>
        <w:spacing w:before="240" w:after="0"/>
        <w:jc w:val="left"/>
        <w:rPr>
          <w:rFonts w:ascii="Times New Roman" w:hAnsi="Times New Roman"/>
          <w:sz w:val="20"/>
        </w:rPr>
      </w:pPr>
      <w:r>
        <w:rPr>
          <w:rFonts w:ascii="Times New Roman" w:hAnsi="Times New Roman"/>
          <w:sz w:val="20"/>
        </w:rPr>
        <w:t>Subject to certain conditions, shareholders may delegate the authority (</w:t>
      </w:r>
      <w:r>
        <w:rPr>
          <w:rFonts w:ascii="Times New Roman" w:hAnsi="Times New Roman"/>
          <w:i/>
          <w:sz w:val="20"/>
        </w:rPr>
        <w:t>délégation de compétence</w:t>
      </w:r>
      <w:r>
        <w:rPr>
          <w:rFonts w:ascii="Times New Roman" w:hAnsi="Times New Roman"/>
          <w:sz w:val="20"/>
        </w:rPr>
        <w:t>) or the powers (</w:t>
      </w:r>
      <w:r>
        <w:rPr>
          <w:rFonts w:ascii="Times New Roman" w:hAnsi="Times New Roman"/>
          <w:i/>
          <w:sz w:val="20"/>
        </w:rPr>
        <w:t>délégation de pouvoirs</w:t>
      </w:r>
      <w:r>
        <w:rPr>
          <w:rFonts w:ascii="Times New Roman" w:hAnsi="Times New Roman"/>
          <w:sz w:val="20"/>
        </w:rPr>
        <w:t xml:space="preserve">) to carry out certain increases in our share capital to the Board following approval at an extraordinary shareholders’ meeting. The Board may further sub-delegate this right to the 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Reduction in Share Capital </w:t>
      </w:r>
    </w:p>
    <w:p>
      <w:pPr>
        <w:pStyle w:val="TextBody"/>
        <w:bidi w:val="0"/>
        <w:spacing w:before="120" w:after="0"/>
        <w:jc w:val="left"/>
        <w:rPr>
          <w:rFonts w:ascii="Times New Roman" w:hAnsi="Times New Roman"/>
          <w:sz w:val="20"/>
        </w:rPr>
      </w:pPr>
      <w:r>
        <w:rPr>
          <w:rFonts w:ascii="Times New Roman" w:hAnsi="Times New Roman"/>
          <w:sz w:val="20"/>
        </w:rPr>
        <w:t xml:space="preserve">Under French law, any reduction in our share capital requires approval of the shareholders at an extraordinary shareholders’ meeting. The share capital may be reduced either by decreasing the nominal value of the outstanding shares or by reducing the number of outstanding shares. The number of outstanding shares may be reduced by the repurchase and cancellation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Holders of each class of shares must be treated equally unless each affected shareholder agrees otherwise. As a general matter, reductions of capital occur pro rata among all shareholders, except (i) in the case of a share buyback program, or a public tender offer to repurchase shares, where such a reduction occurs pro rata only among tendering shareholders and (ii) in the case where all shareholders unanimously consent to a non-pro-rata reduction. In any case, we must not own more than 10% of our outstanding share capital. The extraordinary shareholders’ meeting may authorize the buy-back program for a period not exceeding 18 months. In addition, we may not cancel more than 10% of our outstanding share capital over any 24-month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Preferential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French law, existing shareholders have preferential subscription rights to these securities on a pro rata basis if we issue certain kinds of additional securities. These preferential subscription rights require us to give priority treatment to existing shareholders. The rights entitle the individual or entity that holds them to subscribe to an issue of any securities that may increase our share capital by means of a cash payment or a settling of cash debts. Subscription rights are transferable during a period starting two days prior the opening of the subscription period (or, if such day is not a business day, the preceding trading day) and ending two days prior the closing of the subscription period (or, if such day is not a business day, the preceding trading day). </w:t>
      </w:r>
    </w:p>
    <w:p>
      <w:pPr>
        <w:pStyle w:val="TextBody"/>
        <w:bidi w:val="0"/>
        <w:spacing w:before="240" w:after="0"/>
        <w:jc w:val="left"/>
        <w:rPr>
          <w:rFonts w:ascii="Times New Roman" w:hAnsi="Times New Roman"/>
          <w:sz w:val="20"/>
        </w:rPr>
      </w:pPr>
      <w:r>
        <w:rPr>
          <w:rFonts w:ascii="Times New Roman" w:hAnsi="Times New Roman"/>
          <w:sz w:val="20"/>
        </w:rPr>
        <w:t xml:space="preserve">A two-thirds majority of the shares entitled to vote at an extraordinary shareholders’ meeting may vote to waive preferential subscription rights with respect to any particular offering or a portion of that offering. French law requires that the Board and our statutory auditors present reports that specifically address any proposal to waive preferential subscription rights. In the event of a waiver, the issue of securities must be completed within the period prescribed by French law. The shareholders may also decide at an extraordinary shareholders’ meeting to give existing shareholders a non-transferable priority right to subscribe to such new securities during a limited period of time. Shareholders also may notify us that they wish to waive their own preferential subscription rights with respect to any particular offering if they so choose.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share capital increase without preferential subscription rights to existing shareholders through a public offering, the extraordinary shareholders’ meeting may authorize the Board to freely set the issuing price or to set the issuing price in accordance with the terms established by the extraordinary shareholders’ meeting. </w:t>
      </w:r>
    </w:p>
    <w:p>
      <w:pPr>
        <w:pStyle w:val="TextBody"/>
        <w:bidi w:val="0"/>
        <w:spacing w:before="360" w:after="0"/>
        <w:jc w:val="left"/>
        <w:rPr>
          <w:rFonts w:ascii="Times New Roman" w:hAnsi="Times New Roman"/>
          <w:b/>
          <w:sz w:val="20"/>
        </w:rPr>
      </w:pPr>
      <w:r>
        <w:rPr>
          <w:rFonts w:ascii="Times New Roman" w:hAnsi="Times New Roman"/>
          <w:b/>
          <w:sz w:val="20"/>
        </w:rPr>
        <w:t xml:space="preserve">Form, Holding and Transfer of Shares (Articles 10 and 11 of the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Form of Shares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the shares once fully paid may be held in registered or bearer form at the option of the shareholder, subject to applicable laws. Shares not fully paid must be nominal.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Holding of Shares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French law, shareholders’ ownership rights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owner of our shares may elect to have its shares held in registered form and registered in its name in an account currently maintained by Uptevia, 90–110 Esplanade du Général de Gaulle – 92931 Paris La Défense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Cedex, France for and on our behalf or held in bearer form and recorded in its name in an account maintained by an accredited financial intermediary, such as a French broker, bank or other authorized financial institution. Any shareholder may, at its expense, change from one form of holding to the other. Both methods are operated through Euroclear. In addition, according to French law, shares held by any non-French resident may be held on the shareholder’s behalf in a collective account or in several individual accounts by an intermediary. </w:t>
      </w:r>
    </w:p>
    <w:p>
      <w:pPr>
        <w:pStyle w:val="TextBody"/>
        <w:bidi w:val="0"/>
        <w:spacing w:before="240" w:after="0"/>
        <w:jc w:val="left"/>
        <w:rPr>
          <w:rFonts w:ascii="Times New Roman" w:hAnsi="Times New Roman"/>
          <w:sz w:val="20"/>
        </w:rPr>
      </w:pPr>
      <w:r>
        <w:rPr>
          <w:rFonts w:ascii="Times New Roman" w:hAnsi="Times New Roman"/>
          <w:sz w:val="20"/>
        </w:rPr>
        <w:t xml:space="preserve">When our shares are held in bearer form by a beneficial owner who is not a resident of France, Euroclear may agree to issue, upon our request, a bearer depository receipt with respect to such shares for use only outside France. In this case, the name of the holder is deleted from the accredited financial intermediary’s books. Title to the shares represented by a bearer depository receipt will pass upon delivery of the relevant receipt outside France.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applicable laws, we may request the information referred to in Article L.228-2 of the French Commercial Code at any time from the central depository responsible for holding our shares. Thus, we are at any time entitled to request the name and year of birth or, in the case of a legal entity, the name and the year of incorporation, nationality and address of the holders of our shares or other securities granting immediate or future voting rights, held in bearer form, and the number of shares or other securities so held and, if applicable, the restrictions relating to such securities. Furthermore, under French law, any intermediary who acts on behalf of one or more persons who are not domiciled in France must declare that it is acting as an intermediary. We may also request the identity of the shareholders on whose behalf it is acting. Consequently, the owner of shares recorded in a collective account or in several individual accounts by an intermediary will be represented in the shareholders’ meetings by this intermediary.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120" w:after="0"/>
        <w:jc w:val="left"/>
        <w:rPr>
          <w:rFonts w:ascii="Times New Roman" w:hAnsi="Times New Roman"/>
          <w:sz w:val="20"/>
        </w:rPr>
      </w:pPr>
      <w:r>
        <w:rPr>
          <w:rFonts w:ascii="Times New Roman" w:hAnsi="Times New Roman"/>
          <w:sz w:val="20"/>
        </w:rPr>
        <w:t xml:space="preserve">Our by-laws do not contain any restrictions relating to the transfer of shares. Shares are freely negotiable, subject to applicable legal and regulatory provisions. French and European law provide for standstill obligations and prohibition of insider trading.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are liquidated, any assets remaining after payment of our debts, liquidation expenses and all of our remaining obligations will be distributed first to repay in full the nominal value of our shares (up to the amount of the paid-up and non-liquidated share capital). Any surplus will be distributed pro rata among shareholders in proportion to the nominal value of their shareholdings, taking into account, where applicable, the rights attached to shares of different classes. Shareholders shall only bear losses up to the amount of their contributions.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Disclosure Requirements for Holdings Exceeding Certain Thresholds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Declaration of Crossing of Ownership Thresholds (Article 11.2 of the By-laws) </w:t>
      </w:r>
    </w:p>
    <w:p>
      <w:pPr>
        <w:pStyle w:val="TextBody"/>
        <w:bidi w:val="0"/>
        <w:spacing w:before="120" w:after="0"/>
        <w:jc w:val="left"/>
        <w:rPr>
          <w:rFonts w:ascii="Times New Roman" w:hAnsi="Times New Roman"/>
          <w:sz w:val="20"/>
        </w:rPr>
      </w:pPr>
      <w:r>
        <w:rPr>
          <w:rFonts w:ascii="Times New Roman" w:hAnsi="Times New Roman"/>
          <w:sz w:val="20"/>
        </w:rPr>
        <w:t>We are subject to certain disclosure requirements under French law. Any individual or entity, acting alone or in concert with others, that acquires, either directly or indirectly, shares representing more than 5%, 10%, 15%, 20%, 25%, 30%, 33 1/3%, 50%, 66 2/3%, 90% or 95% of our outstanding share capital or voting rights or that increases or decreases its shareholding or voting rights above or below any of those percentage thresholds, must notify us and the French Market Authority (</w:t>
      </w:r>
      <w:r>
        <w:rPr>
          <w:rFonts w:ascii="Times New Roman" w:hAnsi="Times New Roman"/>
          <w:i/>
          <w:sz w:val="20"/>
        </w:rPr>
        <w:t>Autorité des Marchés Financiers</w:t>
      </w:r>
      <w:r>
        <w:rPr>
          <w:rFonts w:ascii="Times New Roman" w:hAnsi="Times New Roman"/>
          <w:sz w:val="20"/>
        </w:rPr>
        <w:t xml:space="preserve">) (“AMF”) within four trading days of the date on which such threshold was crossed. French law and AMF regulations impose additional reporting requirements on persons who acquire more than 10%, 15%, 20% or 25% of the outstanding shares or voting rights of a listed company.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fails to comply with the notification requirements under French law, the shares or voting rights in excess of the relevant threshold will be deprived of voting rights until the end of a two-year period following the date on which the owner of such shares has complied with the notification requirements. They may also be suspended for up to five years and may be subject to criminal fines.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by-laws provide that any shareholder, acting alone or in concert, who comes into possession, in any manner whatsoever, either directly or indirectly, of a number of shares representing 2% of our share capital and/or voting rights must, by registered letter with acknowledgment of receipt sent to the registered office, or any other equivalent means for the shareholders or security holders residing outside of France, within five trading days of crossing such threshold, notify us of the total number of shares and voting rights he or she owns and the number of securities he or she owns that give access to the capital and voting rights attached thereto. This disclosure requirement shall apply, under the conditions above, each time a new threshold of 2% of capital and/or voting rights is met or exceeded, for whatever reason, including beyond the legal threshold of 5%. If the shares have not been reported under the above conditions, the shares exceeding the fraction that should have been reported are denied the right to vote in shareholders’ meetings, if at a shareholders’ meeting, the failure to report was recorded and if one or more shareholders holding together not less than 5% of capital or voting rights so request at that meeting. The denial of voting rights applies to any shareholders’ meeting to be held until the expiration of a period of two years from the date of regularization of the reporting.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publish the total number of voting rights and shares composing the share capital (if such numbers vary from the numbers previously published) on a monthly basis. The AMF makes this information public. We are subject to AMF regulations regarding public tender offers. </w:t>
      </w:r>
    </w:p>
    <w:p>
      <w:pPr>
        <w:pStyle w:val="TextBody"/>
        <w:bidi w:val="0"/>
        <w:spacing w:before="240" w:after="0"/>
        <w:jc w:val="left"/>
        <w:rPr>
          <w:rFonts w:ascii="Times New Roman" w:hAnsi="Times New Roman"/>
          <w:sz w:val="20"/>
        </w:rPr>
      </w:pPr>
      <w:r>
        <w:rPr>
          <w:rFonts w:ascii="Times New Roman" w:hAnsi="Times New Roman"/>
          <w:sz w:val="20"/>
        </w:rPr>
        <w:t xml:space="preserve">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the company’s capital or voting rights, shall file a mandatory public tender offer. </w:t>
      </w:r>
    </w:p>
    <w:p>
      <w:pPr>
        <w:pStyle w:val="TextBody"/>
        <w:bidi w:val="0"/>
        <w:spacing w:before="360" w:after="0"/>
        <w:jc w:val="left"/>
        <w:rPr>
          <w:rFonts w:ascii="Times New Roman" w:hAnsi="Times New Roman"/>
          <w:b/>
          <w:sz w:val="20"/>
        </w:rPr>
      </w:pPr>
      <w:r>
        <w:rPr>
          <w:rFonts w:ascii="Times New Roman" w:hAnsi="Times New Roman"/>
          <w:b/>
          <w:sz w:val="20"/>
        </w:rPr>
        <w:t xml:space="preserve">Treasury Shares and Purchases of our Own Shares </w:t>
      </w:r>
    </w:p>
    <w:p>
      <w:pPr>
        <w:pStyle w:val="TextBody"/>
        <w:bidi w:val="0"/>
        <w:spacing w:before="120" w:after="0"/>
        <w:jc w:val="left"/>
        <w:rPr>
          <w:rFonts w:ascii="Times New Roman" w:hAnsi="Times New Roman"/>
          <w:sz w:val="20"/>
        </w:rPr>
      </w:pPr>
      <w:r>
        <w:rPr>
          <w:rFonts w:ascii="Times New Roman" w:hAnsi="Times New Roman"/>
          <w:sz w:val="20"/>
        </w:rPr>
        <w:t xml:space="preserve">We are not permitted to hold more than 10% of our share capital in treasury shares or to have more than 10% of our share capital to be held for us by our subsidiaries. Treasury shares are not entitled to dividends, voting rights or preferential subscription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and Redemption of Shares </w:t>
      </w:r>
    </w:p>
    <w:p>
      <w:pPr>
        <w:pStyle w:val="TextBody"/>
        <w:bidi w:val="0"/>
        <w:spacing w:before="120" w:after="0"/>
        <w:jc w:val="left"/>
        <w:rPr>
          <w:rFonts w:ascii="Times New Roman" w:hAnsi="Times New Roman"/>
          <w:sz w:val="20"/>
        </w:rPr>
      </w:pPr>
      <w:r>
        <w:rPr>
          <w:rFonts w:ascii="Times New Roman" w:hAnsi="Times New Roman"/>
          <w:sz w:val="20"/>
        </w:rPr>
        <w:t xml:space="preserve">Under French law, we may acquire our own shares. Such acquisition may be challenged on the ground of market abuse regulations. However, EU Market Abuse Regulation 596/2014 of April 16, 2014 (“MAR”) provides for safe harbor exemptions when the acquisition is made for the following purposes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decrease our share capital, provided that such a decision is not driven by losses and that a purchase offer is made to all shareholders on a pro rata basis, with the approval of the shareholders at an extraordinary meeting. In this case, the shares repurchased must be cancelled within one month from the expiry of the purchase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meet obligations arising from debt securities that are exchangeable into equity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shares for distribution to employees or managers under a profit-sharing, free share or share option plan. In this case the shares repurchased must be distributed within 12 months from their repurchase failing which they must be cancelled;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 buy-back program to be authorized by the shareholders in accordance with the provisions of Article L. 22-10-62 of the French Commercial Code and in accordance with the general regulations of, and market practices accepted by the AMF.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purposes, and especially share buy-backs made for external growth operations in pursuance of Article L. 22-10-62 of the French Commercial Code, while not forbidden, must be pursued in strict compliance of market manipulation and insider dealing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MAR and in accordance with the general regulations (</w:t>
      </w:r>
      <w:r>
        <w:rPr>
          <w:rFonts w:ascii="Times New Roman" w:hAnsi="Times New Roman"/>
          <w:i/>
          <w:sz w:val="20"/>
        </w:rPr>
        <w:t>réglement général</w:t>
      </w:r>
      <w:r>
        <w:rPr>
          <w:rFonts w:ascii="Times New Roman" w:hAnsi="Times New Roman"/>
          <w:sz w:val="20"/>
        </w:rPr>
        <w:t xml:space="preserve">) of the AMF (the “General Regulations”),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 </w:t>
      </w:r>
    </w:p>
    <w:p>
      <w:pPr>
        <w:pStyle w:val="TextBody"/>
        <w:bidi w:val="0"/>
        <w:spacing w:before="240" w:after="0"/>
        <w:jc w:val="left"/>
        <w:rPr>
          <w:rFonts w:ascii="Times New Roman" w:hAnsi="Times New Roman"/>
          <w:sz w:val="20"/>
        </w:rPr>
      </w:pPr>
      <w:r>
        <w:rPr>
          <w:rFonts w:ascii="Times New Roman" w:hAnsi="Times New Roman"/>
          <w:sz w:val="20"/>
        </w:rPr>
        <w:t xml:space="preserve">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preferential subscription rights attached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Shares by Non-French Persons </w:t>
      </w:r>
    </w:p>
    <w:p>
      <w:pPr>
        <w:pStyle w:val="TextBody"/>
        <w:bidi w:val="0"/>
        <w:spacing w:before="120" w:after="0"/>
        <w:jc w:val="left"/>
        <w:rPr>
          <w:rFonts w:ascii="Times New Roman" w:hAnsi="Times New Roman"/>
          <w:sz w:val="20"/>
        </w:rPr>
      </w:pPr>
      <w:r>
        <w:rPr>
          <w:rFonts w:ascii="Times New Roman" w:hAnsi="Times New Roman"/>
          <w:sz w:val="20"/>
        </w:rPr>
        <w:t>EU and non-EU residents are required to file an administrative notice (</w:t>
      </w:r>
      <w:r>
        <w:rPr>
          <w:rFonts w:ascii="Times New Roman" w:hAnsi="Times New Roman"/>
          <w:i/>
          <w:sz w:val="20"/>
        </w:rPr>
        <w:t>déclaration administrative</w:t>
      </w:r>
      <w:r>
        <w:rPr>
          <w:rFonts w:ascii="Times New Roman" w:hAnsi="Times New Roman"/>
          <w:sz w:val="20"/>
        </w:rPr>
        <w:t xml:space="preserve">) with the French authorities in connection with certain direct or indirect investments in us, including through ownership of ADSs, on the date a binding purchase agreement is executed or a tender offer is made public. Under existing administrative rulings the following transactions qualify as foreign investments in us that require the filing of an administrative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carried out on our capital by a non-French resident provided that after the transaction the cumulative amount of the capital or the voting rights held by non-French residents exceeds 1/3 of our capital or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mentioned above by a corporation incorporated under French law whose capital or voting rights are held for more than 33.33% by non-French residents;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carried out abroad resulting in a change of the controlling shareholder of a corporation incorporated under a foreign law that holds a shareholding or voting rights in us if our capital or voting rights are held for more than 33.33% by non-French residents;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loans and guarantees granted by the acquirer to us in amounts evidencing control over our 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licenses granted by an acquirer or management or technical assistance agreements with such acquirer that place us in a dependent position </w:t>
            </w:r>
            <w:r>
              <w:rPr>
                <w:rFonts w:ascii="Times New Roman" w:hAnsi="Times New Roman"/>
                <w:i/>
                <w:sz w:val="20"/>
              </w:rPr>
              <w:t>vis-à-vis</w:t>
            </w:r>
            <w:r>
              <w:rPr>
                <w:rFonts w:ascii="Times New Roman" w:hAnsi="Times New Roman"/>
                <w:sz w:val="20"/>
              </w:rPr>
              <w:t xml:space="preserve"> such party or its group. </w:t>
            </w:r>
          </w:p>
        </w:tc>
      </w:tr>
    </w:tbl>
    <w:p>
      <w:pPr>
        <w:pStyle w:val="TextBody"/>
        <w:bidi w:val="0"/>
        <w:spacing w:before="240" w:after="0"/>
        <w:jc w:val="left"/>
        <w:rPr>
          <w:rFonts w:ascii="Times New Roman" w:hAnsi="Times New Roman"/>
          <w:sz w:val="20"/>
        </w:rPr>
      </w:pPr>
      <w:r>
        <w:rPr>
          <w:rFonts w:ascii="Times New Roman" w:hAnsi="Times New Roman"/>
          <w:sz w:val="20"/>
        </w:rPr>
        <w:t>Non-French residents must file a declaration for statistical purposes with the Bank of France (</w:t>
      </w:r>
      <w:r>
        <w:rPr>
          <w:rFonts w:ascii="Times New Roman" w:hAnsi="Times New Roman"/>
          <w:i/>
          <w:sz w:val="20"/>
        </w:rPr>
        <w:t>Banque de France</w:t>
      </w:r>
      <w:r>
        <w:rPr>
          <w:rFonts w:ascii="Times New Roman" w:hAnsi="Times New Roman"/>
          <w:sz w:val="20"/>
        </w:rPr>
        <w:t xml:space="preserve">)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up to twice the amount of the relevant investment. This amount may be increased fivefold if the violation is made by a legal entity. </w:t>
      </w:r>
    </w:p>
    <w:p>
      <w:pPr>
        <w:pStyle w:val="TextBody"/>
        <w:bidi w:val="0"/>
        <w:spacing w:before="360" w:after="0"/>
        <w:jc w:val="left"/>
        <w:rPr>
          <w:rFonts w:ascii="Times New Roman" w:hAnsi="Times New Roman"/>
          <w:b/>
          <w:sz w:val="20"/>
        </w:rPr>
      </w:pPr>
      <w:r>
        <w:rPr>
          <w:rFonts w:ascii="Times New Roman" w:hAnsi="Times New Roman"/>
          <w:b/>
          <w:sz w:val="20"/>
        </w:rPr>
        <w:t xml:space="preserve">Differences in Corporate Law </w:t>
      </w:r>
    </w:p>
    <w:p>
      <w:pPr>
        <w:pStyle w:val="TextBody"/>
        <w:bidi w:val="0"/>
        <w:spacing w:before="120" w:after="0"/>
        <w:jc w:val="left"/>
        <w:rPr>
          <w:rFonts w:ascii="Times New Roman" w:hAnsi="Times New Roman"/>
          <w:sz w:val="20"/>
        </w:rPr>
      </w:pPr>
      <w:r>
        <w:rPr>
          <w:rFonts w:ascii="Times New Roman" w:hAnsi="Times New Roman"/>
          <w:sz w:val="20"/>
        </w:rPr>
        <w:t xml:space="preserve">The laws applicable to French </w:t>
      </w:r>
      <w:r>
        <w:rPr>
          <w:rFonts w:ascii="Times New Roman" w:hAnsi="Times New Roman"/>
          <w:i/>
          <w:sz w:val="20"/>
        </w:rPr>
        <w:t>sociétés anonymes</w:t>
      </w:r>
      <w:r>
        <w:rPr>
          <w:rFonts w:ascii="Times New Roman" w:hAnsi="Times New Roman"/>
          <w:sz w:val="20"/>
        </w:rPr>
        <w:t xml:space="preserve"> (limited liability companies) differ from laws applicable to U.S. corporations and their shareholders. Set forth below is a summary of certain differences between the provisions of the French Commercial Code applicable to us and the Delaware General Corporation Law, the law under which many public companies in the United States are incorporated, relating to shareholders’ rights and protections. This summary is not intended to be a complete discussion of the respective rights, and it is qualified in its entirety by reference to Delaware law and French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7"/>
        <w:gridCol w:w="204"/>
        <w:gridCol w:w="4185"/>
        <w:gridCol w:w="204"/>
        <w:gridCol w:w="4185"/>
      </w:tblGrid>
      <w:tr>
        <w:trPr/>
        <w:tc>
          <w:tcPr>
            <w:tcW w:w="142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Number of</w:t>
            </w:r>
          </w:p>
          <w:p>
            <w:pPr>
              <w:pStyle w:val="TableContents"/>
              <w:bidi w:val="0"/>
              <w:spacing w:before="0" w:after="20"/>
              <w:jc w:val="left"/>
              <w:rPr>
                <w:rFonts w:ascii="Times New Roman" w:hAnsi="Times New Roman"/>
                <w:sz w:val="20"/>
              </w:rPr>
            </w:pPr>
            <w:r>
              <w:rPr>
                <w:rFonts w:ascii="Times New Roman" w:hAnsi="Times New Roman"/>
                <w:sz w:val="20"/>
              </w:rPr>
              <w:t>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 xml:space="preserve">Under French law, a </w:t>
            </w:r>
            <w:r>
              <w:rPr>
                <w:i/>
              </w:rPr>
              <w:t>société anonyme</w:t>
            </w:r>
            <w:r>
              <w:rPr/>
              <w:t xml:space="preserve"> must have at least three and may have up to 18 directors. The number of directors is fixed by or in the manner provided in the by-laws. The number of directors of each gender may not be less than 40%. In case a board of directors comprises up to eight members, the difference between the number of directors of each gender may not exceed two. Any appointment made in violation of this limit that is not remedied within six months of this appointment will be null and void and payment of directors’ compensation will be suspended.</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a corporation must have at least one director and the number of directors shall be fixed by or in the manner provided in the by-laws (unless specified in the certificate of incorporation of the corporation).</w:t>
            </w:r>
          </w:p>
        </w:tc>
      </w:tr>
      <w:tr>
        <w:trPr>
          <w:trHeight w:val="120" w:hRule="atLeast"/>
        </w:trPr>
        <w:tc>
          <w:tcPr>
            <w:tcW w:w="1427" w:type="dxa"/>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rFonts w:ascii="Times New Roman" w:hAnsi="Times New Roman"/>
                <w:sz w:val="20"/>
              </w:rPr>
            </w:pPr>
            <w:r>
              <w:rPr>
                <w:rFonts w:ascii="Times New Roman" w:hAnsi="Times New Roman"/>
                <w:sz w:val="20"/>
              </w:rPr>
              <w:t>Qualifications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a corporation may prescribe qualifications for directors under its by-laws. In addition, under French law, members of a board of directors may be legal entities, and such legal entities must designate an individual to represent them and to act on their behalf at meetings of the board of 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a corporation may prescribe qualifications for directors under its certificate of incorporation or by-laws.</w:t>
            </w:r>
          </w:p>
        </w:tc>
      </w:tr>
      <w:tr>
        <w:trPr>
          <w:trHeight w:val="120" w:hRule="atLeast"/>
        </w:trPr>
        <w:tc>
          <w:tcPr>
            <w:tcW w:w="1427" w:type="dxa"/>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Removal of</w:t>
            </w:r>
          </w:p>
          <w:p>
            <w:pPr>
              <w:pStyle w:val="TableContents"/>
              <w:bidi w:val="0"/>
              <w:spacing w:before="0" w:after="20"/>
              <w:jc w:val="left"/>
              <w:rPr>
                <w:rFonts w:ascii="Times New Roman" w:hAnsi="Times New Roman"/>
                <w:sz w:val="20"/>
              </w:rPr>
            </w:pPr>
            <w:r>
              <w:rPr>
                <w:rFonts w:ascii="Times New Roman" w:hAnsi="Times New Roman"/>
                <w:sz w:val="20"/>
              </w:rPr>
              <w:t>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directors may be removed from office, with or without cause, at any shareholders’ meeting without notice or justification, by a simple majority vote of the shareholders present and voting at the meeting in person or by proxy.</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unless otherwise provided in the certificate of incorporation, directors may be removed from office, with or without cause, by a majority stockholder vote, though in the case of a corporation whose board is classified, shareholders may effect such removal only for cause.</w:t>
            </w:r>
          </w:p>
        </w:tc>
      </w:tr>
      <w:tr>
        <w:trPr>
          <w:trHeight w:val="120" w:hRule="atLeast"/>
        </w:trPr>
        <w:tc>
          <w:tcPr>
            <w:tcW w:w="1427" w:type="dxa"/>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Vacancies on</w:t>
            </w:r>
          </w:p>
          <w:p>
            <w:pPr>
              <w:pStyle w:val="TableContents"/>
              <w:bidi w:val="0"/>
              <w:spacing w:before="0" w:after="0"/>
              <w:jc w:val="left"/>
              <w:rPr>
                <w:rFonts w:ascii="Times New Roman" w:hAnsi="Times New Roman"/>
                <w:sz w:val="20"/>
              </w:rPr>
            </w:pPr>
            <w:r>
              <w:rPr>
                <w:rFonts w:ascii="Times New Roman" w:hAnsi="Times New Roman"/>
                <w:sz w:val="20"/>
              </w:rPr>
              <w:t>the board of</w:t>
            </w:r>
          </w:p>
          <w:p>
            <w:pPr>
              <w:pStyle w:val="TableContents"/>
              <w:bidi w:val="0"/>
              <w:spacing w:before="0" w:after="20"/>
              <w:jc w:val="left"/>
              <w:rPr>
                <w:rFonts w:ascii="Times New Roman" w:hAnsi="Times New Roman"/>
                <w:sz w:val="20"/>
              </w:rPr>
            </w:pPr>
            <w:r>
              <w:rPr>
                <w:rFonts w:ascii="Times New Roman" w:hAnsi="Times New Roman"/>
                <w:sz w:val="20"/>
              </w:rPr>
              <w:t>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vacancies on the board of directors resulting from death or a resignation, provided that at least three directors remain in office, may be filled by a majority of the remaining directors pending ratification by the shareholders by the next shareholders’ meeting.</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vacancies on a corporation’s board of directors, including those caused by an increase in the number of directors, unless otherwise provided in the certificate of incorporation, may be filled by the board of directors or other governing body.</w:t>
            </w:r>
          </w:p>
        </w:tc>
      </w:tr>
      <w:tr>
        <w:trPr>
          <w:trHeight w:val="120" w:hRule="atLeast"/>
        </w:trPr>
        <w:tc>
          <w:tcPr>
            <w:tcW w:w="1427" w:type="dxa"/>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Annual</w:t>
            </w:r>
          </w:p>
          <w:p>
            <w:pPr>
              <w:pStyle w:val="TableContents"/>
              <w:bidi w:val="0"/>
              <w:spacing w:before="0" w:after="0"/>
              <w:jc w:val="left"/>
              <w:rPr>
                <w:rFonts w:ascii="Times New Roman" w:hAnsi="Times New Roman"/>
                <w:sz w:val="20"/>
              </w:rPr>
            </w:pPr>
            <w:r>
              <w:rPr>
                <w:rFonts w:ascii="Times New Roman" w:hAnsi="Times New Roman"/>
                <w:sz w:val="20"/>
              </w:rPr>
              <w:t>Shareholders’</w:t>
            </w:r>
          </w:p>
          <w:p>
            <w:pPr>
              <w:pStyle w:val="TableContents"/>
              <w:bidi w:val="0"/>
              <w:spacing w:before="0" w:after="20"/>
              <w:jc w:val="left"/>
              <w:rPr>
                <w:rFonts w:ascii="Times New Roman" w:hAnsi="Times New Roman"/>
                <w:sz w:val="20"/>
              </w:rPr>
            </w:pPr>
            <w:r>
              <w:rPr>
                <w:rFonts w:ascii="Times New Roman" w:hAnsi="Times New Roman"/>
                <w:sz w:val="20"/>
              </w:rPr>
              <w:t>Meeting</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the annual shareholders’ meeting shall be held at such place, on such date and at such time as decided each year by the board of directors and notified to the shareholders in the convening notice of the annual meeting, within six months after the close of the relevant fiscal year unless such period is extended by court order.</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the annual meeting of stockholders shall be held at such place, on such date and at such time as may be designated from time to time by the board of directors or as provided in the certificate of incorporation or by the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3"/>
        <w:gridCol w:w="4185"/>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w:t>
            </w:r>
          </w:p>
          <w:p>
            <w:pPr>
              <w:pStyle w:val="TableContents"/>
              <w:bidi w:val="0"/>
              <w:spacing w:before="0" w:after="20"/>
              <w:jc w:val="left"/>
              <w:rPr>
                <w:rFonts w:ascii="Times New Roman" w:hAnsi="Times New Roman"/>
                <w:sz w:val="20"/>
              </w:rPr>
            </w:pPr>
            <w:r>
              <w:rPr>
                <w:rFonts w:ascii="Times New Roman" w:hAnsi="Times New Roman"/>
                <w:sz w:val="20"/>
              </w:rPr>
              <w:t>Meeting</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shareholders’ meetings may be called by the board of directors or, failing that, by the statutory auditors, or by a court appointed agent or liquidator in certain circumstances, or by the majority shareholder in capital or voting rights following a public tender offer or exchange offer or the transfer of a controlling block on the date decided by the board of directors or the relevant person.</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special meetings of the stockholders may be called by the board of directors or by such person or persons as may be authorized by the certificate of incorporation or by the by-laws.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Notice of</w:t>
            </w:r>
          </w:p>
          <w:p>
            <w:pPr>
              <w:pStyle w:val="TableContents"/>
              <w:bidi w:val="0"/>
              <w:spacing w:before="0" w:after="0"/>
              <w:jc w:val="left"/>
              <w:rPr>
                <w:rFonts w:ascii="Times New Roman" w:hAnsi="Times New Roman"/>
                <w:sz w:val="20"/>
              </w:rPr>
            </w:pPr>
            <w:r>
              <w:rPr>
                <w:rFonts w:ascii="Times New Roman" w:hAnsi="Times New Roman"/>
                <w:sz w:val="20"/>
              </w:rPr>
              <w:t>Shareholders’</w:t>
            </w:r>
          </w:p>
          <w:p>
            <w:pPr>
              <w:pStyle w:val="TableContents"/>
              <w:bidi w:val="0"/>
              <w:spacing w:before="0" w:after="20"/>
              <w:jc w:val="left"/>
              <w:rPr>
                <w:rFonts w:ascii="Times New Roman" w:hAnsi="Times New Roman"/>
                <w:sz w:val="20"/>
              </w:rPr>
            </w:pPr>
            <w:r>
              <w:rPr>
                <w:rFonts w:ascii="Times New Roman" w:hAnsi="Times New Roman"/>
                <w:sz w:val="20"/>
              </w:rPr>
              <w:t>Meetings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A meeting notice (</w:t>
            </w:r>
            <w:r>
              <w:rPr>
                <w:i/>
              </w:rPr>
              <w:t>avis de réunion</w:t>
            </w:r>
            <w:r>
              <w:rPr/>
              <w:t xml:space="preserve">) is published in the </w:t>
            </w:r>
            <w:r>
              <w:rPr>
                <w:i/>
              </w:rPr>
              <w:t>Bulletin des annonces légales obligatoires</w:t>
            </w:r>
            <w:r>
              <w:rPr/>
              <w:t xml:space="preserve"> (“BALO”) at least 35 days prior to a meeting and made available on the website of the company at least 21 days prior to the meeting. Additionally, a convening notice (</w:t>
            </w:r>
            <w:r>
              <w:rPr>
                <w:i/>
              </w:rPr>
              <w:t>avis de convocation</w:t>
            </w:r>
            <w:r>
              <w:rPr/>
              <w:t>) is published at least 15 days prior to the date of the meeting, in a legal announcement bulletin of the registered office department and in the BALO. Further, the holders of registered shares (</w:t>
            </w:r>
            <w:r>
              <w:rPr>
                <w:i/>
              </w:rPr>
              <w:t>actions nominatives</w:t>
            </w:r>
            <w:r>
              <w:rPr/>
              <w:t>) for at least a month at the time of the convening notice shall be summoned individually, by regular letter (or by registered letter if they request it and include an advance of expenses) sent to their last known address. This notice may also be transmitted by electronic means of telecommunication, in lieu of any such mailing, in accordance with legal and regulatory requirements.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the purpose or purposes of the meeting.</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The meeting notice must also indicate the conditions under which the shareholders may vote by correspondence, the places and conditions in which they can obtain voting forms, and as the case may be, the e-mail address to which they may send written questions.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Proxy</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Each shareholder has the right to attend the meetings and participate in the discussions (i) personally, (ii) by granting proxy to any individual or legal entity of his choosing, (iii) by sending a proxy to the company without indication of the mandate (in which case such proxy shall be cast in favor of the resolutions supported by the board of directors), (iv) by voting by correspondence or (v) by videoconference or another means of telecommunication allowing identification in accordance with applicable laws. The</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at any meeting of stockholders, a stockholder may designate another person to act for such stockholder by proxy, but no such proxy shall be voted or acted upon after three years from its date, unless the proxy provides for a longer period.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3"/>
        <w:gridCol w:w="4185"/>
        <w:gridCol w:w="203"/>
        <w:gridCol w:w="4186"/>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3" w:type="dxa"/>
            <w:tcBorders/>
            <w:vAlign w:val="bottom"/>
          </w:tcPr>
          <w:p>
            <w:pPr>
              <w:pStyle w:val="TableContents"/>
              <w:bidi w:val="0"/>
              <w:spacing w:before="0" w:after="283"/>
              <w:jc w:val="left"/>
              <w:rPr/>
            </w:pPr>
            <w:r>
              <w:rPr/>
              <w:t>  </w:t>
            </w:r>
          </w:p>
        </w:tc>
        <w:tc>
          <w:tcPr>
            <w:tcW w:w="41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proxy is only valid for a single meeting or for successive meetings convened with the same agenda. It can also be granted for two meetings, one ordinary the other extraordinary, held on the same day or within a period of 15 days.</w:t>
            </w:r>
          </w:p>
        </w:tc>
        <w:tc>
          <w:tcPr>
            <w:tcW w:w="203"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w:t>
            </w:r>
          </w:p>
          <w:p>
            <w:pPr>
              <w:pStyle w:val="TableContents"/>
              <w:bidi w:val="0"/>
              <w:spacing w:before="0" w:after="0"/>
              <w:jc w:val="left"/>
              <w:rPr>
                <w:rFonts w:ascii="Times New Roman" w:hAnsi="Times New Roman"/>
                <w:sz w:val="20"/>
              </w:rPr>
            </w:pPr>
            <w:r>
              <w:rPr>
                <w:rFonts w:ascii="Times New Roman" w:hAnsi="Times New Roman"/>
                <w:sz w:val="20"/>
              </w:rPr>
              <w:t>Action by</w:t>
            </w:r>
          </w:p>
          <w:p>
            <w:pPr>
              <w:pStyle w:val="TableContents"/>
              <w:bidi w:val="0"/>
              <w:spacing w:before="0" w:after="0"/>
              <w:jc w:val="left"/>
              <w:rPr>
                <w:rFonts w:ascii="Times New Roman" w:hAnsi="Times New Roman"/>
                <w:sz w:val="20"/>
              </w:rPr>
            </w:pPr>
            <w:r>
              <w:rPr>
                <w:rFonts w:ascii="Times New Roman" w:hAnsi="Times New Roman"/>
                <w:sz w:val="20"/>
              </w:rPr>
              <w:t>Written</w:t>
            </w:r>
          </w:p>
          <w:p>
            <w:pPr>
              <w:pStyle w:val="TableContents"/>
              <w:bidi w:val="0"/>
              <w:spacing w:before="0" w:after="20"/>
              <w:jc w:val="left"/>
              <w:rPr>
                <w:rFonts w:ascii="Times New Roman" w:hAnsi="Times New Roman"/>
                <w:sz w:val="20"/>
              </w:rPr>
            </w:pPr>
            <w:r>
              <w:rPr>
                <w:rFonts w:ascii="Times New Roman" w:hAnsi="Times New Roman"/>
                <w:sz w:val="20"/>
              </w:rPr>
              <w:t>Consent</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 xml:space="preserve">Under French law, shareholders’ action by written consent is not permitted in a </w:t>
            </w:r>
            <w:r>
              <w:rPr>
                <w:i/>
              </w:rPr>
              <w:t>société anonyme.</w:t>
            </w:r>
          </w:p>
        </w:tc>
        <w:tc>
          <w:tcPr>
            <w:tcW w:w="203"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pPr>
            <w:r>
              <w:rPr/>
              <w:t>Under Delaware law, a corporation’s certificate of incorporation (i) may permit stockholders to act by written consent if such action is signed by all stockholders, (ii) may permit stockholders to act by written consent signed by stockholders having the minimum number of votes that would be necessary to take such action at a meeting or (iii) may prohibit actions by written consent.</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Preferential</w:t>
            </w:r>
          </w:p>
          <w:p>
            <w:pPr>
              <w:pStyle w:val="TableContents"/>
              <w:bidi w:val="0"/>
              <w:spacing w:before="0" w:after="0"/>
              <w:jc w:val="left"/>
              <w:rPr>
                <w:rFonts w:ascii="Times New Roman" w:hAnsi="Times New Roman"/>
                <w:sz w:val="20"/>
              </w:rPr>
            </w:pPr>
            <w:r>
              <w:rPr>
                <w:rFonts w:ascii="Times New Roman" w:hAnsi="Times New Roman"/>
                <w:sz w:val="20"/>
              </w:rPr>
              <w:t>Subscription</w:t>
            </w:r>
          </w:p>
          <w:p>
            <w:pPr>
              <w:pStyle w:val="TableContents"/>
              <w:bidi w:val="0"/>
              <w:spacing w:before="0" w:after="20"/>
              <w:jc w:val="left"/>
              <w:rPr>
                <w:rFonts w:ascii="Times New Roman" w:hAnsi="Times New Roman"/>
                <w:sz w:val="20"/>
              </w:rPr>
            </w:pPr>
            <w:r>
              <w:rPr>
                <w:rFonts w:ascii="Times New Roman" w:hAnsi="Times New Roman"/>
                <w:sz w:val="20"/>
              </w:rPr>
              <w:t>Rights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in case of issuance of additional shares or other securities for cash or set-off against cash debts, the existing shareholders have preferential subscription rights to these securities on a pro rata basis unless such rights are waived by a two-thirds majority of the votes held by the shareholders present at the extraordinary meeting deciding or authorizing the capital increase, voting in person or represented by proxy or voting by mail. In case such rights are not waived by the extraordinary general meeting, each shareholder may individually either exercise, assign or not exercise its preferential subscription rights.</w:t>
            </w:r>
          </w:p>
        </w:tc>
        <w:tc>
          <w:tcPr>
            <w:tcW w:w="203"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pPr>
            <w:r>
              <w:rPr/>
              <w:t>Under Delaware law, unless otherwise provided in a corporation’s certificate of incorporation, a stockholder does not, by operation of law, possess preemptive rights to subscribe to additional issuances of the corporation’s stock.</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Sources of</w:t>
            </w:r>
          </w:p>
          <w:p>
            <w:pPr>
              <w:pStyle w:val="TableContents"/>
              <w:bidi w:val="0"/>
              <w:spacing w:before="0" w:after="20"/>
              <w:jc w:val="left"/>
              <w:rPr>
                <w:rFonts w:ascii="Times New Roman" w:hAnsi="Times New Roman"/>
                <w:sz w:val="20"/>
              </w:rPr>
            </w:pPr>
            <w:r>
              <w:rPr>
                <w:rFonts w:ascii="Times New Roman" w:hAnsi="Times New Roman"/>
                <w:sz w:val="20"/>
              </w:rPr>
              <w:t>Dividends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French law, dividends may only be paid by a French </w:t>
            </w:r>
            <w:r>
              <w:rPr>
                <w:rFonts w:ascii="Times New Roman" w:hAnsi="Times New Roman"/>
                <w:i/>
                <w:sz w:val="20"/>
              </w:rPr>
              <w:t>société anonyme</w:t>
            </w:r>
            <w:r>
              <w:rPr>
                <w:rFonts w:ascii="Times New Roman" w:hAnsi="Times New Roman"/>
                <w:sz w:val="20"/>
              </w:rPr>
              <w:t xml:space="preserve"> out of “distributable profits,” plus any distributable reserves and “distributable premium” that the shareholders decide to make available for distribution, other than those reserves that are specifically required by-law. “Distributable profits” consist of the unconsolidated net profits of the relevant corporation for each fiscal year, as increased or reduced by any profit or loss carried forward from prior years, minus the amounts to be set aside to the statutory reserve (at least 5% of the profit until the reserve has reached 10% of the amount of the share capital) and to the reserve set forth in the company’s by-laws (if any).</w:t>
            </w:r>
          </w:p>
          <w:p>
            <w:pPr>
              <w:pStyle w:val="TableContents"/>
              <w:bidi w:val="0"/>
              <w:spacing w:before="0" w:after="0"/>
              <w:jc w:val="left"/>
              <w:rPr/>
            </w:pPr>
            <w:r>
              <w:rPr/>
              <w:t> </w:t>
            </w:r>
          </w:p>
          <w:p>
            <w:pPr>
              <w:pStyle w:val="TableContents"/>
              <w:bidi w:val="0"/>
              <w:spacing w:before="0" w:after="20"/>
              <w:jc w:val="left"/>
              <w:rPr/>
            </w:pPr>
            <w:r>
              <w:rPr/>
              <w:t>“</w:t>
            </w:r>
            <w:r>
              <w:rPr>
                <w:rFonts w:ascii="Times New Roman" w:hAnsi="Times New Roman"/>
                <w:sz w:val="20"/>
              </w:rPr>
              <w:t>Distributable premium” refers to the contribution paid by the shareholders in</w:t>
            </w:r>
          </w:p>
        </w:tc>
        <w:tc>
          <w:tcPr>
            <w:tcW w:w="203"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pPr>
            <w:r>
              <w:rPr/>
              <w:t>Under Delaware law, dividends may be paid by a Delaware corporation either out of (i) surplus, as defined in and computed in accordance with Delaware law, or (ii) in case there is no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9"/>
        <w:gridCol w:w="203"/>
        <w:gridCol w:w="4185"/>
        <w:gridCol w:w="203"/>
        <w:gridCol w:w="4185"/>
      </w:tblGrid>
      <w:tr>
        <w:trPr/>
        <w:tc>
          <w:tcPr>
            <w:tcW w:w="142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9"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addition to the par value of their shares for their subscription that the shareholders decide to make available for distribution.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in the case of a share capital reduction, no distribution can be made to the shareholders when the net equity is, or would become, lower than the amount of the share capital plus the reserves which cannot be distributed in accordance with the law or the by-laws.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120" w:hRule="atLeast"/>
        </w:trPr>
        <w:tc>
          <w:tcPr>
            <w:tcW w:w="1429"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Repurchase of</w:t>
            </w:r>
          </w:p>
          <w:p>
            <w:pPr>
              <w:pStyle w:val="TableContents"/>
              <w:bidi w:val="0"/>
              <w:spacing w:before="0" w:after="20"/>
              <w:jc w:val="left"/>
              <w:rPr>
                <w:rFonts w:ascii="Times New Roman" w:hAnsi="Times New Roman"/>
                <w:sz w:val="20"/>
              </w:rPr>
            </w:pPr>
            <w:r>
              <w:rPr>
                <w:rFonts w:ascii="Times New Roman" w:hAnsi="Times New Roman"/>
                <w:sz w:val="20"/>
              </w:rPr>
              <w:t>Shares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French law, a corporation may acquire its own shares. Such acquisition may be challenged on the ground of market abuse regulations. However, MAR provides for safe harbor exemptions when the acquisition is made for the following purposes only: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decrease its share capital, provided that such decision is not driven by losses and that a purchase offer is made to all shareholders on a pro rata basis, with the approval of the shareholders at the extraordinary general meeting deciding the capital reduction; or to meet obligations arising from debt securities, that are exchangeable into equity instruments.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with a view to distributing within one year of their repurchase the relevant shares to employees or managers under a profit-sharing, free share or share option plan;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under a buy-back program to be authorized by the shareholders in accordance with the provisions of Article L. 22-10-62 of the French Commercial Code and in accordance with the general regulations of the AMF.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All other purposes, and especially share buy-backs for external growth operations by virtue of Article L. 22-10-62 of the French Commercial Code, while not forbidden, must be pursued in strict compliance of market manipulations and insider dealing rules.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a corporation may generally redeem or repurchase shares of its stock unless the capital of the corporation is impaired or such redemption or repurchase would impair the capital of the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4"/>
        <w:gridCol w:w="4184"/>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No such repurchase of shares may result in the company holding, directly or through a person acting on its behalf, more than 10% of its issued share capital.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MAR and in accordance with the General Regulations, a corporation shall report to the competent authority of the trading venue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Liability of</w:t>
            </w:r>
          </w:p>
          <w:p>
            <w:pPr>
              <w:pStyle w:val="TableContents"/>
              <w:bidi w:val="0"/>
              <w:spacing w:before="0" w:after="0"/>
              <w:jc w:val="left"/>
              <w:rPr>
                <w:rFonts w:ascii="Times New Roman" w:hAnsi="Times New Roman"/>
                <w:sz w:val="20"/>
              </w:rPr>
            </w:pPr>
            <w:r>
              <w:rPr>
                <w:rFonts w:ascii="Times New Roman" w:hAnsi="Times New Roman"/>
                <w:sz w:val="20"/>
              </w:rPr>
              <w:t>Directors and</w:t>
            </w:r>
          </w:p>
          <w:p>
            <w:pPr>
              <w:pStyle w:val="TableContents"/>
              <w:bidi w:val="0"/>
              <w:spacing w:before="0" w:after="20"/>
              <w:jc w:val="left"/>
              <w:rPr>
                <w:rFonts w:ascii="Times New Roman" w:hAnsi="Times New Roman"/>
                <w:sz w:val="20"/>
              </w:rPr>
            </w:pPr>
            <w:r>
              <w:rPr>
                <w:rFonts w:ascii="Times New Roman" w:hAnsi="Times New Roman"/>
                <w:sz w:val="20"/>
              </w:rPr>
              <w:t>Officers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Under French law, the by-laws may not include any provisions limiting the liability of 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corporation’s certificate of incorporation may include a provision eliminating or limiting the personal liability of a director or officer to the corporation and its stockholders for damages arising from a breach of fiduciary duty as a director or officer. However, no provision can limit the liability of a director or officer for: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breach of the director’s duty of loyalty to the corporation or its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acts or omissions not in good faith or that involve intentional misconduct or a knowing violation of law;</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intentional or negligent payment of unlawful dividends or stock purchases or redemptions;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director approving and transaction from which the director or officer derives an improper personal benefit;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officer in any action by or in the right of the corporation.</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Voting Rights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French law provides that, unless otherwise provided in the by-laws, each shareholder is entitled to one vote for each share of share capital held by such shareholder. Further, pursuant to the introduction of Law No. 2014-384 dated March 29, 2014 (</w:t>
            </w:r>
            <w:r>
              <w:rPr>
                <w:i/>
              </w:rPr>
              <w:t>Loi</w:t>
            </w:r>
            <w:r>
              <w:rPr/>
              <w:t> </w:t>
            </w:r>
            <w:r>
              <w:rPr>
                <w:i/>
              </w:rPr>
              <w:t>Florange</w:t>
            </w:r>
            <w:r>
              <w:rPr/>
              <w:t>), shares registered for more</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Delaware law provides that, unless otherwise provided in the certificate of incorporation, each stockholder is entitled to one vote for each share of capital stock held by such stockholder.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4"/>
        <w:gridCol w:w="4184"/>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than two years in the name of the same shareholder are automatically be granted double voting rights from 2016, unless the by-laws expressly reject this measure.</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w:t>
            </w:r>
          </w:p>
          <w:p>
            <w:pPr>
              <w:pStyle w:val="TableContents"/>
              <w:bidi w:val="0"/>
              <w:spacing w:before="0" w:after="0"/>
              <w:jc w:val="left"/>
              <w:rPr>
                <w:rFonts w:ascii="Times New Roman" w:hAnsi="Times New Roman"/>
                <w:sz w:val="20"/>
              </w:rPr>
            </w:pPr>
            <w:r>
              <w:rPr>
                <w:rFonts w:ascii="Times New Roman" w:hAnsi="Times New Roman"/>
                <w:sz w:val="20"/>
              </w:rPr>
              <w:t>Vote on Certain</w:t>
            </w:r>
          </w:p>
          <w:p>
            <w:pPr>
              <w:pStyle w:val="TableContents"/>
              <w:bidi w:val="0"/>
              <w:spacing w:before="0" w:after="20"/>
              <w:jc w:val="left"/>
              <w:rPr>
                <w:rFonts w:ascii="Times New Roman" w:hAnsi="Times New Roman"/>
                <w:sz w:val="20"/>
              </w:rPr>
            </w:pPr>
            <w:r>
              <w:rPr>
                <w:rFonts w:ascii="Times New Roman" w:hAnsi="Times New Roman"/>
                <w:sz w:val="20"/>
              </w:rPr>
              <w:t>Transactions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French law, completion of a merger, dissolution or sale or exchange of all or substantially all of a corporation’s assets (</w:t>
            </w:r>
            <w:r>
              <w:rPr>
                <w:rFonts w:ascii="Times New Roman" w:hAnsi="Times New Roman"/>
                <w:i/>
                <w:sz w:val="20"/>
              </w:rPr>
              <w:t>apport partiel d’actifs</w:t>
            </w:r>
            <w:r>
              <w:rPr>
                <w:rFonts w:ascii="Times New Roman" w:hAnsi="Times New Roman"/>
                <w:sz w:val="20"/>
              </w:rPr>
              <w:t>) requires: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approval of the board of directors;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approval by a two-thirds majority of the votes held by the shareholders present, represented by proxy or voting by mail at the relevant meeting or, in the case of a merger with a non-EU company, approval of all shareholders of the corporation.</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Delaware law, unless the certificate of incorporation provides for the vote of a larger portion of shares, completion of a merger, consolidation, sale, lease or exchange of all or substantially all of a corporation’s assets or dissolution requires: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approval of the board of directors;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approval by the vote of the holders of a majority of the outstanding stock or, if the certificate of incorporation provides for more or less than one vote per share, a majority of the votes of the outstanding stock of a corporation entitled to vote on the matter.</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Dissent or</w:t>
            </w:r>
          </w:p>
          <w:p>
            <w:pPr>
              <w:pStyle w:val="TableContents"/>
              <w:bidi w:val="0"/>
              <w:spacing w:before="0" w:after="0"/>
              <w:jc w:val="left"/>
              <w:rPr>
                <w:rFonts w:ascii="Times New Roman" w:hAnsi="Times New Roman"/>
                <w:sz w:val="20"/>
              </w:rPr>
            </w:pPr>
            <w:r>
              <w:rPr>
                <w:rFonts w:ascii="Times New Roman" w:hAnsi="Times New Roman"/>
                <w:sz w:val="20"/>
              </w:rPr>
              <w:t>Dissenters</w:t>
            </w:r>
          </w:p>
          <w:p>
            <w:pPr>
              <w:pStyle w:val="TableContents"/>
              <w:bidi w:val="0"/>
              <w:spacing w:before="0" w:after="0"/>
              <w:jc w:val="left"/>
              <w:rPr>
                <w:rFonts w:ascii="Times New Roman" w:hAnsi="Times New Roman"/>
                <w:sz w:val="20"/>
              </w:rPr>
            </w:pPr>
            <w:r>
              <w:rPr>
                <w:rFonts w:ascii="Times New Roman" w:hAnsi="Times New Roman"/>
                <w:sz w:val="20"/>
              </w:rPr>
              <w:t>Appraisal</w:t>
            </w:r>
          </w:p>
          <w:p>
            <w:pPr>
              <w:pStyle w:val="TableContents"/>
              <w:bidi w:val="0"/>
              <w:spacing w:before="0" w:after="20"/>
              <w:jc w:val="left"/>
              <w:rPr>
                <w:rFonts w:ascii="Times New Roman" w:hAnsi="Times New Roman"/>
                <w:sz w:val="20"/>
              </w:rPr>
            </w:pPr>
            <w:r>
              <w:rPr>
                <w:rFonts w:ascii="Times New Roman" w:hAnsi="Times New Roman"/>
                <w:sz w:val="20"/>
              </w:rPr>
              <w:t>Rights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French law does not provide for any such right but provides that a merger is subject to shareholders’ approval by a two-thirds majority vote, as stated above.</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 assets for shares.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shares of stock of the surviving corporation;</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shares of another corporation that are either listed on a national securities exchange or held of record by more than 2,000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cash in lieu of fractional shares of the stock described in the two preceding bullet points;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combination of the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4"/>
        <w:gridCol w:w="4184"/>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appraisal rights are not available to holders of shares of the surviving corporation in specified mergers that do not require the vote of the stockholders of the surviving corporation.</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Standard of</w:t>
            </w:r>
          </w:p>
          <w:p>
            <w:pPr>
              <w:pStyle w:val="TableContents"/>
              <w:bidi w:val="0"/>
              <w:spacing w:before="0" w:after="0"/>
              <w:jc w:val="left"/>
              <w:rPr>
                <w:rFonts w:ascii="Times New Roman" w:hAnsi="Times New Roman"/>
                <w:sz w:val="20"/>
              </w:rPr>
            </w:pPr>
            <w:r>
              <w:rPr>
                <w:rFonts w:ascii="Times New Roman" w:hAnsi="Times New Roman"/>
                <w:sz w:val="20"/>
              </w:rPr>
              <w:t>Conduct for</w:t>
            </w:r>
          </w:p>
          <w:p>
            <w:pPr>
              <w:pStyle w:val="TableContents"/>
              <w:bidi w:val="0"/>
              <w:spacing w:before="0" w:after="20"/>
              <w:jc w:val="left"/>
              <w:rPr>
                <w:rFonts w:ascii="Times New Roman" w:hAnsi="Times New Roman"/>
                <w:sz w:val="20"/>
              </w:rPr>
            </w:pPr>
            <w:r>
              <w:rPr>
                <w:rFonts w:ascii="Times New Roman" w:hAnsi="Times New Roman"/>
                <w:sz w:val="20"/>
              </w:rPr>
              <w:t>Directors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French law does not contain specific provisions setting forth the standard of conduct of a director. However, directors have a duty to act without self-interest, on a well-informed basis, and not to take any decision against a corporation’s corporate interest (</w:t>
            </w:r>
            <w:r>
              <w:rPr>
                <w:i/>
              </w:rPr>
              <w:t>intérêt social</w:t>
            </w:r>
            <w:r>
              <w:rPr/>
              <w:t>).</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w:t>
            </w:r>
          </w:p>
          <w:p>
            <w:pPr>
              <w:pStyle w:val="TableContents"/>
              <w:bidi w:val="0"/>
              <w:spacing w:before="0" w:after="20"/>
              <w:jc w:val="left"/>
              <w:rPr>
                <w:rFonts w:ascii="Times New Roman" w:hAnsi="Times New Roman"/>
                <w:sz w:val="20"/>
              </w:rPr>
            </w:pPr>
            <w:r>
              <w:rPr>
                <w:rFonts w:ascii="Times New Roman" w:hAnsi="Times New Roman"/>
                <w:sz w:val="20"/>
              </w:rPr>
              <w:t>Suits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0"/>
              <w:jc w:val="left"/>
              <w:rPr>
                <w:rFonts w:ascii="Times New Roman" w:hAnsi="Times New Roman"/>
                <w:sz w:val="20"/>
              </w:rPr>
            </w:pPr>
            <w:r>
              <w:rPr>
                <w:rFonts w:ascii="Times New Roman" w:hAnsi="Times New Roman"/>
                <w:sz w:val="20"/>
              </w:rPr>
              <w:t>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are borne by the relevant shareholder or the group of shareholders.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plaintiff must remain a shareholder through the duration of the legal action.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There is no other case where shareholders may initiate a derivative action to enforce a right of a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shareholder may alternatively or cumulatively bring individual legal action against the directors, provided he has suffered distinct damages from those suffered by the corporation. In this case, any damages awarded by the court are paid to the relevant shareholder.</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stockholder may initiate a derivative action to enforce a right of a corporation if the corporation fails to enforce the right itself. The complaint must: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state that the plaintiff was a stockholder at the time of the transaction of which the plaintiff complains or that the plaintiff’s shares thereafter devolved on the plaintiff by operation of law;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allege with particularity the efforts made by the plaintiff to obtain the action the plaintiff desires from the directors and the reasons for the plaintiff’s failure to obtain the action;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state the reasons for not making the effort.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Additionally, the plaintiff must remain a stockholder through the duration of the derivative suit. The action will not be dismissed or compromised without the approval of the Delaware Court of Chancery.</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Amendment of</w:t>
            </w:r>
          </w:p>
          <w:p>
            <w:pPr>
              <w:pStyle w:val="TableContents"/>
              <w:bidi w:val="0"/>
              <w:spacing w:before="0" w:after="0"/>
              <w:jc w:val="left"/>
              <w:rPr>
                <w:rFonts w:ascii="Times New Roman" w:hAnsi="Times New Roman"/>
                <w:sz w:val="20"/>
              </w:rPr>
            </w:pPr>
            <w:r>
              <w:rPr>
                <w:rFonts w:ascii="Times New Roman" w:hAnsi="Times New Roman"/>
                <w:sz w:val="20"/>
              </w:rPr>
              <w:t>Certificate of</w:t>
            </w:r>
          </w:p>
          <w:p>
            <w:pPr>
              <w:pStyle w:val="TableContents"/>
              <w:bidi w:val="0"/>
              <w:spacing w:before="0" w:after="20"/>
              <w:jc w:val="left"/>
              <w:rPr>
                <w:rFonts w:ascii="Times New Roman" w:hAnsi="Times New Roman"/>
                <w:sz w:val="20"/>
              </w:rPr>
            </w:pPr>
            <w:r>
              <w:rPr>
                <w:rFonts w:ascii="Times New Roman" w:hAnsi="Times New Roman"/>
                <w:sz w:val="20"/>
              </w:rPr>
              <w:t>Incorporation</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0"/>
              <w:jc w:val="left"/>
              <w:rPr>
                <w:rFonts w:ascii="Times New Roman" w:hAnsi="Times New Roman"/>
                <w:sz w:val="20"/>
              </w:rPr>
            </w:pPr>
            <w:r>
              <w:rPr>
                <w:rFonts w:ascii="Times New Roman" w:hAnsi="Times New Roman"/>
                <w:sz w:val="20"/>
              </w:rPr>
              <w:t>Unlike companies incorporated under Delaware law, the organizational documents, which comprise both a certificate of incorporation and by-laws, companies incorporated under French law only have by-laws (</w:t>
            </w:r>
            <w:r>
              <w:rPr>
                <w:rFonts w:ascii="Times New Roman" w:hAnsi="Times New Roman"/>
                <w:i/>
                <w:sz w:val="20"/>
              </w:rPr>
              <w:t>statuts</w:t>
            </w:r>
            <w:r>
              <w:rPr>
                <w:rFonts w:ascii="Times New Roman" w:hAnsi="Times New Roman"/>
                <w:sz w:val="20"/>
              </w:rPr>
              <w:t>) as organizational documents.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indicated in the paragraph below, only the extraordinary shareholders’ meeting is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generally a corporation may amend its certificate of incorporation if:</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its board of directors has adopted a resolution setting forth the amendment proposed and declared its advisability;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amendment is adopted by the affirmative votes of a majority (or greater percentage as may be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3"/>
        <w:gridCol w:w="4185"/>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authorized under French law to adopt or amend the by-laws.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Amendment of</w:t>
            </w:r>
          </w:p>
          <w:p>
            <w:pPr>
              <w:pStyle w:val="TableContents"/>
              <w:bidi w:val="0"/>
              <w:spacing w:before="0" w:after="20"/>
              <w:jc w:val="left"/>
              <w:rPr>
                <w:rFonts w:ascii="Times New Roman" w:hAnsi="Times New Roman"/>
                <w:sz w:val="20"/>
              </w:rPr>
            </w:pPr>
            <w:r>
              <w:rPr>
                <w:rFonts w:ascii="Times New Roman" w:hAnsi="Times New Roman"/>
                <w:sz w:val="20"/>
              </w:rPr>
              <w:t>by-laws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only the extraordinary shareholders’ meeting is authorized to adopt or amend the by-laws (two-thirds majority). The extraordinary shareholders’ meeting may authorize the board of directors to amend the by-laws to comply with legal provisions, subject to the ratification of such amendments by the next extraordinary shareholders’ meeting. The board of directors is authorized to amend the by-laws as a result of a decision to relocate the company’s registered office in France, subject to ratification by the next ordinary shareholders’ meeting.</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the stockholders entitled to vote have the power to adopt, amend or repeal by-laws. A corporation may also confer, in its certificate of incorporation, that power upon the board of directors.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Legal Name; Formation; Registered Office </w:t>
      </w:r>
    </w:p>
    <w:p>
      <w:pPr>
        <w:pStyle w:val="TextBody"/>
        <w:bidi w:val="0"/>
        <w:spacing w:before="120" w:after="0"/>
        <w:jc w:val="left"/>
        <w:rPr>
          <w:rFonts w:ascii="Times New Roman" w:hAnsi="Times New Roman"/>
          <w:sz w:val="20"/>
        </w:rPr>
      </w:pPr>
      <w:r>
        <w:rPr>
          <w:rFonts w:ascii="Times New Roman" w:hAnsi="Times New Roman"/>
          <w:sz w:val="20"/>
        </w:rPr>
        <w:t xml:space="preserve">Our legal name and commercial name is Abivax SA. We were incorporated as a </w:t>
      </w:r>
      <w:r>
        <w:rPr>
          <w:rFonts w:ascii="Times New Roman" w:hAnsi="Times New Roman"/>
          <w:i/>
          <w:sz w:val="20"/>
        </w:rPr>
        <w:t>société anonyme</w:t>
      </w:r>
      <w:r>
        <w:rPr>
          <w:rFonts w:ascii="Times New Roman" w:hAnsi="Times New Roman"/>
          <w:sz w:val="20"/>
        </w:rPr>
        <w:t xml:space="preserve"> (limited liability company) on December 4, 2013. Our headquarters are located at 7-11 boulevard Haussmann, 75009 Paris, France. We were registered at the Paris Trade and Company Register on December 27, 2013 for a period of 99 years until December 22, 2112, subject to extension or early dissolution, under the number 799 363 718. Our telephone number at our principal executive offices is +33 (0) 1 53 83 09 63. Our website address is www.abivax.com. The reference to our website is an inactive textual reference only and information contained in, or that can be assessed through, our website is not part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ADSs are listed on the Nasdaq Global Market under the symbol “ABVX” and our ordinary shares are listed on Euronext Paris under the symbol “ABVX.”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for our ADSs is Citibank, N.A. Uptevia is our transfer agent and registrar for our ordinary shares and currently maintains our share register for our ordinary shares.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the ADSs. Holders of our ADSs have a right to receive the ordinary shares underlying their ADSs. For discussion on our ADSs and ADS holder rights, see “Description of American Depositary Shares”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86113_9"/>
      <w:bookmarkEnd w:id="27"/>
      <w:r>
        <w:rPr>
          <w:rFonts w:ascii="Times New Roman" w:hAnsi="Times New Roman"/>
          <w:b/>
          <w:sz w:val="20"/>
        </w:rPr>
        <w:t xml:space="preserve">LIMITATIONS AFFECTING SHAREHOLDERS OF A FRENCH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Ownership of ADSs by Non-French Residents </w:t>
      </w:r>
    </w:p>
    <w:p>
      <w:pPr>
        <w:pStyle w:val="TextBody"/>
        <w:bidi w:val="0"/>
        <w:spacing w:before="120" w:after="0"/>
        <w:jc w:val="left"/>
        <w:rPr>
          <w:rFonts w:ascii="Times New Roman" w:hAnsi="Times New Roman"/>
          <w:sz w:val="20"/>
        </w:rPr>
      </w:pPr>
      <w:r>
        <w:rPr>
          <w:rFonts w:ascii="Times New Roman" w:hAnsi="Times New Roman"/>
          <w:sz w:val="20"/>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Times New Roman" w:hAnsi="Times New Roman"/>
          <w:i/>
          <w:sz w:val="20"/>
        </w:rPr>
        <w:t>Banque de France</w:t>
      </w:r>
      <w:r>
        <w:rPr>
          <w:rFonts w:ascii="Times New Roman" w:hAnsi="Times New Roman"/>
          <w:sz w:val="20"/>
        </w:rPr>
        <w:t xml:space="preserve">)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 </w:t>
      </w:r>
    </w:p>
    <w:p>
      <w:pPr>
        <w:pStyle w:val="TextBody"/>
        <w:bidi w:val="0"/>
        <w:spacing w:before="240" w:after="0"/>
        <w:jc w:val="left"/>
        <w:rPr>
          <w:rFonts w:ascii="Times New Roman" w:hAnsi="Times New Roman"/>
          <w:sz w:val="20"/>
        </w:rPr>
      </w:pPr>
      <w:r>
        <w:rPr>
          <w:rFonts w:ascii="Times New Roman" w:hAnsi="Times New Roman"/>
          <w:sz w:val="20"/>
        </w:rPr>
        <w:t xml:space="preserve">Further, any investment: </w:t>
      </w:r>
    </w:p>
    <w:p>
      <w:pPr>
        <w:pStyle w:val="TextBody"/>
        <w:bidi w:val="0"/>
        <w:spacing w:before="240" w:after="0"/>
        <w:jc w:val="left"/>
        <w:rPr>
          <w:rFonts w:ascii="Times New Roman" w:hAnsi="Times New Roman"/>
          <w:sz w:val="20"/>
        </w:rPr>
      </w:pPr>
      <w:r>
        <w:rPr>
          <w:rFonts w:ascii="Times New Roman" w:hAnsi="Times New Roman"/>
          <w:sz w:val="20"/>
        </w:rPr>
        <w:t xml:space="preserve">(i) by (a) any non-French citizen, (b) any French citizen not residing in France, (c) any non-French entity or (d) any French entity controlled by one of the aforementioned persons or entities; </w:t>
      </w:r>
    </w:p>
    <w:p>
      <w:pPr>
        <w:pStyle w:val="TextBody"/>
        <w:bidi w:val="0"/>
        <w:spacing w:before="240" w:after="0"/>
        <w:jc w:val="left"/>
        <w:rPr>
          <w:rFonts w:ascii="Times New Roman" w:hAnsi="Times New Roman"/>
          <w:sz w:val="20"/>
        </w:rPr>
      </w:pPr>
      <w:r>
        <w:rPr>
          <w:rFonts w:ascii="Times New Roman" w:hAnsi="Times New Roman"/>
          <w:sz w:val="20"/>
        </w:rPr>
        <w:t xml:space="preserve">(ii) 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 </w:t>
      </w:r>
    </w:p>
    <w:p>
      <w:pPr>
        <w:pStyle w:val="TextBody"/>
        <w:bidi w:val="0"/>
        <w:spacing w:before="240" w:after="0"/>
        <w:jc w:val="left"/>
        <w:rPr>
          <w:rFonts w:ascii="Times New Roman" w:hAnsi="Times New Roman"/>
          <w:sz w:val="20"/>
        </w:rPr>
      </w:pPr>
      <w:r>
        <w:rPr>
          <w:rFonts w:ascii="Times New Roman" w:hAnsi="Times New Roman"/>
          <w:sz w:val="20"/>
        </w:rPr>
        <w:t xml:space="preserve">(iii) 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media, and critical raw materials), and (c) research and development activity related to critical technologies (including cybersecurity, artificial intelligence, robotics, additive manufacturing, semiconductors, quantum technologies, energy storage, biotechnologies, low carbon energy or photonics) or dual-use items, is subject to the prior authorization of the French Ministry of Economy, which authorization may be conditioned on certain undertakings. </w:t>
      </w:r>
    </w:p>
    <w:p>
      <w:pPr>
        <w:pStyle w:val="TextBody"/>
        <w:bidi w:val="0"/>
        <w:spacing w:before="240" w:after="0"/>
        <w:jc w:val="left"/>
        <w:rPr>
          <w:rFonts w:ascii="Times New Roman" w:hAnsi="Times New Roman"/>
          <w:sz w:val="20"/>
        </w:rPr>
      </w:pPr>
      <w:r>
        <w:rPr>
          <w:rFonts w:ascii="Times New Roman" w:hAnsi="Times New Roman"/>
          <w:sz w:val="20"/>
        </w:rPr>
        <w:t>The Decree (</w:t>
      </w:r>
      <w:r>
        <w:rPr>
          <w:rFonts w:ascii="Times New Roman" w:hAnsi="Times New Roman"/>
          <w:i/>
          <w:sz w:val="20"/>
        </w:rPr>
        <w:t>décret</w:t>
      </w:r>
      <w:r>
        <w:rPr>
          <w:rFonts w:ascii="Times New Roman" w:hAnsi="Times New Roman"/>
          <w:sz w:val="20"/>
        </w:rPr>
        <w:t>) n° 2023-1293 of December 28, 2023 made permanent the temporary regime under Decree (</w:t>
      </w:r>
      <w:r>
        <w:rPr>
          <w:rFonts w:ascii="Times New Roman" w:hAnsi="Times New Roman"/>
          <w:i/>
          <w:sz w:val="20"/>
        </w:rPr>
        <w:t>décret</w:t>
      </w:r>
      <w:r>
        <w:rPr>
          <w:rFonts w:ascii="Times New Roman" w:hAnsi="Times New Roman"/>
          <w:sz w:val="20"/>
        </w:rPr>
        <w:t>) n° 2020-892 dated July 22, 2020, as amended on December 28, 2020 by the Decree (</w:t>
      </w:r>
      <w:r>
        <w:rPr>
          <w:rFonts w:ascii="Times New Roman" w:hAnsi="Times New Roman"/>
          <w:i/>
          <w:sz w:val="20"/>
        </w:rPr>
        <w:t>décret</w:t>
      </w:r>
      <w:r>
        <w:rPr>
          <w:rFonts w:ascii="Times New Roman" w:hAnsi="Times New Roman"/>
          <w:sz w:val="20"/>
        </w:rPr>
        <w:t>) n° 2020-1729, on December 22, 2021 by the Decree (</w:t>
      </w:r>
      <w:r>
        <w:rPr>
          <w:rFonts w:ascii="Times New Roman" w:hAnsi="Times New Roman"/>
          <w:i/>
          <w:sz w:val="20"/>
        </w:rPr>
        <w:t>décret</w:t>
      </w:r>
      <w:r>
        <w:rPr>
          <w:rFonts w:ascii="Times New Roman" w:hAnsi="Times New Roman"/>
          <w:sz w:val="20"/>
        </w:rPr>
        <w:t>) n° 2021-1758, and on December 23, 2022 by the Decree (</w:t>
      </w:r>
      <w:r>
        <w:rPr>
          <w:rFonts w:ascii="Times New Roman" w:hAnsi="Times New Roman"/>
          <w:i/>
          <w:sz w:val="20"/>
        </w:rPr>
        <w:t>décret</w:t>
      </w:r>
      <w:r>
        <w:rPr>
          <w:rFonts w:ascii="Times New Roman" w:hAnsi="Times New Roman"/>
          <w:sz w:val="20"/>
        </w:rPr>
        <w:t xml:space="preserve">) n° 2022-1622, creating a new 10% threshold of the voting rights for the non-European investments made (i) in an entity with its registered office in France and (ii) whose shares are admitted to trading on a French-, EU- or EEA-regulated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an individual). </w:t>
      </w:r>
    </w:p>
    <w:p>
      <w:pPr>
        <w:pStyle w:val="TextBody"/>
        <w:bidi w:val="0"/>
        <w:spacing w:before="360" w:after="0"/>
        <w:jc w:val="left"/>
        <w:rPr>
          <w:rFonts w:ascii="Times New Roman" w:hAnsi="Times New Roman"/>
          <w:b/>
          <w:sz w:val="20"/>
        </w:rPr>
      </w:pPr>
      <w:r>
        <w:rPr>
          <w:rFonts w:ascii="Times New Roman" w:hAnsi="Times New Roman"/>
          <w:b/>
          <w:sz w:val="20"/>
        </w:rPr>
        <w:t xml:space="preserve">Foreign Exchange Controls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Availability of Preferential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While our current shareholders waived their preferential subscription rights with respect to certain offerings at a shareholders’ general meeting held on May 21, 2026, in the future our shareholders will have preferential subscription rights. Under French law, shareholders have preferential rights to subscribe for cash issues of new ordinary shares or other securities giving rights to acquire additional ordinary shares on a pro rata basis. Holders of our securities in the United States (which may be in the form of ordinary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ordinary shares or other securities giving rights to acquire additional ordinary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ordinary shares or other securities. We intend to evaluate at the time of any rights offering the costs and potential liabilities associated with registering the rights, as well as the indirect benefits to us of enabling the exercise by holders of ADSs in the United States of the subscription rights, and any other factors we consider appropriate at the time, and then to make a decision as to whether to register the rights. We cannot assure you that we will file a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holders of our ordinary shares in the form of ADSs,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86113_10"/>
      <w:bookmarkEnd w:id="28"/>
      <w:r>
        <w:rPr>
          <w:rFonts w:ascii="Times New Roman" w:hAnsi="Times New Roman"/>
          <w:b/>
          <w:sz w:val="20"/>
        </w:rPr>
        <w:t xml:space="preserve">DESCRIPTION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Citibank, N.A. (“Citibank”) is the depositary for the ADSs representing our ordinary shares.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Europe plc, located at 1 North Wall Quay, Dublin 1 Ireland. </w:t>
      </w:r>
    </w:p>
    <w:p>
      <w:pPr>
        <w:pStyle w:val="TextBody"/>
        <w:bidi w:val="0"/>
        <w:spacing w:before="240" w:after="0"/>
        <w:jc w:val="left"/>
        <w:rPr>
          <w:rFonts w:ascii="Times New Roman" w:hAnsi="Times New Roman"/>
          <w:sz w:val="20"/>
        </w:rPr>
      </w:pPr>
      <w:r>
        <w:rPr>
          <w:rFonts w:ascii="Times New Roman" w:hAnsi="Times New Roman"/>
          <w:sz w:val="20"/>
        </w:rPr>
        <w:t xml:space="preserve">We have appointed Citibank as depositary pursuant to a deposit agreement. The form of the deposit agreement is on file with the SEC under cover of a registration statement on Form F-6. You may obtain a copy of the deposit agreement from the SEC’s website (www.sec.gov). Please refer to registration number 333-274780 when retrieving such copy. The portions of this summary description that are italicized describe matters that may be relevant to the ownership of ADSs but that may not be contained in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shares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bidi w:val="0"/>
        <w:spacing w:before="240" w:after="0"/>
        <w:jc w:val="left"/>
        <w:rPr>
          <w:rFonts w:ascii="Times New Roman" w:hAnsi="Times New Roman"/>
          <w:sz w:val="20"/>
        </w:rPr>
      </w:pPr>
      <w:r>
        <w:rPr>
          <w:rFonts w:ascii="Times New Roman" w:hAnsi="Times New Roman"/>
          <w:sz w:val="20"/>
        </w:rPr>
        <w:t xml:space="preserve">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manner in which you own the ADSs (e.g., in a brokerage account vs. as registered holder, or as holder of certificated vs. uncertificated ADSs) may affect your rights and obligations, and the manner in which, and extent to which, the depositary’s services are made available to you.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Cash </w:t>
      </w:r>
    </w:p>
    <w:p>
      <w:pPr>
        <w:pStyle w:val="TextBody"/>
        <w:bidi w:val="0"/>
        <w:spacing w:before="120" w:after="0"/>
        <w:jc w:val="left"/>
        <w:rPr>
          <w:rFonts w:ascii="Times New Roman" w:hAnsi="Times New Roman"/>
          <w:sz w:val="20"/>
        </w:rPr>
      </w:pPr>
      <w:r>
        <w:rPr>
          <w:rFonts w:ascii="Times New Roman" w:hAnsi="Times New Roman"/>
          <w:sz w:val="20"/>
        </w:rPr>
        <w:t xml:space="preserve">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France.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make a free distribution of ordinary shares for the securities on deposit with the custodian, we will deposit the applicable number of ordinary shares with the custodian. Upon receipt of confirmation of such deposit, the depositary will </w:t>
      </w:r>
      <w:r>
        <w:rPr>
          <w:rFonts w:ascii="Times New Roman" w:hAnsi="Times New Roman"/>
          <w:sz w:val="20"/>
          <w:u w:val="single"/>
        </w:rPr>
        <w:t>either</w:t>
      </w:r>
      <w:r>
        <w:rPr>
          <w:rFonts w:ascii="Times New Roman" w:hAnsi="Times New Roman"/>
          <w:sz w:val="20"/>
        </w:rPr>
        <w:t xml:space="preserve"> distribute to holders new ADSs representing the ordinary shares deposited </w:t>
      </w:r>
      <w:r>
        <w:rPr>
          <w:rFonts w:ascii="Times New Roman" w:hAnsi="Times New Roman"/>
          <w:sz w:val="20"/>
          <w:u w:val="single"/>
        </w:rPr>
        <w:t>or</w:t>
      </w:r>
      <w:r>
        <w:rPr>
          <w:rFonts w:ascii="Times New Roman" w:hAnsi="Times New Roman"/>
          <w:sz w:val="20"/>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 </w:t>
      </w:r>
    </w:p>
    <w:p>
      <w:pPr>
        <w:pStyle w:val="TextBody"/>
        <w:bidi w:val="0"/>
        <w:spacing w:before="240" w:after="0"/>
        <w:jc w:val="left"/>
        <w:rPr>
          <w:rFonts w:ascii="Times New Roman" w:hAnsi="Times New Roman"/>
          <w:sz w:val="20"/>
        </w:rPr>
      </w:pPr>
      <w:r>
        <w:rPr>
          <w:rFonts w:ascii="Times New Roman" w:hAnsi="Times New Roman"/>
          <w:sz w:val="20"/>
        </w:rPr>
        <w:t>No such distribution of new ADSs will be made if it would violate a law (</w:t>
      </w:r>
      <w:r>
        <w:rPr>
          <w:rFonts w:ascii="Times New Roman" w:hAnsi="Times New Roman"/>
          <w:i/>
          <w:sz w:val="20"/>
        </w:rPr>
        <w:t>e.g.</w:t>
      </w:r>
      <w:r>
        <w:rPr>
          <w:rFonts w:ascii="Times New Roman" w:hAnsi="Times New Roman"/>
          <w:sz w:val="20"/>
        </w:rPr>
        <w:t xml:space="preserve">,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Rights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w:t>
      </w:r>
      <w:r>
        <w:rPr>
          <w:rFonts w:ascii="Times New Roman" w:hAnsi="Times New Roman"/>
          <w:i/>
          <w:sz w:val="20"/>
        </w:rPr>
        <w:t>not</w:t>
      </w:r>
      <w:r>
        <w:rPr>
          <w:rFonts w:ascii="Times New Roman" w:hAnsi="Times New Roman"/>
          <w:sz w:val="20"/>
        </w:rPr>
        <w:t xml:space="preserve"> distribute the rights to you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timely request that the rights be distributed to you or we request that the rights not be distributed to you;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deliver satisfactory documents to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reasonably practicable to distribute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Elective Distributions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a dividend payable at the election of shareholders either in cash or in additional shares, we will give prior notice thereof to the depositary and will indicate whether we wish the elective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to be made available to you. In such case, we will assist the depositary in determining whether such distribution is lawful and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the election is not made available to you, you will receive either cash or additional ADSs, depending on what a shareholder in France would receive upon failing to make an election, as more fully described in the deposit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property other than cash, ordinary shares or rights to subscribe for additional ordinary shares, we will notify the depositary in advance and will indicate whether we wish such distribution to be made to you. If so, we will assist the depositary in determining whether such distribution to holders is lawful and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If it is reasonably practicable to distribute such property to you and if we provide to the depositary all of the documentation contemplated in the deposit agreement, the depositary will distribute the property to the holders in a manner it deems practicable.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will be made net of fees, expenses, taxes and governmental charges payable by holders under the terms of the deposit agreement. In order to pay such taxes and governmental charges, the depositary may sell all or a portion of the property received.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w:t>
      </w:r>
      <w:r>
        <w:rPr>
          <w:rFonts w:ascii="Times New Roman" w:hAnsi="Times New Roman"/>
          <w:i/>
          <w:sz w:val="20"/>
        </w:rPr>
        <w:t>not</w:t>
      </w:r>
      <w:r>
        <w:rPr>
          <w:rFonts w:ascii="Times New Roman" w:hAnsi="Times New Roman"/>
          <w:sz w:val="20"/>
        </w:rPr>
        <w:t xml:space="preserve"> distribute the property to you and will sell the property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request that the property be distributed to you or if we request that the property not be distributed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deliver satisfactory documents to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determines that all or a portion of the distribution to you is not reasonably practicable.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proceeds of such a sale will be distributed to holders as in the case of a cash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hAnsi="Times New Roman"/>
          <w:i/>
          <w:sz w:val="20"/>
        </w:rPr>
        <w:t>pro rata</w:t>
      </w:r>
      <w:r>
        <w:rPr>
          <w:rFonts w:ascii="Times New Roman" w:hAnsi="Times New Roman"/>
          <w:sz w:val="20"/>
        </w:rPr>
        <w:t xml:space="preserve"> basis, as the depositary may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Changes Affecting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our assets. </w:t>
      </w:r>
    </w:p>
    <w:p>
      <w:pPr>
        <w:pStyle w:val="TextBody"/>
        <w:bidi w:val="0"/>
        <w:spacing w:before="240" w:after="0"/>
        <w:jc w:val="left"/>
        <w:rPr>
          <w:rFonts w:ascii="Times New Roman" w:hAnsi="Times New Roman"/>
          <w:sz w:val="20"/>
        </w:rPr>
      </w:pPr>
      <w:r>
        <w:rPr>
          <w:rFonts w:ascii="Times New Roman" w:hAnsi="Times New Roman"/>
          <w:sz w:val="20"/>
        </w:rPr>
        <w:t xml:space="preserve">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ADSs upon Deposit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an offering of ordinary shares pursuant to this prospectus, the ordinary shares being offered pursuant to the prospectus will be deposited by us with the custodian. Upon receipt of confirmation of such deposit, the depositary will issue ADSs pursuant to our instruction.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ADSs may be delayed until the depositary or the custodian receives confirmation that all required approvals have been given and that the ordinary shares have been duly transferred to the custodian. The depositary will only issue ADSs in whole numbers. </w:t>
      </w:r>
    </w:p>
    <w:p>
      <w:pPr>
        <w:pStyle w:val="TextBody"/>
        <w:bidi w:val="0"/>
        <w:spacing w:before="240" w:after="0"/>
        <w:jc w:val="left"/>
        <w:rPr>
          <w:rFonts w:ascii="Times New Roman" w:hAnsi="Times New Roman"/>
          <w:sz w:val="20"/>
        </w:rPr>
      </w:pPr>
      <w:r>
        <w:rPr>
          <w:rFonts w:ascii="Times New Roman" w:hAnsi="Times New Roman"/>
          <w:sz w:val="20"/>
        </w:rPr>
        <w:t xml:space="preserve">When you make a deposit of ordinary shares, you will be responsible for transferring good and valid title to the depositary. As such, you will be deemed to represent and warrant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are duly authorized, validly issued, fully paid, non-assessable and legally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preemptive (and similar) rights, if any, with respect to such ordinary shares have been validly waived or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duly authorized to deposit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presented for deposit are free and clear of any lien, encumbrance, security interest, charge, mortgage or adverse claim, and are not, and the ADSs issuable upon such deposit will not be, “restricted securities” (as defined in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presented for deposit have not been stripped of any rights or entitlements.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representations or warranties are incorrect in any way, we and the depositary may, at your cost and expense, take any and all actions necessary to correct the consequences of the misrepresentations.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Combination, and Split Up of ADRs </w:t>
      </w:r>
    </w:p>
    <w:p>
      <w:pPr>
        <w:pStyle w:val="TextBody"/>
        <w:bidi w:val="0"/>
        <w:spacing w:before="120" w:after="0"/>
        <w:jc w:val="left"/>
        <w:rPr>
          <w:rFonts w:ascii="Times New Roman" w:hAnsi="Times New Roman"/>
          <w:sz w:val="20"/>
        </w:rPr>
      </w:pPr>
      <w:r>
        <w:rPr>
          <w:rFonts w:ascii="Times New Roman" w:hAnsi="Times New Roman"/>
          <w:sz w:val="20"/>
        </w:rPr>
        <w:t xml:space="preserve">As an ADR holder, you will be entitled to transfer, combine or split up your ADRs and the ADSs evidenced thereby. For transfers of ADRs, you will have to surrender the ADRs to be transferred to the depositary and also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ensure that the surrendered ADR is properly endorsed or otherwise in proper form for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such proof of identity and genuineness of signatures as the depositary deems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transfer stamps required by the State of New York or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all applicable fees, charges, expenses, taxes and other government charges payable by ADR holders pursuant to the terms of the deposit agreement, upon the transfer of ADRs.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Ordinary Shares Upon Cancellation of ADSs </w:t>
      </w:r>
    </w:p>
    <w:p>
      <w:pPr>
        <w:pStyle w:val="TextBody"/>
        <w:bidi w:val="0"/>
        <w:spacing w:before="120" w:after="0"/>
        <w:jc w:val="left"/>
        <w:rPr>
          <w:rFonts w:ascii="Times New Roman" w:hAnsi="Times New Roman"/>
          <w:sz w:val="20"/>
        </w:rPr>
      </w:pPr>
      <w:r>
        <w:rPr>
          <w:rFonts w:ascii="Times New Roman" w:hAnsi="Times New Roman"/>
          <w:sz w:val="20"/>
        </w:rPr>
        <w:t xml:space="preserve">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bidi w:val="0"/>
        <w:spacing w:before="240" w:after="0"/>
        <w:jc w:val="left"/>
        <w:rPr>
          <w:rFonts w:ascii="Times New Roman" w:hAnsi="Times New Roman"/>
          <w:sz w:val="20"/>
        </w:rPr>
      </w:pPr>
      <w:r>
        <w:rPr>
          <w:rFonts w:ascii="Times New Roman" w:hAnsi="Times New Roman"/>
          <w:sz w:val="20"/>
        </w:rPr>
        <w:t xml:space="preserve">You will have the right to withdraw the securities represented by your ADSs at any time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Temporary delays that may arise because (i) the transfer books for the ordinary shares or ADSs are closed, or (ii) ordinary shares are immobilized on account of a shareholders’ meeting or a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to pay fees, taxes and similar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imposed because of laws or regulations applicable to ADSs or the withdrawal of securities on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 agreement may not be modified to impair your right to withdraw the securities represented by your ADSs except to comply with mandatory provisions of law.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As a holder, you generally have the right under the deposit agreement to instruct the depositary to exercise the voting rights for the ordinary shares represented by your ADSs. The voting rights of holders of ordinary shares are described in the sections of this prospectus entitled “Description of Share Capital” and “Limitations Affecting Shareholders of a French Company.” </w:t>
      </w:r>
    </w:p>
    <w:p>
      <w:pPr>
        <w:pStyle w:val="TextBody"/>
        <w:bidi w:val="0"/>
        <w:spacing w:before="240" w:after="0"/>
        <w:jc w:val="left"/>
        <w:rPr>
          <w:rFonts w:ascii="Times New Roman" w:hAnsi="Times New Roman"/>
          <w:sz w:val="20"/>
        </w:rPr>
      </w:pPr>
      <w:r>
        <w:rPr>
          <w:rFonts w:ascii="Times New Roman" w:hAnsi="Times New Roman"/>
          <w:sz w:val="20"/>
        </w:rPr>
        <w:t xml:space="preserve">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timely receives voting instructions from a holder of ADSs, it will endeavor to vote the securities (in person or by proxy) represented by the holder’s ADSs in accordance with such voting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Charges </w:t>
      </w:r>
    </w:p>
    <w:p>
      <w:pPr>
        <w:pStyle w:val="TextBody"/>
        <w:bidi w:val="0"/>
        <w:spacing w:before="120" w:after="0"/>
        <w:jc w:val="left"/>
        <w:rPr>
          <w:rFonts w:ascii="Times New Roman" w:hAnsi="Times New Roman"/>
          <w:sz w:val="20"/>
        </w:rPr>
      </w:pPr>
      <w:r>
        <w:rPr>
          <w:rFonts w:ascii="Times New Roman" w:hAnsi="Times New Roman"/>
          <w:sz w:val="20"/>
        </w:rPr>
        <w:t xml:space="preserve">As an ADS holder, you will be required to pay the following fees under the terms of the deposit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Service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Fees</w:t>
            </w:r>
          </w:p>
        </w:tc>
      </w:tr>
      <w:tr>
        <w:trPr/>
        <w:tc>
          <w:tcPr>
            <w:tcW w:w="5204" w:type="dxa"/>
            <w:tcBorders/>
          </w:tcPr>
          <w:p>
            <w:pPr>
              <w:pStyle w:val="TableContents"/>
              <w:bidi w:val="0"/>
              <w:spacing w:before="0" w:after="283"/>
              <w:jc w:val="left"/>
              <w:rPr/>
            </w:pPr>
            <w:r>
              <w:rPr/>
              <w:t>Issuance of ADSs (e.g., an issuance of ADS upon a deposit of ordinary shares, upon a change in the ADS(s)-to-ordinary share ratio, or for any other reason), excluding ADS issuances as a result of distributions of ordinary shares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issued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Cancellation of ADSs (e.g., a cancellation of ADSs for delivery of deposited property, upon a change in the ADS(s)-to ordinary share ratio, or for any other reason)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cancelled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Distribution of cash dividends or other cash distributions (e.g., upon a sale of rights and other entitlements)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Distribution of ADSs pursuant to (i) share dividends or other free share distributions, or (ii) exercise of rights to purchase additional ADSs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Distribution of securities other than ADSs or rights to purchase additional ADSs (e.g., upon a spin-off)</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ADS Services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 on the applicable record date(s) established by the depositary</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 xml:space="preserve">Registration of ADS transfers (e.g., upon a registration of the transfer of registered ownership of ADSs, upon a transfer of ADSs into DTC and </w:t>
            </w:r>
            <w:r>
              <w:rPr>
                <w:i/>
              </w:rPr>
              <w:t>vice versa</w:t>
            </w:r>
            <w:r>
              <w:rPr/>
              <w:t>, or for any other reason)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(or fraction thereof) transferred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i/>
              </w:rPr>
              <w:t>vice versa</w:t>
            </w:r>
            <w:r>
              <w:rPr/>
              <w: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(or fraction thereof) converted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an ADS holder, you will also be responsible to pay certain charges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(including applicable interest and penalties) and other governmental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cable, telex and facsimile transmission and delivery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expenses, spreads, taxes and other charges of the depositary and/or service providers (which may be a division, branch or affiliate of the depositary) in the conversion of foreign currency;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reasonable and customary out-of-pocket expenses incurred by the depositary in connection with compliance with exchange control regulations and other regulatory requirements applicable to ordinary shares, ADSs and ADRs;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charges, costs and expenses incurred by the depositary, the custodian, or any nominee in connection with the ADR program.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an offering of ADSs pursuant to this prospectus.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 </w:t>
      </w:r>
    </w:p>
    <w:p>
      <w:pPr>
        <w:pStyle w:val="TextBody"/>
        <w:bidi w:val="0"/>
        <w:spacing w:before="240" w:after="0"/>
        <w:jc w:val="left"/>
        <w:rPr>
          <w:rFonts w:ascii="Times New Roman" w:hAnsi="Times New Roman"/>
          <w:sz w:val="20"/>
        </w:rPr>
      </w:pPr>
      <w:r>
        <w:rPr>
          <w:rFonts w:ascii="Times New Roman" w:hAnsi="Times New Roman"/>
          <w:sz w:val="20"/>
        </w:rPr>
        <w:t xml:space="preserve">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 </w:t>
      </w:r>
    </w:p>
    <w:p>
      <w:pPr>
        <w:pStyle w:val="TextBody"/>
        <w:bidi w:val="0"/>
        <w:spacing w:before="240" w:after="0"/>
        <w:jc w:val="left"/>
        <w:rPr>
          <w:rFonts w:ascii="Times New Roman" w:hAnsi="Times New Roman"/>
          <w:sz w:val="20"/>
        </w:rPr>
      </w:pPr>
      <w:r>
        <w:rPr>
          <w:rFonts w:ascii="Times New Roman" w:hAnsi="Times New Roman"/>
          <w:sz w:val="20"/>
        </w:rPr>
        <w:t xml:space="preserve">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termination of the deposit agreement, the depositary may make available to owners of ADSs a means to withdraw the ordinary shares represented by ADSs and to direct the depositary of such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w:t>
      </w:r>
    </w:p>
    <w:p>
      <w:pPr>
        <w:pStyle w:val="TextBody"/>
        <w:bidi w:val="0"/>
        <w:spacing w:before="360" w:after="0"/>
        <w:jc w:val="left"/>
        <w:rPr>
          <w:rFonts w:ascii="Times New Roman" w:hAnsi="Times New Roman"/>
          <w:b/>
          <w:sz w:val="20"/>
        </w:rPr>
      </w:pPr>
      <w:r>
        <w:rPr>
          <w:rFonts w:ascii="Times New Roman" w:hAnsi="Times New Roman"/>
          <w:b/>
          <w:sz w:val="20"/>
        </w:rPr>
        <w:t xml:space="preserve">Books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maintain in New York facilities to record and process the issuance, cancellation, combination, split-up and transfer of ADSs. These facilities may be closed from time to time, to the extent not prohibited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Transmission of Notices, Reports and Proxy Soliciting Material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also provide to you copies of those communications or otherwise make those communications available to you if we ask it to.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limits our obligations and the depositary’s obligations to you. Please note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are obligated only to take the actions specifically stated in the deposit agreement without negligence or bad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shall not be liable for acts or omissions of any successor depositary in connection with any matter arising wholly after the resignation or removal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will not be obligated to perform any act that is inconsistent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by-laws, or any provision of or governing the securities on deposit, or by reason of any act of God or war or other circumstances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disclaim any liability by reason of any exercise of, or failure to exercise, any discretion provided for in the deposit agreement or in our by-laws or in any provisions of or governing the securities on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liability for the inability by a holder or beneficial holder to benefit from any distribution, offering, right or other benefit that is made available to holders of ordinary shares but is not, under the terms of the deposit agreement, made available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may rely without any liability upon any written notice, request or other document believed to be genuine and to have been signed or presented by the proper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liability for any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disclaimer of any Securities Act liability is intended by any provision of the deposit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in the deposit agreement gives rise to a partnership or joint venture, or establishes a fiduciary relationship, among us, the depositary and you as ADS holder. </w:t>
      </w:r>
    </w:p>
    <w:p>
      <w:pPr>
        <w:pStyle w:val="TextBody"/>
        <w:bidi w:val="0"/>
        <w:spacing w:before="240" w:after="0"/>
        <w:jc w:val="left"/>
        <w:rPr>
          <w:rFonts w:ascii="Times New Roman" w:hAnsi="Times New Roman"/>
          <w:sz w:val="20"/>
        </w:rPr>
      </w:pPr>
      <w:r>
        <w:rPr>
          <w:rFonts w:ascii="Times New Roman" w:hAnsi="Times New Roman"/>
          <w:sz w:val="20"/>
        </w:rPr>
        <w:t xml:space="preserve">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 </w:t>
      </w:r>
    </w:p>
    <w:p>
      <w:pPr>
        <w:pStyle w:val="TextBody"/>
        <w:bidi w:val="0"/>
        <w:spacing w:before="240" w:after="0"/>
        <w:jc w:val="left"/>
        <w:rPr>
          <w:rFonts w:ascii="Times New Roman" w:hAnsi="Times New Roman"/>
          <w:i/>
          <w:sz w:val="20"/>
        </w:rPr>
      </w:pPr>
      <w:r>
        <w:rPr>
          <w:rFonts w:ascii="Times New Roman" w:hAnsi="Times New Roman"/>
          <w:i/>
          <w:sz w:val="20"/>
        </w:rPr>
        <w:t xml:space="preserve">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 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Taxes </w:t>
      </w:r>
    </w:p>
    <w:p>
      <w:pPr>
        <w:pStyle w:val="TextBody"/>
        <w:bidi w:val="0"/>
        <w:spacing w:before="120" w:after="0"/>
        <w:jc w:val="left"/>
        <w:rPr>
          <w:rFonts w:ascii="Times New Roman" w:hAnsi="Times New Roman"/>
          <w:sz w:val="20"/>
        </w:rPr>
      </w:pPr>
      <w:r>
        <w:rPr>
          <w:rFonts w:ascii="Times New Roman" w:hAnsi="Times New Roman"/>
          <w:sz w:val="20"/>
        </w:rPr>
        <w:t xml:space="preserve">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the foreign currency to the extent practical and lawful and distribute the U.S. dollars to the holders for whom the conversion and distribution is lawful and practical.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the foreign currency to holders for whom the distribution is lawful and practical.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the foreign currency (without liability for interest) for the applicable 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Governing Law/Waiver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the ADRs and the ADSs will be interpreted in accordance with the laws of the State of New York. The rights of holders of ordinary shares (including ordinary shares represented by ADSs) are governed by the laws of France. </w:t>
      </w:r>
    </w:p>
    <w:p>
      <w:pPr>
        <w:pStyle w:val="TextBody"/>
        <w:bidi w:val="0"/>
        <w:spacing w:before="240" w:after="0"/>
        <w:jc w:val="left"/>
        <w:rPr>
          <w:rFonts w:ascii="Times New Roman" w:hAnsi="Times New Roman"/>
          <w:sz w:val="20"/>
        </w:rPr>
      </w:pPr>
      <w:r>
        <w:rPr>
          <w:rFonts w:ascii="Times New Roman" w:hAnsi="Times New Roman"/>
          <w:sz w:val="20"/>
        </w:rPr>
        <w:t xml:space="preserve">As an owner of ADSs, you irrevocably agree that any legal action arising out of the Deposit Agreement, the ADSs or the ADRs involving us or the Depositary may only be instituted in a state or federal court in the city of New York and irrevocably waive any objection to the laying of venue in, and irrevocably submit to the exclusive jurisdiction of, such courts in any such legal action. </w:t>
      </w:r>
    </w:p>
    <w:p>
      <w:pPr>
        <w:pStyle w:val="TextBody"/>
        <w:bidi w:val="0"/>
        <w:spacing w:before="240" w:after="0"/>
        <w:jc w:val="left"/>
        <w:rPr>
          <w:rFonts w:ascii="Times New Roman" w:hAnsi="Times New Roman"/>
          <w:b/>
          <w:sz w:val="20"/>
        </w:rPr>
      </w:pPr>
      <w:r>
        <w:rPr>
          <w:rFonts w:ascii="Times New Roman" w:hAnsi="Times New Roman"/>
          <w:b/>
          <w:sz w:val="20"/>
        </w:rPr>
        <w:t xml:space="preserve">AS A PARTY TO THE DEPOSIT AGREEMENT, YOU IRREVOCABLY WAIVE, TO THE FULLEST EXTENT PERMITTED BY APPLICABLE LAW, YOUR RIGHT TO TRIAL BY JURY IN ANY LEGAL PROCEEDING ARISING OUT OF THE DEPOSIT AGREEMENT OR THE ADRs AGAINST US AND/OR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w:t>
      </w:r>
      <w:r>
        <w:rPr>
          <w:rFonts w:ascii="Times New Roman" w:hAnsi="Times New Roman"/>
          <w:i/>
          <w:sz w:val="20"/>
        </w:rPr>
        <w:t>If we or the depositary opposed a jury trial demand based on the waiver, the court would determine whether the waiver was enforceable</w:t>
      </w:r>
      <w:r>
        <w:rPr>
          <w:rFonts w:ascii="Times New Roman" w:hAnsi="Times New Roman"/>
          <w:sz w:val="20"/>
        </w:rPr>
        <w:t xml:space="preserve"> </w:t>
      </w:r>
      <w:r>
        <w:rPr>
          <w:rFonts w:ascii="Times New Roman" w:hAnsi="Times New Roman"/>
          <w:i/>
          <w:sz w:val="20"/>
        </w:rPr>
        <w:t>in the</w:t>
      </w:r>
      <w:r>
        <w:rPr>
          <w:rFonts w:ascii="Times New Roman" w:hAnsi="Times New Roman"/>
          <w:sz w:val="20"/>
        </w:rPr>
        <w:t xml:space="preserve"> </w:t>
      </w:r>
      <w:r>
        <w:rPr>
          <w:rFonts w:ascii="Times New Roman" w:hAnsi="Times New Roman"/>
          <w:i/>
          <w:sz w:val="20"/>
        </w:rPr>
        <w:t>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86113_11"/>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Warrants (</w:t>
      </w:r>
      <w:r>
        <w:rPr>
          <w:rFonts w:ascii="Times New Roman" w:hAnsi="Times New Roman"/>
          <w:i/>
          <w:sz w:val="20"/>
        </w:rPr>
        <w:t>bons de souscription d’actions)</w:t>
      </w:r>
      <w:r>
        <w:rPr>
          <w:rFonts w:ascii="Times New Roman" w:hAnsi="Times New Roman"/>
          <w:sz w:val="20"/>
        </w:rPr>
        <w:t xml:space="preserve"> may be offered separately or together with ordinary shares or ADSs. Each series of warrants will be issued under any separate warrant agreement to be entered into between us and one or more purchasers of such warrants. The applicable prospectus supplement will include details of the warrant agreements and terms and conditions covering the warrants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each issue or series of warrants will be described in the related prospectus supplement. If warrants for the purchase of ordinary shares or ADSs are offered, the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 in which the warrants are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or ADSs that may be purchased upon exercise of each warrant and the price at which and currency or currencies in which that amount of ordinary shares or ADSs may be purchased upon exercise of each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warrants and the related ordinary shares or ADSs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if any,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subject to redemption or call, and, if so, the terms of such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conditions and rights (or limitations on such rights)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reserve the right to set forth in a prospectus supplement or applicable free writing prospectus specific terms of the warrants that are not within the options and parameters set forth in this prospectus. In addition, to the extent that any particular terms and conditions of the warrants described in a prospectus supplement or applicable free writing prospectus differ from any of the terms described in this prospectus, the description of such terms and conditions set forth in this prospectus shall be deemed to have been superseded or supplemented by the description of such differing terms and conditions set forth in such prospectus supplement or applicable free writing prospectus with respect to such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86113_12"/>
      <w:bookmarkEnd w:id="3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and, if requested, provided the trustee indemnity or security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(it being understood that the trustee shall have no obligation to determine whether any action is prejudicial to the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and, if requested, provided to the trustee indemnity or security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and the trustee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and, if requested, provided security and indemnity satisfactory to the trustee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abandoned property law, 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86113_13"/>
      <w:bookmarkEnd w:id="31"/>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The material French and U.S. federal income tax consequences relating to the purchase, ownership, conversion and, as applicable, disposition of any of the securities offered by this prospectus will be set forth in the prospectus supplement pertaining to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86113_14"/>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our ordinary shares, including ordinary shares represented by the ADSs, and certain other matters governed by French law will be passed on for us by Orrick, Herrington &amp; Sutcliffe (Europe) LLP, Paris, France. Unless otherwise indicated in any prospectus supplement, Cooley LLP, New York, New York, will be representing us in regards to certain matters governed by U.S. law in connection with any offering. Additional legal matters may be passed upon for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3" w:name="rom86113_15"/>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incorporated in this prospectus by reference to our Annual Report on Form 20-F for the year ended December 31, 2025 have been so incorporated in reliance on the report of PricewaterhouseCoopers Audit, an independent registered public accounting firm, given 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offices of PricewaterhouseCoopers Audit are located at 63, rue de Villiers, 92208 Neuilly-sur-Seine, France.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rom86113_16"/>
      <w:bookmarkEnd w:id="34"/>
      <w:r>
        <w:rPr>
          <w:rFonts w:ascii="Times New Roman" w:hAnsi="Times New Roman"/>
          <w:b/>
          <w:sz w:val="20"/>
        </w:rPr>
        <w:t xml:space="preserve">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a </w:t>
      </w:r>
      <w:r>
        <w:rPr>
          <w:rFonts w:ascii="Times New Roman" w:hAnsi="Times New Roman"/>
          <w:i/>
          <w:sz w:val="20"/>
        </w:rPr>
        <w:t>société anonyme</w:t>
      </w:r>
      <w:r>
        <w:rPr>
          <w:rFonts w:ascii="Times New Roman" w:hAnsi="Times New Roman"/>
          <w:sz w:val="20"/>
        </w:rPr>
        <w:t xml:space="preserve">, organized under the laws of France. The majority of our directors and officers are residents of countries other than the United States, and the majority of our assets are located outside of the United States. We have appointed an agent for service of process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Accordingly, U.S. investors may find it difficult and may be unable: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obtain jurisdiction over us or our non-U.S. resident officers and directors in U.S. courts in actions predicated on the civil liability provisions of the U.S. federal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enforce judgments obtained in such actions against us or our non-U.S. resident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bring an original action in a French court to enforce liabilities based upon the U.S. federal securities laws against us or our officers or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enforce against us or our officers or directors in non-U.S. courts, including French courts, judgments of U.S. courts predicated upon the civil liability provisions of the U.S. federal securities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actions in the United States under U.S. federal securities laws could be affected under certain circumstances by French Law No. 68-678 of July 26, 1968 (relating to the communication of documents and information of an economic, commercial, industrial, financial or technical nature to foreign authorities or persons), as amended by French Law No. 80-538 of July 16, 1980, and French Ordinance No. 2000-916 of September 19, 2000, and as further specified by Decree No. 2022-707 of February 18, 2022 and Order of March 7, 2022, which may preclude or restrict the obtaining of evidence in France or from French persons in connection with those actions. As a result of the above regulations, the U.S. authorities would have to comply with applicable international treaties or agreements and laws and regulations in force (such as the 1970 Hague Convention on the Taking of Evidence Abroad). </w:t>
      </w:r>
    </w:p>
    <w:p>
      <w:pPr>
        <w:pStyle w:val="TextBody"/>
        <w:bidi w:val="0"/>
        <w:spacing w:before="240" w:after="0"/>
        <w:jc w:val="left"/>
        <w:rPr>
          <w:rFonts w:ascii="Times New Roman" w:hAnsi="Times New Roman"/>
          <w:sz w:val="20"/>
        </w:rPr>
      </w:pPr>
      <w:r>
        <w:rPr>
          <w:rFonts w:ascii="Times New Roman" w:hAnsi="Times New Roman"/>
          <w:sz w:val="20"/>
        </w:rPr>
        <w:t xml:space="preserve">Similarly, French data protection rules (Law No. 78-17 of January 6, 1978 on data processing, data files and individual liberties, as modified) and the General Data Protection Regulation (i.e., Regulation (EU) 2016/679 of the European Parliament and of the Council of April 27, 2016) can limit under certain circumstances the possibility of obtaining information in France or from French persons in connection with a U.S. action. </w:t>
      </w:r>
    </w:p>
    <w:p>
      <w:pPr>
        <w:pStyle w:val="TextBody"/>
        <w:bidi w:val="0"/>
        <w:spacing w:before="240" w:after="0"/>
        <w:jc w:val="left"/>
        <w:rPr>
          <w:rFonts w:ascii="Times New Roman" w:hAnsi="Times New Roman"/>
          <w:sz w:val="20"/>
        </w:rPr>
      </w:pPr>
      <w:r>
        <w:rPr>
          <w:rFonts w:ascii="Times New Roman" w:hAnsi="Times New Roman"/>
          <w:sz w:val="20"/>
        </w:rPr>
        <w:t>Nevertheless, a final judgment for the payment of money rendered by any federal or state court in the United States based on civil liability, whether or not predicated solely upon the U.S. federal securities laws, would be recognized and be enforceable in France provided that a French judge considers that this judgment meets the requirements under the French rules of international private law concerning the recognition and the enforcement of foreign judgments and is capable of being immediately enforced in the United States. A French court is therefore likely to grant the enforcement of a foreign judgment without a review of the substantive matters thereby adjudicated, only if: (1) the United States federal or state court has jurisdiction and the dispute is clearly connected to the territory of the court which rendered the judgment (2) the judgment is not tainted by fraud, (3) the judgment complies with French substantive and procedural rules of international public policy (</w:t>
      </w:r>
      <w:r>
        <w:rPr>
          <w:rFonts w:ascii="Times New Roman" w:hAnsi="Times New Roman"/>
          <w:i/>
          <w:sz w:val="20"/>
        </w:rPr>
        <w:t>ordre public international</w:t>
      </w:r>
      <w:r>
        <w:rPr>
          <w:rFonts w:ascii="Times New Roman" w:hAnsi="Times New Roman"/>
          <w:sz w:val="20"/>
        </w:rPr>
        <w:t>), including principles of due process (</w:t>
      </w:r>
      <w:r>
        <w:rPr>
          <w:rFonts w:ascii="Times New Roman" w:hAnsi="Times New Roman"/>
          <w:i/>
          <w:sz w:val="20"/>
        </w:rPr>
        <w:t>principe du contradictoire</w:t>
      </w:r>
      <w:r>
        <w:rPr>
          <w:rFonts w:ascii="Times New Roman" w:hAnsi="Times New Roman"/>
          <w:sz w:val="20"/>
        </w:rPr>
        <w:t>) and notably the right to a fair trial, and (4) the judgment is not irreconcilable with an earlier judgment rendered or recognized by a French court in the same or related matter. The French court may require all relevant supporting documents to be translated into the French language by a “sworn translator” (</w:t>
      </w:r>
      <w:r>
        <w:rPr>
          <w:rFonts w:ascii="Times New Roman" w:hAnsi="Times New Roman"/>
          <w:i/>
          <w:sz w:val="20"/>
        </w:rPr>
        <w:t>traducteur assermenté</w:t>
      </w:r>
      <w:r>
        <w:rPr>
          <w:rFonts w:ascii="Times New Roman" w:hAnsi="Times New Roman"/>
          <w:sz w:val="20"/>
        </w:rPr>
        <w:t xml:space="preserve">) as a condition to their admissibility into evidence or for purposes of enforcement. The decision granting exequatur is subject to appeal, with the appeal court decision also being rendered on the basis of the above-mentioned criteria. </w:t>
      </w:r>
    </w:p>
    <w:p>
      <w:pPr>
        <w:pStyle w:val="TextBody"/>
        <w:bidi w:val="0"/>
        <w:spacing w:before="240" w:after="0"/>
        <w:jc w:val="left"/>
        <w:rPr>
          <w:rFonts w:ascii="Times New Roman" w:hAnsi="Times New Roman"/>
          <w:sz w:val="20"/>
        </w:rPr>
      </w:pPr>
      <w:r>
        <w:rPr>
          <w:rFonts w:ascii="Times New Roman" w:hAnsi="Times New Roman"/>
          <w:sz w:val="20"/>
        </w:rPr>
        <w:t xml:space="preserve">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judgment awarding punitive and exemplary damages well above actual damages would be granted enforcement in France.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the enforcement, by U.S. investors, of any judgments obtained in U.S. courts in civil and commercial matters, including judgments under the U.S. federal securities law against us or members of our Board, officers or certain experts named herein who are residents of France or countries other than the United States would be subject to the above conditions. </w:t>
      </w:r>
    </w:p>
    <w:p>
      <w:pPr>
        <w:pStyle w:val="TextBody"/>
        <w:bidi w:val="0"/>
        <w:spacing w:before="240" w:after="0"/>
        <w:jc w:val="left"/>
        <w:rPr>
          <w:rFonts w:ascii="Times New Roman" w:hAnsi="Times New Roman"/>
          <w:sz w:val="20"/>
        </w:rPr>
      </w:pPr>
      <w:r>
        <w:rPr>
          <w:rFonts w:ascii="Times New Roman" w:hAnsi="Times New Roman"/>
          <w:sz w:val="20"/>
        </w:rPr>
        <w:t xml:space="preserve">Finally, if an original action is brought in France, French courts may refuse to apply foreign law designated by the applicable French rules of conflict (including the law chosen by the parties to govern their contract) if the application of such law is deemed to contravene French international public policy or in case of overriding mandatory rules (as determined on a case by case basis by French courts) or, where all other elements relevant to the situation at the time of the choice are located in a country other than the country whose law has been chosen, the choice of the parties shall not prejudice the application of provisions of the law of that other country which cannot be derogated from by agreement. Furthermore, in an action brought in France on the basis of U.S. federal or state securities laws, French courts may not have the requisite power to grant all the remedies sought.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there may be doubt as to whether a French court would impose civil liability on us, the members of our Board, our officers or certain experts named herein in an original action predicated solely upon the U.S. federal securities laws brought in a court of competent jurisdiction in France against us or such members, officers or experts,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rom86113_17"/>
      <w:bookmarkEnd w:id="3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France,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and directors and our principal shareholders are exempt from the short-swing profit recovery provisions contained in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 site that contains reports and information statements and other information about issuers, such as us, who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on Form F-3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www.abivax.com through which you can access our SEC filings. The information set forth on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rom86113_18"/>
      <w:bookmarkEnd w:id="36"/>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20-F for the fiscal year ended December 31, 2025, filed with the SEC on </w:t>
            </w:r>
            <w:hyperlink r:id="rId14">
              <w:r>
                <w:rPr>
                  <w:rStyle w:val="InternetLink"/>
                  <w:rFonts w:ascii="Times New Roman" w:hAnsi="Times New Roman"/>
                  <w:sz w:val="20"/>
                </w:rPr>
                <w:t>March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Reports on Form 6-K filed with the SEC on </w:t>
            </w:r>
            <w:hyperlink r:id="rId15">
              <w:r>
                <w:rPr>
                  <w:rStyle w:val="InternetLink"/>
                  <w:rFonts w:ascii="Times New Roman" w:hAnsi="Times New Roman"/>
                  <w:sz w:val="20"/>
                </w:rPr>
                <w:t>February 23, 2026</w:t>
              </w:r>
            </w:hyperlink>
            <w:r>
              <w:rPr>
                <w:rFonts w:ascii="Times New Roman" w:hAnsi="Times New Roman"/>
                <w:sz w:val="20"/>
              </w:rPr>
              <w:t xml:space="preserve">, </w:t>
            </w:r>
            <w:hyperlink r:id="rId16">
              <w:r>
                <w:rPr>
                  <w:rStyle w:val="InternetLink"/>
                  <w:rFonts w:ascii="Times New Roman" w:hAnsi="Times New Roman"/>
                  <w:sz w:val="20"/>
                </w:rPr>
                <w:t>April 20, 2026</w:t>
              </w:r>
            </w:hyperlink>
            <w:r>
              <w:rPr>
                <w:rFonts w:ascii="Times New Roman" w:hAnsi="Times New Roman"/>
                <w:sz w:val="20"/>
              </w:rPr>
              <w:t xml:space="preserve">, </w:t>
            </w:r>
            <w:hyperlink r:id="rId17">
              <w:r>
                <w:rPr>
                  <w:rStyle w:val="InternetLink"/>
                  <w:rFonts w:ascii="Times New Roman" w:hAnsi="Times New Roman"/>
                  <w:sz w:val="20"/>
                </w:rPr>
                <w:t>May  7, 2026</w:t>
              </w:r>
            </w:hyperlink>
            <w:r>
              <w:rPr>
                <w:rFonts w:ascii="Times New Roman" w:hAnsi="Times New Roman"/>
                <w:sz w:val="20"/>
              </w:rPr>
              <w:t xml:space="preserve">, </w:t>
            </w:r>
            <w:hyperlink r:id="rId18">
              <w:r>
                <w:rPr>
                  <w:rStyle w:val="InternetLink"/>
                  <w:rFonts w:ascii="Times New Roman" w:hAnsi="Times New Roman"/>
                  <w:sz w:val="20"/>
                </w:rPr>
                <w:t>May  20, 2026</w:t>
              </w:r>
            </w:hyperlink>
            <w:r>
              <w:rPr>
                <w:rFonts w:ascii="Times New Roman" w:hAnsi="Times New Roman"/>
                <w:sz w:val="20"/>
              </w:rPr>
              <w:t xml:space="preserve">, </w:t>
            </w:r>
            <w:hyperlink r:id="rId19">
              <w:r>
                <w:rPr>
                  <w:rStyle w:val="InternetLink"/>
                  <w:rFonts w:ascii="Times New Roman" w:hAnsi="Times New Roman"/>
                  <w:sz w:val="20"/>
                </w:rPr>
                <w:t>May  22, 2026</w:t>
              </w:r>
            </w:hyperlink>
            <w:r>
              <w:rPr>
                <w:rFonts w:ascii="Times New Roman" w:hAnsi="Times New Roman"/>
                <w:sz w:val="20"/>
              </w:rPr>
              <w:t xml:space="preserve">, </w:t>
            </w:r>
            <w:hyperlink r:id="rId20">
              <w:r>
                <w:rPr>
                  <w:rStyle w:val="InternetLink"/>
                  <w:rFonts w:ascii="Times New Roman" w:hAnsi="Times New Roman"/>
                  <w:sz w:val="20"/>
                </w:rPr>
                <w:t>June 2, 2026</w:t>
              </w:r>
            </w:hyperlink>
            <w:r>
              <w:rPr>
                <w:rFonts w:ascii="Times New Roman" w:hAnsi="Times New Roman"/>
                <w:sz w:val="20"/>
              </w:rPr>
              <w:t xml:space="preserve"> and </w:t>
            </w:r>
            <w:hyperlink r:id="rId21">
              <w:r>
                <w:rPr>
                  <w:rStyle w:val="InternetLink"/>
                  <w:rFonts w:ascii="Times New Roman" w:hAnsi="Times New Roman"/>
                  <w:sz w:val="20"/>
                </w:rPr>
                <w:t>June 29, 2026</w:t>
              </w:r>
            </w:hyperlink>
            <w:r>
              <w:rPr>
                <w:rFonts w:ascii="Times New Roman" w:hAnsi="Times New Roman"/>
                <w:sz w:val="20"/>
              </w:rPr>
              <w:t xml:space="preserve">, solely to the extent the information in such reports has been incorporated by reference into the registration statement of which this prospectus forms a part;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ADSs representing our ordinary shares contained in our Registration Statement on Form 8-A filed with the SEC on </w:t>
            </w:r>
            <w:hyperlink r:id="rId22">
              <w:r>
                <w:rPr>
                  <w:rStyle w:val="InternetLink"/>
                  <w:rFonts w:ascii="Times New Roman" w:hAnsi="Times New Roman"/>
                  <w:sz w:val="20"/>
                </w:rPr>
                <w:t>October 18, 2023</w:t>
              </w:r>
            </w:hyperlink>
            <w:r>
              <w:rPr>
                <w:rFonts w:ascii="Times New Roman" w:hAnsi="Times New Roman"/>
                <w:sz w:val="20"/>
              </w:rPr>
              <w:t xml:space="preserve">, including any amendments or reports filed for the purpose of updating such description, including Exhibit 2.3 to our Annual Report on Form 20-F for the fiscal year ended December  31, 2025, filed with the SEC on </w:t>
            </w:r>
            <w:hyperlink r:id="rId23">
              <w:r>
                <w:rPr>
                  <w:rStyle w:val="InternetLink"/>
                  <w:rFonts w:ascii="Times New Roman" w:hAnsi="Times New Roman"/>
                  <w:sz w:val="20"/>
                </w:rPr>
                <w:t>March 23,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the offering of securities under this prospectus. In all cases, you should rely on the later information over different information included in this prospectus or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 </w:t>
      </w:r>
    </w:p>
    <w:p>
      <w:pPr>
        <w:pStyle w:val="TextBody"/>
        <w:bidi w:val="0"/>
        <w:spacing w:before="240" w:after="0"/>
        <w:jc w:val="center"/>
        <w:rPr>
          <w:rFonts w:ascii="Times New Roman" w:hAnsi="Times New Roman"/>
          <w:b/>
          <w:sz w:val="20"/>
        </w:rPr>
      </w:pPr>
      <w:r>
        <w:rPr>
          <w:rFonts w:ascii="Times New Roman" w:hAnsi="Times New Roman"/>
          <w:b/>
          <w:sz w:val="20"/>
        </w:rPr>
        <w:t xml:space="preserve">Abivax SA </w:t>
      </w:r>
    </w:p>
    <w:p>
      <w:pPr>
        <w:pStyle w:val="TextBody"/>
        <w:bidi w:val="0"/>
        <w:spacing w:before="0" w:after="0"/>
        <w:jc w:val="center"/>
        <w:rPr>
          <w:rFonts w:ascii="Times New Roman" w:hAnsi="Times New Roman"/>
          <w:sz w:val="20"/>
        </w:rPr>
      </w:pPr>
      <w:r>
        <w:rPr>
          <w:rFonts w:ascii="Times New Roman" w:hAnsi="Times New Roman"/>
          <w:sz w:val="20"/>
        </w:rPr>
        <w:t xml:space="preserve">7-11 boulevard Haussmann </w:t>
      </w:r>
    </w:p>
    <w:p>
      <w:pPr>
        <w:pStyle w:val="TextBody"/>
        <w:bidi w:val="0"/>
        <w:spacing w:before="0" w:after="0"/>
        <w:jc w:val="center"/>
        <w:rPr>
          <w:rFonts w:ascii="Times New Roman" w:hAnsi="Times New Roman"/>
          <w:sz w:val="20"/>
        </w:rPr>
      </w:pPr>
      <w:r>
        <w:rPr>
          <w:rFonts w:ascii="Times New Roman" w:hAnsi="Times New Roman"/>
          <w:sz w:val="20"/>
        </w:rPr>
        <w:t xml:space="preserve">75009 Paris </w:t>
      </w:r>
    </w:p>
    <w:p>
      <w:pPr>
        <w:pStyle w:val="TextBody"/>
        <w:bidi w:val="0"/>
        <w:spacing w:before="0" w:after="0"/>
        <w:jc w:val="center"/>
        <w:rPr>
          <w:rFonts w:ascii="Times New Roman" w:hAnsi="Times New Roman"/>
          <w:sz w:val="20"/>
        </w:rPr>
      </w:pPr>
      <w:r>
        <w:rPr>
          <w:rFonts w:ascii="Times New Roman" w:hAnsi="Times New Roman"/>
          <w:sz w:val="20"/>
        </w:rPr>
        <w:t xml:space="preserve">France </w:t>
      </w:r>
    </w:p>
    <w:p>
      <w:pPr>
        <w:pStyle w:val="TextBody"/>
        <w:bidi w:val="0"/>
        <w:spacing w:before="0" w:after="0"/>
        <w:jc w:val="center"/>
        <w:rPr>
          <w:rFonts w:ascii="Times New Roman" w:hAnsi="Times New Roman"/>
          <w:sz w:val="20"/>
        </w:rPr>
      </w:pPr>
      <w:r>
        <w:rPr>
          <w:rFonts w:ascii="Times New Roman" w:hAnsi="Times New Roman"/>
          <w:sz w:val="20"/>
        </w:rPr>
        <w:t xml:space="preserve">+33 (0) 1 53 83 09 63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w:t>
      </w:r>
      <w:r>
        <w:rPr>
          <w:rFonts w:ascii="Times New Roman" w:hAnsi="Times New Roman"/>
          <w:i/>
          <w:sz w:val="20"/>
        </w:rPr>
        <w:t>www.abivax.com</w:t>
      </w:r>
      <w:r>
        <w:rPr>
          <w:rFonts w:ascii="Times New Roman" w:hAnsi="Times New Roman"/>
          <w:sz w:val="20"/>
        </w:rPr>
        <w:t xml:space="preserve">. The information contained on, or that can be accessed through, our website is not a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rom86113_19"/>
      <w:bookmarkEnd w:id="37"/>
      <w:r>
        <w:rPr>
          <w:rFonts w:ascii="Times New Roman" w:hAnsi="Times New Roman"/>
          <w:b/>
          <w:sz w:val="20"/>
        </w:rPr>
        <w:t xml:space="preserve">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fees and expenses payable by the registrant, other than underwriting discounts and commissions, in connection with the issuance and distribution of the securities being registered hereby. All amounts set forth below are estimates. All of such expenses are being borne by the registrant.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35"/>
        <w:gridCol w:w="628"/>
        <w:gridCol w:w="244"/>
        <w:gridCol w:w="376"/>
        <w:gridCol w:w="156"/>
      </w:tblGrid>
      <w:tr>
        <w:trPr/>
        <w:tc>
          <w:tcPr>
            <w:tcW w:w="5535" w:type="dxa"/>
            <w:tcBorders/>
            <w:vAlign w:val="center"/>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5"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br/>
              <w:t>dollar</w:t>
            </w:r>
          </w:p>
        </w:tc>
        <w:tc>
          <w:tcPr>
            <w:tcW w:w="156"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62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376" w:type="dxa"/>
            <w:tcBorders/>
            <w:shd w:fill="CCEEFF" w:val="clear"/>
            <w:vAlign w:val="bottom"/>
          </w:tcPr>
          <w:p>
            <w:pPr>
              <w:pStyle w:val="TableContents"/>
              <w:bidi w:val="0"/>
              <w:spacing w:before="0" w:after="283"/>
              <w:jc w:val="right"/>
              <w:rPr/>
            </w:pPr>
            <w:r>
              <w:rPr/>
              <w:t>(1</w:t>
            </w:r>
          </w:p>
        </w:tc>
        <w:tc>
          <w:tcPr>
            <w:tcW w:w="156"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62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376" w:type="dxa"/>
            <w:tcBorders/>
            <w:vAlign w:val="bottom"/>
          </w:tcPr>
          <w:p>
            <w:pPr>
              <w:pStyle w:val="TableContents"/>
              <w:bidi w:val="0"/>
              <w:spacing w:before="0" w:after="283"/>
              <w:jc w:val="right"/>
              <w:rPr/>
            </w:pPr>
            <w:r>
              <w:rPr/>
              <w:t>(1</w:t>
            </w:r>
          </w:p>
        </w:tc>
        <w:tc>
          <w:tcPr>
            <w:tcW w:w="156"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62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right"/>
              <w:rPr/>
            </w:pPr>
            <w:r>
              <w:rPr/>
              <w:t>(2</w:t>
            </w:r>
          </w:p>
        </w:tc>
        <w:tc>
          <w:tcPr>
            <w:tcW w:w="156"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62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right"/>
              <w:rPr/>
            </w:pPr>
            <w:r>
              <w:rPr/>
              <w:t>(2</w:t>
            </w:r>
          </w:p>
        </w:tc>
        <w:tc>
          <w:tcPr>
            <w:tcW w:w="156"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62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right"/>
              <w:rPr/>
            </w:pPr>
            <w:r>
              <w:rPr/>
              <w:t>(2</w:t>
            </w:r>
          </w:p>
        </w:tc>
        <w:tc>
          <w:tcPr>
            <w:tcW w:w="156"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62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right"/>
              <w:rPr/>
            </w:pPr>
            <w:r>
              <w:rPr/>
              <w:t>(2</w:t>
            </w:r>
          </w:p>
        </w:tc>
        <w:tc>
          <w:tcPr>
            <w:tcW w:w="156"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2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376" w:type="dxa"/>
            <w:tcBorders/>
            <w:shd w:fill="CCEEFF" w:val="clear"/>
            <w:vAlign w:val="bottom"/>
          </w:tcPr>
          <w:p>
            <w:pPr>
              <w:pStyle w:val="TableContents"/>
              <w:bidi w:val="0"/>
              <w:spacing w:before="0" w:after="283"/>
              <w:jc w:val="right"/>
              <w:rPr/>
            </w:pPr>
            <w:r>
              <w:rPr/>
              <w:t>(2</w:t>
            </w:r>
          </w:p>
        </w:tc>
        <w:tc>
          <w:tcPr>
            <w:tcW w:w="15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relates to the registration of securities having an indeterminate maximum aggregate amount. Payment of the registration fee has been deferred and will be calculated and paid in accordance with Rule 456(b) and Rule 457(r) under the Securities Act.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34485" cy="5956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4134485" cy="59563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$600,000,000 </w:t>
      </w:r>
    </w:p>
    <w:p>
      <w:pPr>
        <w:pStyle w:val="TextBody"/>
        <w:bidi w:val="0"/>
        <w:spacing w:before="0" w:after="0"/>
        <w:jc w:val="center"/>
        <w:rPr>
          <w:rFonts w:ascii="Times New Roman" w:hAnsi="Times New Roman"/>
          <w:b/>
          <w:sz w:val="28"/>
        </w:rPr>
      </w:pPr>
      <w:r>
        <w:rPr>
          <w:rFonts w:ascii="Times New Roman" w:hAnsi="Times New Roman"/>
          <w:b/>
          <w:sz w:val="28"/>
        </w:rPr>
        <w:t xml:space="preserve">American 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Representing Ordinary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Leerink Partners </w:t>
      </w:r>
    </w:p>
    <w:p>
      <w:pPr>
        <w:pStyle w:val="TextBody"/>
        <w:bidi w:val="0"/>
        <w:spacing w:before="12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120" w:after="0"/>
        <w:jc w:val="center"/>
        <w:rPr>
          <w:rFonts w:ascii="Times New Roman" w:hAnsi="Times New Roman"/>
          <w:b/>
          <w:sz w:val="32"/>
        </w:rPr>
      </w:pPr>
      <w:r>
        <w:rPr>
          <w:rFonts w:ascii="Times New Roman" w:hAnsi="Times New Roman"/>
          <w:b/>
          <w:sz w:val="32"/>
        </w:rPr>
        <w:t xml:space="preserve">Piper Sandler </w:t>
      </w:r>
    </w:p>
    <w:p>
      <w:pPr>
        <w:pStyle w:val="TextBody"/>
        <w:bidi w:val="0"/>
        <w:spacing w:before="120" w:after="0"/>
        <w:jc w:val="center"/>
        <w:rPr>
          <w:rFonts w:ascii="Times New Roman" w:hAnsi="Times New Roman"/>
          <w:b/>
          <w:sz w:val="32"/>
        </w:rPr>
      </w:pPr>
      <w:r>
        <w:rPr>
          <w:rFonts w:ascii="Times New Roman" w:hAnsi="Times New Roman"/>
          <w:b/>
          <w:sz w:val="32"/>
        </w:rPr>
        <w:t xml:space="preserve">Guggenheim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Bookrunning Manager </w:t>
      </w:r>
    </w:p>
    <w:p>
      <w:pPr>
        <w:pStyle w:val="TextBody"/>
        <w:bidi w:val="0"/>
        <w:spacing w:before="120" w:after="0"/>
        <w:jc w:val="center"/>
        <w:rPr>
          <w:rFonts w:ascii="Times New Roman" w:hAnsi="Times New Roman"/>
          <w:b/>
          <w:sz w:val="28"/>
        </w:rPr>
      </w:pPr>
      <w:r>
        <w:rPr>
          <w:rFonts w:ascii="Times New Roman" w:hAnsi="Times New Roman"/>
          <w:b/>
          <w:sz w:val="28"/>
        </w:rPr>
        <w:t xml:space="preserve">LifeSci Capital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Lead Manager </w:t>
      </w:r>
    </w:p>
    <w:p>
      <w:pPr>
        <w:pStyle w:val="TextBody"/>
        <w:bidi w:val="0"/>
        <w:spacing w:before="120" w:after="0"/>
        <w:jc w:val="center"/>
        <w:rPr>
          <w:rFonts w:ascii="Times New Roman" w:hAnsi="Times New Roman"/>
          <w:b/>
          <w:sz w:val="24"/>
        </w:rPr>
      </w:pPr>
      <w:r>
        <w:rPr>
          <w:rFonts w:ascii="Times New Roman" w:hAnsi="Times New Roman"/>
          <w:b/>
          <w:sz w:val="24"/>
        </w:rPr>
        <w:t xml:space="preserve">Van Lanschot Kempen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956827/000195682726000012/abvx-20251231.htm" TargetMode="External"/><Relationship Id="rId4" Type="http://schemas.openxmlformats.org/officeDocument/2006/relationships/hyperlink" Target="http://www.sec.gov/Archives/edgar/data/1956827/000195682726000003/a6-kxeccopr.htm" TargetMode="External"/><Relationship Id="rId5" Type="http://schemas.openxmlformats.org/officeDocument/2006/relationships/hyperlink" Target="http://www.sec.gov/Archives/edgar/data/1956827/000195682726000014/abivax-6xkpreparatorydocum.htm" TargetMode="External"/><Relationship Id="rId6" Type="http://schemas.openxmlformats.org/officeDocument/2006/relationships/hyperlink" Target="http://www.sec.gov/Archives/edgar/data/1956827/000119312526211853/d148287d6k.htm" TargetMode="External"/><Relationship Id="rId7" Type="http://schemas.openxmlformats.org/officeDocument/2006/relationships/hyperlink" Target="http://www.sec.gov/Archives/edgar/data/1956827/000195682726000017/a6-kcoverpagex060925pressr.htm" TargetMode="External"/><Relationship Id="rId8" Type="http://schemas.openxmlformats.org/officeDocument/2006/relationships/hyperlink" Target="http://www.sec.gov/Archives/edgar/data/../../../ix?doc=/Archives/edgar/data/1956827/000195682726000022/abvx-20260331.htm" TargetMode="External"/><Relationship Id="rId9" Type="http://schemas.openxmlformats.org/officeDocument/2006/relationships/hyperlink" Target="http://www.sec.gov/Archives/edgar/data/1956827/000119312526252360/d98688d6k.htm" TargetMode="External"/><Relationship Id="rId10" Type="http://schemas.openxmlformats.org/officeDocument/2006/relationships/hyperlink" Target="http://www.sec.gov/Archives/edgar/data/1956827/000119312526288752/d110874d6k.htm" TargetMode="External"/><Relationship Id="rId11" Type="http://schemas.openxmlformats.org/officeDocument/2006/relationships/hyperlink" Target="http://www.sec.gov/Archives/edgar/data/1956827/000119312523258649/d533766d8a12b.htm" TargetMode="External"/><Relationship Id="rId12" Type="http://schemas.openxmlformats.org/officeDocument/2006/relationships/hyperlink" Target="http://www.sec.gov/Archives/edgar/data/1956827/000195682726000012/abvx-20251231.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0001956827/000195682726000012/abvx-20251231.htm" TargetMode="External"/><Relationship Id="rId15" Type="http://schemas.openxmlformats.org/officeDocument/2006/relationships/hyperlink" Target="http://www.sec.gov/Archives/edgar/data/1956827/000195682726000003/a6-kxeccopr.htm" TargetMode="External"/><Relationship Id="rId16" Type="http://schemas.openxmlformats.org/officeDocument/2006/relationships/hyperlink" Target="http://www.sec.gov/Archives/edgar/data/1956827/000195682726000014/abivax-6xkpreparatorydocum.htm" TargetMode="External"/><Relationship Id="rId17" Type="http://schemas.openxmlformats.org/officeDocument/2006/relationships/hyperlink" Target="http://www.sec.gov/Archives/edgar/data/1956827/000119312526211853/d148287d6k.htm" TargetMode="External"/><Relationship Id="rId18" Type="http://schemas.openxmlformats.org/officeDocument/2006/relationships/hyperlink" Target="http://www.sec.gov/Archives/edgar/data/1956827/000195682726000017/a6-kcoverpagex060925pressr.htm" TargetMode="External"/><Relationship Id="rId19" Type="http://schemas.openxmlformats.org/officeDocument/2006/relationships/hyperlink" Target="http://www.sec.gov/Archives/edgar/data/../../../ix?doc=/Archives/edgar/data/0001956827/000195682726000022/abvx-20260331.htm" TargetMode="External"/><Relationship Id="rId20" Type="http://schemas.openxmlformats.org/officeDocument/2006/relationships/hyperlink" Target="http://www.sec.gov/Archives/edgar/data/1956827/000119312526252360/d98688d6k.htm" TargetMode="External"/><Relationship Id="rId21" Type="http://schemas.openxmlformats.org/officeDocument/2006/relationships/hyperlink" Target="http://www.sec.gov/Archives/edgar/data/1956827/000119312526288752/d110874d6k.htm" TargetMode="External"/><Relationship Id="rId22" Type="http://schemas.openxmlformats.org/officeDocument/2006/relationships/hyperlink" Target="http://www.sec.gov/Archives/edgar/data/1956827/000119312523258649/d533766d8a12b.htm" TargetMode="External"/><Relationship Id="rId23" Type="http://schemas.openxmlformats.org/officeDocument/2006/relationships/hyperlink" Target="http://www.sec.gov/Archives/edgar/data/1956827/000195682726000012/abvx-20251231.htm" TargetMode="External"/><Relationship Id="rId24" Type="http://schemas.openxmlformats.org/officeDocument/2006/relationships/image" Target="media/image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114</Pages>
  <Words>58592</Words>
  <Characters>306504</Characters>
  <CharactersWithSpaces>367311</CharactersWithSpaces>
  <Paragraphs>6176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