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2">
                <wp:simplePos x="0" y="0"/>
                <wp:positionH relativeFrom="page">
                  <wp:posOffset>971550</wp:posOffset>
                </wp:positionH>
                <wp:positionV relativeFrom="page">
                  <wp:posOffset>5005705</wp:posOffset>
                </wp:positionV>
                <wp:extent cx="914400" cy="914400"/>
                <wp:effectExtent l="0" t="0" r="0" b="0"/>
                <wp:wrapNone/>
                <wp:docPr id="1" name="Frame1"/>
                <a:graphic xmlns:a="http://schemas.openxmlformats.org/drawingml/2006/main">
                  <a:graphicData uri="http://schemas.microsoft.com/office/word/2010/wordprocessingShape">
                    <wps:wsp>
                      <wps:cNvSpPr txBox="1"/>
                      <wps:spPr>
                        <a:xfrm>
                          <a:off x="0" y="0"/>
                          <a:ext cx="914400" cy="91440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72pt;height:72pt;mso-wrap-distance-left:0pt;mso-wrap-distance-right:0pt;mso-wrap-distance-top:0pt;mso-wrap-distance-bottom:0pt;margin-top:394.15pt;mso-position-vertical-relative:page;margin-left:76.5pt;mso-position-horizontal-relative:page">
                <v:textbox>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Washington, D.C. 20549</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FORM 6-K</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 xml:space="preserve">REPORT OF FOREIGN PRIVATE ISSUER PURSUANT TO RULE 13a-16 OR 15d-16 UNDER THE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For the month of April 2026</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Commission File Number: </w:t>
      </w:r>
      <w:r>
        <w:rPr>
          <w:rFonts w:ascii="Times New Roman;serif" w:hAnsi="Times New Roman;serif"/>
          <w:b/>
          <w:i w:val="false"/>
          <w:caps w:val="false"/>
          <w:smallCaps w:val="false"/>
          <w:sz w:val="20"/>
          <w:shd w:fill="E4E4E4" w:val="clear"/>
        </w:rPr>
        <w:t>001-41842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Abivax SA</w:t>
      </w:r>
    </w:p>
    <w:p>
      <w:pPr>
        <w:pStyle w:val="TextBody"/>
        <w:bidi w:val="0"/>
        <w:spacing w:lineRule="atLeast" w:line="16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(Translation of registrant’s name into English)</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7-11 boulevard Haussmann</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75009 Paris, France</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+33 (0) 1 53 83 08 41</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(Address, including zip code, and telephone number, including area code, of registrant’s principal executive offices)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Indicate by check mark whether the registrant files or will file annual reports under cover of Form 20-F or Form 40-</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Form 20-F [ X ] Form 40-F [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On April 20, 2026, Abivax SA (the “Registrant”) published a press release entitled “Annual Ordinary and </w:t>
      </w:r>
      <w:r>
        <mc:AlternateContent>
          <mc:Choice Requires="wps">
            <w:drawing>
              <wp:anchor behindDoc="0" distT="0" distB="0" distL="0" distR="0" simplePos="0" locked="0" layoutInCell="1" allowOverlap="1" relativeHeight="3">
                <wp:simplePos x="0" y="0"/>
                <wp:positionH relativeFrom="page">
                  <wp:posOffset>914400</wp:posOffset>
                </wp:positionH>
                <wp:positionV relativeFrom="line">
                  <wp:posOffset>635</wp:posOffset>
                </wp:positionV>
                <wp:extent cx="5905500" cy="671830"/>
                <wp:effectExtent l="0" t="0" r="0" b="0"/>
                <wp:wrapNone/>
                <wp:docPr id="2" name="Frame2"/>
                <a:graphic xmlns:a="http://schemas.openxmlformats.org/drawingml/2006/main">
                  <a:graphicData uri="http://schemas.microsoft.com/office/word/2010/wordprocessingShape">
                    <wps:wsp>
                      <wps:cNvSpPr txBox="1"/>
                      <wps:spPr>
                        <a:xfrm>
                          <a:off x="0" y="0"/>
                          <a:ext cx="5905500" cy="671830"/>
                        </a:xfrm>
                        <a:prstGeom prst="rect"/>
                        <a:solidFill>
                          <a:srgbClr val="FFFFFF"/>
                        </a:solidFill>
                      </wps:spPr>
                      <wps:txbx>
                        <w:txbxContent>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5pt;height:52.9pt;mso-wrap-distance-left:0pt;mso-wrap-distance-right:0pt;mso-wrap-distance-top:0pt;mso-wrap-distance-bottom:0pt;margin-top:0pt;mso-position-vertical:top;mso-position-vertical-relative:text;margin-left:72pt;mso-position-horizontal-relative:page">
                <v:textbox>
                  <w:txbxContent>
                    <w:tbl>
                      <w:tblPr>
                        <w:tblW w:w="605" w:type="dxa"/>
                        <w:jc w:val="left"/>
                        <w:tblInd w:w="0" w:type="dxa"/>
                        <w:tblLayout w:type="fixed"/>
                        <w:tblCellMar>
                          <w:top w:w="28" w:type="dxa"/>
                          <w:left w:w="28" w:type="dxa"/>
                          <w:bottom w:w="28" w:type="dxa"/>
                          <w:right w:w="28"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 xml:space="preserve">Extraordinary General Meeting of May 11, 2026 Availability of the Preparatory Documents.” A copy of the press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20"/>
          <w:u w:val="none"/>
          <w:effect w:val="none"/>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release is filed as Exhibit 99.1 to this Report on Form 6-K and is incorporated herein by reference.</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r>
        <mc:AlternateContent>
          <mc:Choice Requires="wps">
            <w:drawing>
              <wp:anchor behindDoc="0" distT="0" distB="0" distL="0" distR="0" simplePos="0" locked="0" layoutInCell="1" allowOverlap="1" relativeHeight="4">
                <wp:simplePos x="0" y="0"/>
                <wp:positionH relativeFrom="page">
                  <wp:posOffset>914400</wp:posOffset>
                </wp:positionH>
                <wp:positionV relativeFrom="line">
                  <wp:posOffset>635</wp:posOffset>
                </wp:positionV>
                <wp:extent cx="5942965" cy="146685"/>
                <wp:effectExtent l="0" t="0" r="0" b="0"/>
                <wp:wrapNone/>
                <wp:docPr id="3" name="Frame3"/>
                <a:graphic xmlns:a="http://schemas.openxmlformats.org/drawingml/2006/main">
                  <a:graphicData uri="http://schemas.microsoft.com/office/word/2010/wordprocessingShape">
                    <wps:wsp>
                      <wps:cNvSpPr txBox="1"/>
                      <wps:spPr>
                        <a:xfrm>
                          <a:off x="0" y="0"/>
                          <a:ext cx="5942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inclusion of any website address herein, including in any exhibit attached hereto, is intended to be an inactive</w:t>
                            </w:r>
                          </w:p>
                        </w:txbxContent>
                      </wps:txbx>
                      <wps:bodyPr anchor="t" lIns="0" tIns="0" rIns="0" bIns="0">
                        <a:noAutofit/>
                      </wps:bodyPr>
                    </wps:wsp>
                  </a:graphicData>
                </a:graphic>
              </wp:anchor>
            </w:drawing>
          </mc:Choice>
          <mc:Fallback>
            <w:pict>
              <v:rect style="position:absolute;rotation:-0;width:467.95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inclusion of any website address herein, including in any exhibit attached hereto, is intended to be an inactive</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6857365</wp:posOffset>
                </wp:positionH>
                <wp:positionV relativeFrom="line">
                  <wp:posOffset>635</wp:posOffset>
                </wp:positionV>
                <wp:extent cx="31750" cy="175260"/>
                <wp:effectExtent l="0" t="0" r="0" b="0"/>
                <wp:wrapNone/>
                <wp:docPr id="4" name="Frame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line">
                  <wp:posOffset>635</wp:posOffset>
                </wp:positionV>
                <wp:extent cx="5942330" cy="146685"/>
                <wp:effectExtent l="0" t="0" r="0" b="0"/>
                <wp:wrapNone/>
                <wp:docPr id="5" name="Frame5"/>
                <a:graphic xmlns:a="http://schemas.openxmlformats.org/drawingml/2006/main">
                  <a:graphicData uri="http://schemas.microsoft.com/office/word/2010/wordprocessingShape">
                    <wps:wsp>
                      <wps:cNvSpPr txBox="1"/>
                      <wps:spPr>
                        <a:xfrm>
                          <a:off x="0" y="0"/>
                          <a:ext cx="5942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textual reference only and not an active hyperlink. The information contained in, or that can be accessed through,</w:t>
                            </w:r>
                          </w:p>
                        </w:txbxContent>
                      </wps:txbx>
                      <wps:bodyPr anchor="t" lIns="0" tIns="0" rIns="0" bIns="0">
                        <a:noAutofit/>
                      </wps:bodyPr>
                    </wps:wsp>
                  </a:graphicData>
                </a:graphic>
              </wp:anchor>
            </w:drawing>
          </mc:Choice>
          <mc:Fallback>
            <w:pict>
              <v:rect style="position:absolute;rotation:-0;width:467.9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textual reference only and not an active hyperlink. The information contained in, or that can be accessed through,</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6856730</wp:posOffset>
                </wp:positionH>
                <wp:positionV relativeFrom="line">
                  <wp:posOffset>635</wp:posOffset>
                </wp:positionV>
                <wp:extent cx="31750" cy="175260"/>
                <wp:effectExtent l="0" t="0" r="0" b="0"/>
                <wp:wrapNone/>
                <wp:docPr id="6" name="Frame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914400</wp:posOffset>
                </wp:positionH>
                <wp:positionV relativeFrom="line">
                  <wp:posOffset>635</wp:posOffset>
                </wp:positionV>
                <wp:extent cx="3552825" cy="293370"/>
                <wp:effectExtent l="0" t="0" r="0" b="0"/>
                <wp:wrapNone/>
                <wp:docPr id="7" name="Frame7"/>
                <a:graphic xmlns:a="http://schemas.openxmlformats.org/drawingml/2006/main">
                  <a:graphicData uri="http://schemas.microsoft.com/office/word/2010/wordprocessingShape">
                    <wps:wsp>
                      <wps:cNvSpPr txBox="1"/>
                      <wps:spPr>
                        <a:xfrm>
                          <a:off x="0" y="0"/>
                          <a:ext cx="355282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such website is not part of this Form 6-K nor is it incorporated herein.</w:t>
                            </w:r>
                          </w:p>
                        </w:txbxContent>
                      </wps:txbx>
                      <wps:bodyPr anchor="t" lIns="0" tIns="0" rIns="0" bIns="0">
                        <a:noAutofit/>
                      </wps:bodyPr>
                    </wps:wsp>
                  </a:graphicData>
                </a:graphic>
              </wp:anchor>
            </w:drawing>
          </mc:Choice>
          <mc:Fallback>
            <w:pict>
              <v:rect style="position:absolute;rotation:-0;width:279.75pt;height:23.1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such website is not part of this Form 6-K nor is it incorporated herein.</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914400</wp:posOffset>
                </wp:positionH>
                <wp:positionV relativeFrom="line">
                  <wp:posOffset>635</wp:posOffset>
                </wp:positionV>
                <wp:extent cx="1402080" cy="293370"/>
                <wp:effectExtent l="0" t="0" r="0" b="0"/>
                <wp:wrapNone/>
                <wp:docPr id="8" name="Frame8"/>
                <a:graphic xmlns:a="http://schemas.openxmlformats.org/drawingml/2006/main">
                  <a:graphicData uri="http://schemas.microsoft.com/office/word/2010/wordprocessingShape">
                    <wps:wsp>
                      <wps:cNvSpPr txBox="1"/>
                      <wps:spPr>
                        <a:xfrm>
                          <a:off x="0" y="0"/>
                          <a:ext cx="1402080" cy="293370"/>
                        </a:xfrm>
                        <a:prstGeom prst="rect"/>
                        <a:solidFill>
                          <a:srgbClr val="FFFFFF"/>
                        </a:solidFill>
                      </wps:spPr>
                      <wps:txbx>
                        <w:txbxContent>
                          <w:p>
                            <w:pPr>
                              <w:pStyle w:val="TextBody"/>
                              <w:bidi w:val="0"/>
                              <w:spacing w:before="0" w:after="283"/>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Incorporation by Reference</w:t>
                            </w:r>
                          </w:p>
                        </w:txbxContent>
                      </wps:txbx>
                      <wps:bodyPr anchor="t" lIns="0" tIns="0" rIns="0" bIns="0">
                        <a:noAutofit/>
                      </wps:bodyPr>
                    </wps:wsp>
                  </a:graphicData>
                </a:graphic>
              </wp:anchor>
            </w:drawing>
          </mc:Choice>
          <mc:Fallback>
            <w:pict>
              <v:rect style="position:absolute;rotation:-0;width:110.4pt;height:23.1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Incorporation by Reference</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914400</wp:posOffset>
                </wp:positionH>
                <wp:positionV relativeFrom="line">
                  <wp:posOffset>635</wp:posOffset>
                </wp:positionV>
                <wp:extent cx="5942330" cy="146685"/>
                <wp:effectExtent l="0" t="0" r="0" b="0"/>
                <wp:wrapNone/>
                <wp:docPr id="9" name="Frame9"/>
                <a:graphic xmlns:a="http://schemas.openxmlformats.org/drawingml/2006/main">
                  <a:graphicData uri="http://schemas.microsoft.com/office/word/2010/wordprocessingShape">
                    <wps:wsp>
                      <wps:cNvSpPr txBox="1"/>
                      <wps:spPr>
                        <a:xfrm>
                          <a:off x="0" y="0"/>
                          <a:ext cx="5942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This Report on Form 6-K, including Exhibit 99.1, shall be deemed to be incorporated by reference into the</w:t>
                            </w:r>
                          </w:p>
                        </w:txbxContent>
                      </wps:txbx>
                      <wps:bodyPr anchor="t" lIns="0" tIns="0" rIns="0" bIns="0">
                        <a:noAutofit/>
                      </wps:bodyPr>
                    </wps:wsp>
                  </a:graphicData>
                </a:graphic>
              </wp:anchor>
            </w:drawing>
          </mc:Choice>
          <mc:Fallback>
            <w:pict>
              <v:rect style="position:absolute;rotation:-0;width:467.9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This Report on Form 6-K, including Exhibit 99.1, shall be deemed to be incorporated by reference into the</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6856730</wp:posOffset>
                </wp:positionH>
                <wp:positionV relativeFrom="line">
                  <wp:posOffset>635</wp:posOffset>
                </wp:positionV>
                <wp:extent cx="31750" cy="175260"/>
                <wp:effectExtent l="0" t="0" r="0" b="0"/>
                <wp:wrapNone/>
                <wp:docPr id="10" name="Frame10"/>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914400</wp:posOffset>
                </wp:positionH>
                <wp:positionV relativeFrom="line">
                  <wp:posOffset>635</wp:posOffset>
                </wp:positionV>
                <wp:extent cx="5942330" cy="146685"/>
                <wp:effectExtent l="0" t="0" r="0" b="0"/>
                <wp:wrapNone/>
                <wp:docPr id="11" name="Frame11"/>
                <a:graphic xmlns:a="http://schemas.openxmlformats.org/drawingml/2006/main">
                  <a:graphicData uri="http://schemas.microsoft.com/office/word/2010/wordprocessingShape">
                    <wps:wsp>
                      <wps:cNvSpPr txBox="1"/>
                      <wps:spPr>
                        <a:xfrm>
                          <a:off x="0" y="0"/>
                          <a:ext cx="5942330"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Registrant’s registration statements on Form F-3 (File No. 333-283336 and 333-288884) and Form S-8 (File No.</w:t>
                            </w:r>
                          </w:p>
                        </w:txbxContent>
                      </wps:txbx>
                      <wps:bodyPr anchor="t" lIns="0" tIns="0" rIns="0" bIns="0">
                        <a:noAutofit/>
                      </wps:bodyPr>
                    </wps:wsp>
                  </a:graphicData>
                </a:graphic>
              </wp:anchor>
            </w:drawing>
          </mc:Choice>
          <mc:Fallback>
            <w:pict>
              <v:rect style="position:absolute;rotation:-0;width:467.9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Registrant’s registration statements on Form F-3 (File No. 333-283336 and 333-288884) and Form S-8 (File No.</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6856730</wp:posOffset>
                </wp:positionH>
                <wp:positionV relativeFrom="line">
                  <wp:posOffset>635</wp:posOffset>
                </wp:positionV>
                <wp:extent cx="31750" cy="175260"/>
                <wp:effectExtent l="0" t="0" r="0" b="0"/>
                <wp:wrapNone/>
                <wp:docPr id="12" name="Frame12"/>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914400</wp:posOffset>
                </wp:positionH>
                <wp:positionV relativeFrom="line">
                  <wp:posOffset>635</wp:posOffset>
                </wp:positionV>
                <wp:extent cx="5942965" cy="146685"/>
                <wp:effectExtent l="0" t="0" r="0" b="0"/>
                <wp:wrapNone/>
                <wp:docPr id="13" name="Frame13"/>
                <a:graphic xmlns:a="http://schemas.openxmlformats.org/drawingml/2006/main">
                  <a:graphicData uri="http://schemas.microsoft.com/office/word/2010/wordprocessingShape">
                    <wps:wsp>
                      <wps:cNvSpPr txBox="1"/>
                      <wps:spPr>
                        <a:xfrm>
                          <a:off x="0" y="0"/>
                          <a:ext cx="5942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333-286069 and 333-294544) and to be part thereof from the date on which this Report is filed, to the extent not</w:t>
                            </w:r>
                          </w:p>
                        </w:txbxContent>
                      </wps:txbx>
                      <wps:bodyPr anchor="t" lIns="0" tIns="0" rIns="0" bIns="0">
                        <a:noAutofit/>
                      </wps:bodyPr>
                    </wps:wsp>
                  </a:graphicData>
                </a:graphic>
              </wp:anchor>
            </w:drawing>
          </mc:Choice>
          <mc:Fallback>
            <w:pict>
              <v:rect style="position:absolute;rotation:-0;width:467.95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333-286069 and 333-294544) and to be part thereof from the date on which this Report is filed, to the extent not</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6857365</wp:posOffset>
                </wp:positionH>
                <wp:positionV relativeFrom="line">
                  <wp:posOffset>635</wp:posOffset>
                </wp:positionV>
                <wp:extent cx="31750" cy="175260"/>
                <wp:effectExtent l="0" t="0" r="0" b="0"/>
                <wp:wrapNone/>
                <wp:docPr id="14" name="Frame14"/>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914400</wp:posOffset>
                </wp:positionH>
                <wp:positionV relativeFrom="line">
                  <wp:posOffset>635</wp:posOffset>
                </wp:positionV>
                <wp:extent cx="2816225" cy="293370"/>
                <wp:effectExtent l="0" t="0" r="0" b="0"/>
                <wp:wrapNone/>
                <wp:docPr id="15" name="Frame15"/>
                <a:graphic xmlns:a="http://schemas.openxmlformats.org/drawingml/2006/main">
                  <a:graphicData uri="http://schemas.microsoft.com/office/word/2010/wordprocessingShape">
                    <wps:wsp>
                      <wps:cNvSpPr txBox="1"/>
                      <wps:spPr>
                        <a:xfrm>
                          <a:off x="0" y="0"/>
                          <a:ext cx="2816225"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superseded by documents or reports subsequently filed.</w:t>
                            </w:r>
                          </w:p>
                        </w:txbxContent>
                      </wps:txbx>
                      <wps:bodyPr anchor="t" lIns="0" tIns="0" rIns="0" bIns="0">
                        <a:noAutofit/>
                      </wps:bodyPr>
                    </wps:wsp>
                  </a:graphicData>
                </a:graphic>
              </wp:anchor>
            </w:drawing>
          </mc:Choice>
          <mc:Fallback>
            <w:pict>
              <v:rect style="position:absolute;rotation:-0;width:221.75pt;height:23.1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superseded by documents or reports subsequently filed.</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3730625</wp:posOffset>
                </wp:positionH>
                <wp:positionV relativeFrom="line">
                  <wp:posOffset>635</wp:posOffset>
                </wp:positionV>
                <wp:extent cx="31750" cy="175260"/>
                <wp:effectExtent l="0" t="0" r="0" b="0"/>
                <wp:wrapNone/>
                <wp:docPr id="16" name="Frame1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93.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914400</wp:posOffset>
                </wp:positionH>
                <wp:positionV relativeFrom="line">
                  <wp:posOffset>635</wp:posOffset>
                </wp:positionV>
                <wp:extent cx="5943600" cy="1153160"/>
                <wp:effectExtent l="0" t="0" r="0" b="0"/>
                <wp:wrapNone/>
                <wp:docPr id="17" name="Frame17"/>
                <a:graphic xmlns:a="http://schemas.openxmlformats.org/drawingml/2006/main">
                  <a:graphicData uri="http://schemas.microsoft.com/office/word/2010/wordprocessingShape">
                    <wps:wsp>
                      <wps:cNvSpPr txBox="1"/>
                      <wps:spPr>
                        <a:xfrm>
                          <a:off x="0" y="0"/>
                          <a:ext cx="5943600" cy="1153160"/>
                        </a:xfrm>
                        <a:prstGeom prst="rect"/>
                        <a:solidFill>
                          <a:srgbClr val="FFFFFF"/>
                        </a:solidFill>
                      </wps:spPr>
                      <wps:txbx>
                        <w:txbxContent>
                          <w:tbl>
                            <w:tblPr>
                              <w:tblW w:w="1635" w:type="dxa"/>
                              <w:jc w:val="left"/>
                              <w:tblInd w:w="0" w:type="dxa"/>
                              <w:tblLayout w:type="fixed"/>
                              <w:tblCellMar>
                                <w:top w:w="28" w:type="dxa"/>
                                <w:left w:w="28" w:type="dxa"/>
                                <w:bottom w:w="28" w:type="dxa"/>
                                <w:right w:w="28" w:type="dxa"/>
                              </w:tblCellMar>
                            </w:tblPr>
                            <w:tblGrid>
                              <w:gridCol w:w="1481"/>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Exhibit 99.1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90.8pt;mso-wrap-distance-left:0pt;mso-wrap-distance-right:0pt;mso-wrap-distance-top:0pt;mso-wrap-distance-bottom:0pt;margin-top:0pt;mso-position-vertical:top;mso-position-vertical-relative:text;margin-left:72pt;mso-position-horizontal-relative:page">
                <v:textbox>
                  <w:txbxContent>
                    <w:tbl>
                      <w:tblPr>
                        <w:tblW w:w="1635" w:type="dxa"/>
                        <w:jc w:val="left"/>
                        <w:tblInd w:w="0" w:type="dxa"/>
                        <w:tblLayout w:type="fixed"/>
                        <w:tblCellMar>
                          <w:top w:w="28" w:type="dxa"/>
                          <w:left w:w="28" w:type="dxa"/>
                          <w:bottom w:w="28" w:type="dxa"/>
                          <w:right w:w="28" w:type="dxa"/>
                        </w:tblCellMar>
                      </w:tblPr>
                      <w:tblGrid>
                        <w:gridCol w:w="1481"/>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Exhibit 99.1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76300" cy="116840"/>
                <wp:effectExtent l="0" t="0" r="0" b="0"/>
                <wp:wrapNone/>
                <wp:docPr id="18" name="Frame18"/>
                <a:graphic xmlns:a="http://schemas.openxmlformats.org/drawingml/2006/main">
                  <a:graphicData uri="http://schemas.microsoft.com/office/word/2010/wordprocessingShape">
                    <wps:wsp>
                      <wps:cNvSpPr txBox="1"/>
                      <wps:spPr>
                        <a:xfrm>
                          <a:off x="0" y="0"/>
                          <a:ext cx="876300" cy="11684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Exhibit Index</w:t>
                            </w:r>
                          </w:p>
                        </w:txbxContent>
                      </wps:txbx>
                      <wps:bodyPr anchor="t" lIns="0" tIns="0" rIns="0" bIns="0">
                        <a:noAutofit/>
                      </wps:bodyPr>
                    </wps:wsp>
                  </a:graphicData>
                </a:graphic>
              </wp:anchor>
            </w:drawing>
          </mc:Choice>
          <mc:Fallback>
            <w:pict>
              <v:rect style="position:absolute;rotation:-0;width:69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Exhibit Index</w:t>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Exchange Act of 1934, the registrant has duly caused this report to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signed on its behalf by the undersigned, thereunto duly authorized.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page">
                  <wp:posOffset>914400</wp:posOffset>
                </wp:positionH>
                <wp:positionV relativeFrom="line">
                  <wp:posOffset>635</wp:posOffset>
                </wp:positionV>
                <wp:extent cx="5953125" cy="2375535"/>
                <wp:effectExtent l="0" t="0" r="0" b="0"/>
                <wp:wrapNone/>
                <wp:docPr id="19" name="Frame20"/>
                <a:graphic xmlns:a="http://schemas.openxmlformats.org/drawingml/2006/main">
                  <a:graphicData uri="http://schemas.microsoft.com/office/word/2010/wordprocessingShape">
                    <wps:wsp>
                      <wps:cNvSpPr txBox="1"/>
                      <wps:spPr>
                        <a:xfrm>
                          <a:off x="0" y="0"/>
                          <a:ext cx="5953125" cy="2375535"/>
                        </a:xfrm>
                        <a:prstGeom prst="rect"/>
                        <a:solidFill>
                          <a:srgbClr val="FFFFFF"/>
                        </a:solidFill>
                      </wps:spPr>
                      <wps:txbx>
                        <w:txbxContent>
                          <w:tbl>
                            <w:tblPr>
                              <w:tblW w:w="8941" w:type="dxa"/>
                              <w:jc w:val="left"/>
                              <w:tblInd w:w="0" w:type="dxa"/>
                              <w:tblLayout w:type="fixed"/>
                              <w:tblCellMar>
                                <w:top w:w="28" w:type="dxa"/>
                                <w:left w:w="28" w:type="dxa"/>
                                <w:bottom w:w="28" w:type="dxa"/>
                                <w:right w:w="28" w:type="dxa"/>
                              </w:tblCellMar>
                            </w:tblPr>
                            <w:tblGrid>
                              <w:gridCol w:w="1786"/>
                              <w:gridCol w:w="109"/>
                              <w:gridCol w:w="704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 April 20, 2026</w:t>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187.05pt;mso-wrap-distance-left:0pt;mso-wrap-distance-right:0pt;mso-wrap-distance-top:0pt;mso-wrap-distance-bottom:0pt;margin-top:0pt;mso-position-vertical:top;mso-position-vertical-relative:text;margin-left:72pt;mso-position-horizontal-relative:page">
                <v:textbox>
                  <w:txbxContent>
                    <w:tbl>
                      <w:tblPr>
                        <w:tblW w:w="8941" w:type="dxa"/>
                        <w:jc w:val="left"/>
                        <w:tblInd w:w="0" w:type="dxa"/>
                        <w:tblLayout w:type="fixed"/>
                        <w:tblCellMar>
                          <w:top w:w="28" w:type="dxa"/>
                          <w:left w:w="28" w:type="dxa"/>
                          <w:bottom w:w="28" w:type="dxa"/>
                          <w:right w:w="28" w:type="dxa"/>
                        </w:tblCellMar>
                      </w:tblPr>
                      <w:tblGrid>
                        <w:gridCol w:w="1786"/>
                        <w:gridCol w:w="109"/>
                        <w:gridCol w:w="704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 April 20, 2026</w:t>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1562100</wp:posOffset>
                </wp:positionH>
                <wp:positionV relativeFrom="line">
                  <wp:posOffset>635</wp:posOffset>
                </wp:positionV>
                <wp:extent cx="4391025" cy="146685"/>
                <wp:effectExtent l="0" t="0" r="0" b="0"/>
                <wp:wrapNone/>
                <wp:docPr id="20" name="Frame21"/>
                <a:graphic xmlns:a="http://schemas.openxmlformats.org/drawingml/2006/main">
                  <a:graphicData uri="http://schemas.microsoft.com/office/word/2010/wordprocessingShape">
                    <wps:wsp>
                      <wps:cNvSpPr txBox="1"/>
                      <wps:spPr>
                        <a:xfrm>
                          <a:off x="0" y="0"/>
                          <a:ext cx="439102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Abivax SA</w:t>
                            </w:r>
                          </w:p>
                        </w:txbxContent>
                      </wps:txbx>
                      <wps:bodyPr anchor="t" lIns="0" tIns="0" rIns="0" bIns="0">
                        <a:noAutofit/>
                      </wps:bodyPr>
                    </wps:wsp>
                  </a:graphicData>
                </a:graphic>
              </wp:anchor>
            </w:drawing>
          </mc:Choice>
          <mc:Fallback>
            <w:pict>
              <v:rect style="position:absolute;rotation:-0;width:345.75pt;height:11.55pt;mso-wrap-distance-left:0pt;mso-wrap-distance-right:0pt;mso-wrap-distance-top:0pt;mso-wrap-distance-bottom:0pt;margin-top:0pt;mso-position-vertical:top;mso-position-vertical-relative:text;margin-left:123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Abivax SA</w:t>
                      </w:r>
                    </w:p>
                  </w:txbxContent>
                </v:textbox>
                <w10:wrap type="none"/>
              </v:rect>
            </w:pict>
          </mc:Fallback>
        </mc:AlternateContent>
      </w:r>
    </w:p>
    <w:p>
      <w:pPr>
        <w:pStyle w:val="TextBody"/>
        <w:bidi w:val="0"/>
        <w:spacing w:lineRule="auto" w:line="288" w:before="0" w:after="0"/>
        <w:jc w:val="center"/>
        <w:rPr>
          <w:rFonts w:ascii="Verdana;sans-serif" w:hAnsi="Verdana;sans-serif"/>
          <w:b/>
          <w:color w:val="614DD1"/>
          <w:sz w:val="36"/>
          <w:shd w:fill="FFFFFF" w:val="clear"/>
        </w:rPr>
      </w:pPr>
      <w:r>
        <w:rPr>
          <w:rFonts w:ascii="Verdana;sans-serif" w:hAnsi="Verdana;sans-serif"/>
          <w:b/>
          <w:color w:val="614DD1"/>
          <w:sz w:val="36"/>
          <w:shd w:fill="FFFFFF" w:val="clear"/>
        </w:rPr>
        <w:t>Abivax Annual Ordinary and Extraordinary General Meeting of May 11, 2026</w:t>
      </w:r>
    </w:p>
    <w:p>
      <w:pPr>
        <w:pStyle w:val="TextBody"/>
        <w:bidi w:val="0"/>
        <w:spacing w:lineRule="auto" w:line="288" w:before="0" w:after="0"/>
        <w:jc w:val="center"/>
        <w:rPr>
          <w:rFonts w:ascii="Verdana;sans-serif" w:hAnsi="Verdana;sans-serif"/>
          <w:b/>
          <w:color w:val="614DD1"/>
          <w:sz w:val="36"/>
          <w:shd w:fill="FFFFFF" w:val="clear"/>
        </w:rPr>
      </w:pPr>
      <w:r>
        <w:rPr>
          <w:rFonts w:ascii="Verdana;sans-serif" w:hAnsi="Verdana;sans-serif"/>
          <w:b/>
          <w:color w:val="614DD1"/>
          <w:sz w:val="36"/>
          <w:shd w:fill="FFFFFF" w:val="clear"/>
        </w:rPr>
        <w:t>Availability of the Preparatory Documents</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Verdana;sans-serif" w:hAnsi="Verdana;sans-serif"/>
          <w:b/>
          <w:color w:val="000000"/>
          <w:sz w:val="22"/>
          <w:shd w:fill="FFFFFF" w:val="clear"/>
        </w:rPr>
        <w:t xml:space="preserve">PARIS, France, April 20, 2026, </w:t>
      </w:r>
      <w:r>
        <w:rPr>
          <w:rFonts w:ascii="Verdana;sans-serif" w:hAnsi="Verdana;sans-serif"/>
          <w:b/>
          <w:color w:val="212121"/>
          <w:sz w:val="22"/>
          <w:shd w:fill="FFFFFF" w:val="clear"/>
        </w:rPr>
        <w:t>10:05 PM CEST</w:t>
      </w:r>
      <w:r>
        <w:rPr>
          <w:color w:val="000000"/>
          <w:shd w:fill="FFFFFF" w:val="clear"/>
        </w:rPr>
        <w:t xml:space="preserve"> – </w:t>
      </w:r>
      <w:r>
        <w:rPr>
          <w:rFonts w:ascii="Verdana;sans-serif" w:hAnsi="Verdana;sans-serif"/>
          <w:b w:val="false"/>
          <w:color w:val="000000"/>
          <w:sz w:val="22"/>
          <w:shd w:fill="FFFFFF" w:val="clear"/>
        </w:rPr>
        <w:t>Abivax SA (Euronext Paris &amp; Nasdaq: ABVX) (“Abivax” or the “Company”), a clinical-stage biotechnology company focused on developing therapeutics that harness the body’s natural regulatory mechanisms to stabilize the immune response in patients with chronic inflammatory diseases,</w:t>
      </w:r>
      <w:r>
        <w:rPr>
          <w:color w:val="000000"/>
          <w:shd w:fill="FFFFFF" w:val="clear"/>
        </w:rPr>
        <w:t xml:space="preserve"> </w:t>
      </w:r>
      <w:r>
        <w:rPr>
          <w:rFonts w:ascii="Verdana;sans-serif" w:hAnsi="Verdana;sans-serif"/>
          <w:b w:val="false"/>
          <w:color w:val="000000"/>
          <w:sz w:val="22"/>
          <w:shd w:fill="FFFFFF" w:val="clear"/>
        </w:rPr>
        <w:t>informs its shareholders that its ordinary and extraordinary general meeting (the “General Meeting”) will be held on May 11, 2026, at 3:00 pm (CEST), at the hotel Paris Marriott Opera Ambassador, located at 16 boulevard Haussmann in Paris (75009), France.</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Verdana;sans-serif" w:hAnsi="Verdana;sans-serif"/>
          <w:b w:val="false"/>
          <w:color w:val="000000"/>
          <w:sz w:val="22"/>
          <w:shd w:fill="FFFFFF" w:val="clear"/>
        </w:rPr>
        <w:t>The preliminary notice of meeting comprising the agenda and the draft resolutions, as well as information on how to attend and vote at the General Meeting, was published in the</w:t>
      </w:r>
      <w:r>
        <w:rPr>
          <w:color w:val="000000"/>
          <w:shd w:fill="FFFFFF" w:val="clear"/>
        </w:rPr>
        <w:t xml:space="preserve"> </w:t>
      </w:r>
      <w:r>
        <w:rPr>
          <w:rFonts w:ascii="Verdana;sans-serif" w:hAnsi="Verdana;sans-serif"/>
          <w:b w:val="false"/>
          <w:i/>
          <w:color w:val="000000"/>
          <w:sz w:val="22"/>
          <w:shd w:fill="FFFFFF" w:val="clear"/>
        </w:rPr>
        <w:t xml:space="preserve">Bulletin des Annonces Légales Obligatoires </w:t>
      </w:r>
      <w:r>
        <w:rPr>
          <w:rFonts w:ascii="Verdana;sans-serif" w:hAnsi="Verdana;sans-serif"/>
          <w:b w:val="false"/>
          <w:color w:val="000000"/>
          <w:sz w:val="22"/>
          <w:shd w:fill="FFFFFF" w:val="clear"/>
        </w:rPr>
        <w:t>(BALO) of April 3, 2026 (N°2600756).</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Verdana;sans-serif" w:hAnsi="Verdana;sans-serif"/>
          <w:b w:val="false"/>
          <w:color w:val="000000"/>
          <w:sz w:val="22"/>
          <w:shd w:fill="FFFFFF" w:val="clear"/>
        </w:rPr>
        <w:t xml:space="preserve">The information and preparatory documents for this General Meeting are made available to the Company’s shareholders in accordance with the procedures and within the time limits provided for by the applicable legal and regulatory provisions. The documents referred to in Article R.22-10-23 of the French Commercial Code are available on the Company’s website: </w:t>
      </w:r>
      <w:r>
        <w:rPr>
          <w:rFonts w:ascii="Verdana;sans-serif" w:hAnsi="Verdana;sans-serif"/>
          <w:b w:val="false"/>
          <w:color w:val="0E32E1"/>
          <w:sz w:val="22"/>
          <w:shd w:fill="FFFFFF" w:val="clear"/>
        </w:rPr>
        <w:t>www.abivax.com</w:t>
      </w:r>
    </w:p>
    <w:p>
      <w:pPr>
        <w:pStyle w:val="TextBody"/>
        <w:bidi w:val="0"/>
        <w:spacing w:lineRule="auto" w:line="288" w:before="0" w:after="0"/>
        <w:jc w:val="both"/>
        <w:rPr>
          <w:rFonts w:ascii="Verdana;sans-serif" w:hAnsi="Verdana;sans-serif"/>
          <w:b/>
          <w:color w:val="000000"/>
          <w:sz w:val="22"/>
        </w:rPr>
      </w:pPr>
      <w:r>
        <w:rPr>
          <w:rFonts w:ascii="Verdana;sans-serif" w:hAnsi="Verdana;sans-serif"/>
          <w:b/>
          <w:color w:val="000000"/>
          <w:sz w:val="22"/>
        </w:rPr>
      </w:r>
    </w:p>
    <w:p>
      <w:pPr>
        <w:pStyle w:val="TextBody"/>
        <w:bidi w:val="0"/>
        <w:spacing w:lineRule="auto" w:line="288" w:before="0" w:after="0"/>
        <w:jc w:val="both"/>
        <w:rPr>
          <w:rFonts w:ascii="Verdana;sans-serif" w:hAnsi="Verdana;sans-serif"/>
          <w:b/>
          <w:color w:val="000000"/>
          <w:sz w:val="22"/>
          <w:shd w:fill="FFFFFF" w:val="clear"/>
        </w:rPr>
      </w:pPr>
      <w:r>
        <w:rPr>
          <w:rFonts w:ascii="Verdana;sans-serif" w:hAnsi="Verdana;sans-serif"/>
          <w:b/>
          <w:color w:val="000000"/>
          <w:sz w:val="22"/>
          <w:shd w:fill="FFFFFF" w:val="clear"/>
        </w:rPr>
        <w:t xml:space="preserve">About Abivax </w:t>
      </w:r>
    </w:p>
    <w:p>
      <w:pPr>
        <w:pStyle w:val="TextBody"/>
        <w:bidi w:val="0"/>
        <w:spacing w:lineRule="auto" w:line="288" w:before="0" w:after="0"/>
        <w:jc w:val="left"/>
        <w:rPr>
          <w:rFonts w:ascii="Verdana;sans-serif" w:hAnsi="Verdana;sans-serif"/>
          <w:b w:val="false"/>
          <w:color w:val="000000"/>
          <w:sz w:val="22"/>
          <w:shd w:fill="FFFFFF" w:val="clear"/>
        </w:rPr>
      </w:pPr>
      <w:r>
        <w:rPr>
          <w:rFonts w:ascii="Verdana;sans-serif" w:hAnsi="Verdana;sans-serif"/>
          <w:b w:val="false"/>
          <w:color w:val="000000"/>
          <w:sz w:val="22"/>
          <w:shd w:fill="FFFFFF" w:val="clear"/>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lineRule="auto" w:line="288" w:before="0" w:after="0"/>
        <w:jc w:val="left"/>
        <w:rPr>
          <w:rFonts w:ascii="Verdana;sans-serif" w:hAnsi="Verdana;sans-serif"/>
          <w:b/>
          <w:color w:val="000000"/>
          <w:sz w:val="22"/>
          <w:shd w:fill="FFFFFF" w:val="clear"/>
        </w:rPr>
      </w:pPr>
      <w:r>
        <w:rPr>
          <w:rFonts w:ascii="Verdana;sans-serif" w:hAnsi="Verdana;sans-serif"/>
          <w:b/>
          <w:color w:val="000000"/>
          <w:sz w:val="22"/>
          <w:shd w:fill="FFFFFF" w:val="clear"/>
        </w:rPr>
        <w:t>Contact:</w:t>
      </w:r>
    </w:p>
    <w:p>
      <w:pPr>
        <w:pStyle w:val="TextBody"/>
        <w:bidi w:val="0"/>
        <w:spacing w:lineRule="auto" w:line="288" w:before="0" w:after="0"/>
        <w:jc w:val="left"/>
        <w:rPr>
          <w:rFonts w:ascii="Verdana;sans-serif" w:hAnsi="Verdana;sans-serif"/>
          <w:b w:val="false"/>
          <w:color w:val="000000"/>
          <w:sz w:val="22"/>
          <w:shd w:fill="FFFFFF" w:val="clear"/>
        </w:rPr>
      </w:pPr>
      <w:r>
        <w:rPr>
          <w:rFonts w:ascii="Verdana;sans-serif" w:hAnsi="Verdana;sans-serif"/>
          <w:b w:val="false"/>
          <w:color w:val="000000"/>
          <w:sz w:val="22"/>
          <w:shd w:fill="FFFFFF" w:val="clear"/>
        </w:rPr>
        <w:t>Patrick Malloy</w:t>
        <w:br/>
        <w:t>SVP, Investor Relations</w:t>
        <w:br/>
        <w:t>Abivax SA</w:t>
        <w:br/>
        <w:t>patrick.malloy@abivax.com</w:t>
        <w:br/>
        <w:t>+1 847 987 4878</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1"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599</Words>
  <Characters>3291</Characters>
  <CharactersWithSpaces>3848</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