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As Filed Pursuant to Rule 424(b)(5)</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Registration No. 333-288884</w:t>
      </w:r>
    </w:p>
    <w:p>
      <w:pPr>
        <w:spacing w:after="0" w:line="10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(To Prospectus Dated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64770</wp:posOffset>
            </wp:positionV>
            <wp:extent cx="3608070" cy="521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8070" cy="521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6,400,000</w:t>
      </w:r>
    </w:p>
    <w:p>
      <w:pPr>
        <w:spacing w:after="0" w:line="4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American Depositary Shares</w:t>
      </w:r>
    </w:p>
    <w:p>
      <w:pPr>
        <w:spacing w:after="0" w:line="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Representing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179070</wp:posOffset>
            </wp:positionV>
            <wp:extent cx="11493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We are offering 6,400,000 of our American Depositary Shares (“ADSs”), each representing one ordinary share, €0.01 nominal value per share, in a public offering.</w:t>
      </w:r>
    </w:p>
    <w:p>
      <w:pPr>
        <w:spacing w:after="0" w:line="125" w:lineRule="exact"/>
        <w:rPr>
          <w:sz w:val="24"/>
          <w:szCs w:val="24"/>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Our ordinary shares are listed on the regulated market of Euronext in Paris (“Euronext Paris”) under the symbol “ABVX.” Our ADSs are listed on The Nasdaq Global Market (“Nasdaq”) under the symbol “ABVX.” On June 30, 2026, the last reported sale price of our ordinary shares on Euronext Paris was €115.50 per ordinary share and the last reported sale price of our ADSs on Nasdaq was $133.26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162560</wp:posOffset>
            </wp:positionV>
            <wp:extent cx="1149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90" w:lineRule="exact"/>
        <w:rPr>
          <w:sz w:val="24"/>
          <w:szCs w:val="24"/>
          <w:color w:val="auto"/>
        </w:rPr>
      </w:pPr>
    </w:p>
    <w:p>
      <w:pPr>
        <w:ind w:left="1360" w:right="279" w:firstLine="343"/>
        <w:spacing w:after="0"/>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deciding whether to invest in our securities, you should consider carefully the risks that we have described beginning on page S-9 of this prospectus supplement under the caption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and under the caption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6 of the accompanying prospectus and in our most recent Annual Report on Form 20-F and any other reports or documents incorporated by reference into this prospectus supplement and the accompanying prospectus.</w:t>
      </w:r>
    </w:p>
    <w:p>
      <w:pPr>
        <w:spacing w:after="0" w:line="146" w:lineRule="exact"/>
        <w:rPr>
          <w:sz w:val="24"/>
          <w:szCs w:val="24"/>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U.S. state or other securities commission has approved or disapproved of these securities or determined if this prospectus supplement or the accompanying prospectus is truthful or complete. Any representation to the contrary is a criminal offense.</w:t>
      </w:r>
    </w:p>
    <w:p>
      <w:pPr>
        <w:spacing w:after="0" w:line="153" w:lineRule="exact"/>
        <w:rPr>
          <w:sz w:val="24"/>
          <w:szCs w:val="24"/>
          <w:color w:val="auto"/>
        </w:rPr>
      </w:pPr>
    </w:p>
    <w:tbl>
      <w:tblPr>
        <w:tblLayout w:type="fixed"/>
        <w:tblInd w:w="2380" w:type="dxa"/>
        <w:tblCellMar>
          <w:top w:w="0" w:type="dxa"/>
          <w:left w:w="0" w:type="dxa"/>
          <w:bottom w:w="0" w:type="dxa"/>
          <w:right w:w="0" w:type="dxa"/>
        </w:tblCellMar>
      </w:tblP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Per ADS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45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125.0000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800,000,000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38,000,000</w:t>
            </w:r>
          </w:p>
        </w:tc>
      </w:tr>
      <w:tr>
        <w:trPr>
          <w:trHeight w:val="16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us (before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119.0625</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762,000,000</w:t>
            </w:r>
          </w:p>
        </w:tc>
        <w:tc>
          <w:tcPr>
            <w:tcW w:w="40" w:type="dxa"/>
            <w:vAlign w:val="bottom"/>
            <w:shd w:val="clear" w:color="auto" w:fill="CCEEFF"/>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73660</wp:posOffset>
            </wp:positionV>
            <wp:extent cx="6013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4"/>
          <w:szCs w:val="24"/>
          <w:color w:val="auto"/>
        </w:rPr>
      </w:pPr>
    </w:p>
    <w:p>
      <w:pPr>
        <w:ind w:left="1680" w:right="779" w:hanging="329"/>
        <w:spacing w:after="0" w:line="283" w:lineRule="auto"/>
        <w:tabs>
          <w:tab w:leader="none" w:pos="16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S-29 of this prospectus supplement for additional information regarding underwriting compensation.</w:t>
      </w:r>
    </w:p>
    <w:p>
      <w:pPr>
        <w:spacing w:after="0" w:line="125" w:lineRule="exact"/>
        <w:rPr>
          <w:sz w:val="24"/>
          <w:szCs w:val="24"/>
          <w:color w:val="auto"/>
        </w:rPr>
      </w:pPr>
    </w:p>
    <w:p>
      <w:pPr>
        <w:jc w:val="both"/>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Delivery of the ADSs is expected to be made on or about July 6, 2026 (the “initial settlement date”), through the book-entry facilities of The Depository Trust Company. We have granted an option to the underwriters, exercisable on or before the initial settlement date, to purchase up to an aggregate of 960,000 additional ADSs at the public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169545</wp:posOffset>
            </wp:positionV>
            <wp:extent cx="11493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185" w:lineRule="exact"/>
        <w:rPr>
          <w:sz w:val="24"/>
          <w:szCs w:val="24"/>
          <w:color w:val="auto"/>
        </w:rPr>
      </w:pPr>
    </w:p>
    <w:p>
      <w:pPr>
        <w:ind w:left="1360"/>
        <w:spacing w:after="0"/>
        <w:tabs>
          <w:tab w:leader="none" w:pos="3400" w:val="left"/>
          <w:tab w:leader="none" w:pos="5460" w:val="left"/>
          <w:tab w:leader="none" w:pos="7600" w:val="left"/>
        </w:tabs>
        <w:rPr>
          <w:sz w:val="20"/>
          <w:szCs w:val="20"/>
          <w:color w:val="auto"/>
        </w:rPr>
      </w:pPr>
      <w:r>
        <w:rPr>
          <w:rFonts w:ascii="Times New Roman" w:cs="Times New Roman" w:eastAsia="Times New Roman" w:hAnsi="Times New Roman"/>
          <w:sz w:val="18"/>
          <w:szCs w:val="18"/>
          <w:b w:val="1"/>
          <w:bCs w:val="1"/>
          <w:color w:val="auto"/>
        </w:rPr>
        <w:t>Leerink Partners</w:t>
      </w:r>
      <w:r>
        <w:rPr>
          <w:sz w:val="20"/>
          <w:szCs w:val="20"/>
          <w:color w:val="auto"/>
        </w:rPr>
        <w:tab/>
      </w:r>
      <w:r>
        <w:rPr>
          <w:rFonts w:ascii="Times New Roman" w:cs="Times New Roman" w:eastAsia="Times New Roman" w:hAnsi="Times New Roman"/>
          <w:sz w:val="18"/>
          <w:szCs w:val="18"/>
          <w:b w:val="1"/>
          <w:bCs w:val="1"/>
          <w:color w:val="auto"/>
        </w:rPr>
        <w:t>  Morgan Stanley</w:t>
      </w:r>
      <w:r>
        <w:rPr>
          <w:sz w:val="20"/>
          <w:szCs w:val="20"/>
          <w:color w:val="auto"/>
        </w:rPr>
        <w:tab/>
      </w:r>
      <w:r>
        <w:rPr>
          <w:rFonts w:ascii="Times New Roman" w:cs="Times New Roman" w:eastAsia="Times New Roman" w:hAnsi="Times New Roman"/>
          <w:sz w:val="18"/>
          <w:szCs w:val="18"/>
          <w:b w:val="1"/>
          <w:bCs w:val="1"/>
          <w:color w:val="auto"/>
        </w:rPr>
        <w:t>   Piper Sandler</w:t>
      </w:r>
      <w:r>
        <w:rPr>
          <w:sz w:val="20"/>
          <w:szCs w:val="20"/>
          <w:color w:val="auto"/>
        </w:rPr>
        <w:tab/>
      </w:r>
      <w:r>
        <w:rPr>
          <w:rFonts w:ascii="Times New Roman" w:cs="Times New Roman" w:eastAsia="Times New Roman" w:hAnsi="Times New Roman"/>
          <w:sz w:val="18"/>
          <w:szCs w:val="18"/>
          <w:b w:val="1"/>
          <w:bCs w:val="1"/>
          <w:color w:val="auto"/>
        </w:rPr>
        <w:t>Guggenheim Securities</w:t>
      </w:r>
    </w:p>
    <w:p>
      <w:pPr>
        <w:spacing w:after="0" w:line="18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Bookrunning Manager</w:t>
      </w:r>
    </w:p>
    <w:p>
      <w:pPr>
        <w:spacing w:after="0" w:line="17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LifeSci Capital</w:t>
      </w:r>
    </w:p>
    <w:p>
      <w:pPr>
        <w:spacing w:after="0" w:line="17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Lead Manager</w:t>
      </w:r>
    </w:p>
    <w:p>
      <w:pPr>
        <w:spacing w:after="0" w:line="17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Van Lanschot Kempen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189230</wp:posOffset>
            </wp:positionV>
            <wp:extent cx="1149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Prospectus Supplement dated June 30, 2026</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822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20" w:type="dxa"/>
            <w:vAlign w:val="bottom"/>
          </w:tcPr>
          <w:p>
            <w:pPr>
              <w:spacing w:after="0"/>
              <w:rPr>
                <w:sz w:val="11"/>
                <w:szCs w:val="11"/>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7"/>
        </w:trPr>
        <w:tc>
          <w:tcPr>
            <w:tcW w:w="8220" w:type="dxa"/>
            <w:vAlign w:val="bottom"/>
            <w:gridSpan w:val="25"/>
            <w:vMerge w:val="continue"/>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S-ii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S-iv</w:t>
            </w:r>
          </w:p>
        </w:tc>
        <w:tc>
          <w:tcPr>
            <w:tcW w:w="0" w:type="dxa"/>
            <w:vAlign w:val="bottom"/>
          </w:tcPr>
          <w:p>
            <w:pPr>
              <w:spacing w:after="0"/>
              <w:rPr>
                <w:sz w:val="1"/>
                <w:szCs w:val="1"/>
                <w:color w:val="auto"/>
              </w:rPr>
            </w:pPr>
          </w:p>
        </w:tc>
      </w:tr>
      <w:tr>
        <w:trPr>
          <w:trHeight w:val="148"/>
        </w:trPr>
        <w:tc>
          <w:tcPr>
            <w:tcW w:w="1620" w:type="dxa"/>
            <w:vAlign w:val="bottom"/>
            <w:tcBorders>
              <w:top w:val="single" w:sz="8" w:color="0000EE"/>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2520" w:type="dxa"/>
            <w:vAlign w:val="bottom"/>
            <w:tcBorders>
              <w:top w:val="single" w:sz="8" w:color="0000EE"/>
            </w:tcBorders>
            <w:gridSpan w:val="14"/>
          </w:tcPr>
          <w:p>
            <w:pPr>
              <w:spacing w:after="0"/>
              <w:rPr>
                <w:sz w:val="12"/>
                <w:szCs w:val="12"/>
                <w:color w:val="auto"/>
              </w:rPr>
            </w:pPr>
          </w:p>
        </w:tc>
        <w:tc>
          <w:tcPr>
            <w:tcW w:w="40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S-9</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148"/>
        </w:trPr>
        <w:tc>
          <w:tcPr>
            <w:tcW w:w="1140" w:type="dxa"/>
            <w:vAlign w:val="bottom"/>
            <w:tcBorders>
              <w:top w:val="single" w:sz="8" w:color="0000EE"/>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6"/>
              </w:rPr>
              <w:t>CAPITALIZATION</w:t>
            </w:r>
          </w:p>
        </w:tc>
        <w:tc>
          <w:tcPr>
            <w:tcW w:w="80" w:type="dxa"/>
            <w:vAlign w:val="bottom"/>
            <w:tcBorders>
              <w:top w:val="single" w:sz="8" w:color="0000EE"/>
            </w:tcBorders>
          </w:tcPr>
          <w:p>
            <w:pPr>
              <w:spacing w:after="0"/>
              <w:rPr>
                <w:sz w:val="12"/>
                <w:szCs w:val="12"/>
                <w:color w:val="auto"/>
              </w:rPr>
            </w:pPr>
          </w:p>
        </w:tc>
        <w:tc>
          <w:tcPr>
            <w:tcW w:w="700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DILUTION</w:t>
            </w: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TAXATION</w:t>
            </w: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7"/>
              </w:rPr>
              <w:t>UNDERWRITING</w:t>
            </w:r>
          </w:p>
        </w:tc>
        <w:tc>
          <w:tcPr>
            <w:tcW w:w="7140" w:type="dxa"/>
            <w:vAlign w:val="bottom"/>
            <w:gridSpan w:val="22"/>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148"/>
        </w:trPr>
        <w:tc>
          <w:tcPr>
            <w:tcW w:w="140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7"/>
              </w:rPr>
              <w:t>MATERIAL CHANGES</w:t>
            </w:r>
          </w:p>
        </w:tc>
        <w:tc>
          <w:tcPr>
            <w:tcW w:w="6820" w:type="dxa"/>
            <w:vAlign w:val="bottom"/>
            <w:gridSpan w:val="18"/>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S-40</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S-41</w:t>
            </w:r>
          </w:p>
        </w:tc>
        <w:tc>
          <w:tcPr>
            <w:tcW w:w="0" w:type="dxa"/>
            <w:vAlign w:val="bottom"/>
          </w:tcPr>
          <w:p>
            <w:pPr>
              <w:spacing w:after="0"/>
              <w:rPr>
                <w:sz w:val="1"/>
                <w:szCs w:val="1"/>
                <w:color w:val="auto"/>
              </w:rPr>
            </w:pPr>
          </w:p>
        </w:tc>
      </w:tr>
      <w:tr>
        <w:trPr>
          <w:trHeight w:val="148"/>
        </w:trPr>
        <w:tc>
          <w:tcPr>
            <w:tcW w:w="2480" w:type="dxa"/>
            <w:vAlign w:val="bottom"/>
            <w:tcBorders>
              <w:top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574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S-43</w:t>
            </w:r>
          </w:p>
        </w:tc>
        <w:tc>
          <w:tcPr>
            <w:tcW w:w="0" w:type="dxa"/>
            <w:vAlign w:val="bottom"/>
          </w:tcPr>
          <w:p>
            <w:pPr>
              <w:spacing w:after="0"/>
              <w:rPr>
                <w:sz w:val="1"/>
                <w:szCs w:val="1"/>
                <w:color w:val="auto"/>
              </w:rPr>
            </w:pPr>
          </w:p>
        </w:tc>
      </w:tr>
      <w:tr>
        <w:trPr>
          <w:trHeight w:val="148"/>
        </w:trPr>
        <w:tc>
          <w:tcPr>
            <w:tcW w:w="66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460" w:type="dxa"/>
            <w:vAlign w:val="bottom"/>
            <w:tcBorders>
              <w:top w:val="single" w:sz="8" w:color="0000EE"/>
            </w:tcBorders>
            <w:gridSpan w:val="3"/>
          </w:tcPr>
          <w:p>
            <w:pPr>
              <w:spacing w:after="0"/>
              <w:rPr>
                <w:sz w:val="12"/>
                <w:szCs w:val="12"/>
                <w:color w:val="auto"/>
              </w:rPr>
            </w:pPr>
          </w:p>
        </w:tc>
        <w:tc>
          <w:tcPr>
            <w:tcW w:w="7100" w:type="dxa"/>
            <w:vAlign w:val="bottom"/>
            <w:gridSpan w:val="21"/>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S-43</w:t>
            </w:r>
          </w:p>
        </w:tc>
        <w:tc>
          <w:tcPr>
            <w:tcW w:w="0" w:type="dxa"/>
            <w:vAlign w:val="bottom"/>
          </w:tcPr>
          <w:p>
            <w:pPr>
              <w:spacing w:after="0"/>
              <w:rPr>
                <w:sz w:val="1"/>
                <w:szCs w:val="1"/>
                <w:color w:val="auto"/>
              </w:rPr>
            </w:pPr>
          </w:p>
        </w:tc>
      </w:tr>
      <w:tr>
        <w:trPr>
          <w:trHeight w:val="148"/>
        </w:trPr>
        <w:tc>
          <w:tcPr>
            <w:tcW w:w="3440" w:type="dxa"/>
            <w:vAlign w:val="bottom"/>
            <w:tcBorders>
              <w:bottom w:val="single" w:sz="8" w:color="0000EE"/>
            </w:tcBorders>
            <w:gridSpan w:val="21"/>
          </w:tcPr>
          <w:p>
            <w:pPr>
              <w:spacing w:after="0" w:line="149" w:lineRule="exact"/>
              <w:rPr>
                <w:sz w:val="20"/>
                <w:szCs w:val="20"/>
                <w:color w:val="auto"/>
              </w:rPr>
            </w:pPr>
            <w:r>
              <w:rPr>
                <w:rFonts w:ascii="Times New Roman" w:cs="Times New Roman" w:eastAsia="Times New Roman" w:hAnsi="Times New Roman"/>
                <w:sz w:val="14"/>
                <w:szCs w:val="14"/>
                <w:color w:val="0000EE"/>
                <w:w w:val="99"/>
              </w:rPr>
              <w:t>WHERE YOU CAN FIND ADDITIONAL INFORMATION</w:t>
            </w:r>
          </w:p>
        </w:tc>
        <w:tc>
          <w:tcPr>
            <w:tcW w:w="47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S-44</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S-45</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22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1"/>
              </w:rPr>
              <w:t>PAGE</w:t>
            </w:r>
          </w:p>
        </w:tc>
        <w:tc>
          <w:tcPr>
            <w:tcW w:w="0" w:type="dxa"/>
            <w:vAlign w:val="bottom"/>
          </w:tcPr>
          <w:p>
            <w:pPr>
              <w:spacing w:after="0"/>
              <w:rPr>
                <w:sz w:val="1"/>
                <w:szCs w:val="1"/>
                <w:color w:val="auto"/>
              </w:rPr>
            </w:pPr>
          </w:p>
        </w:tc>
      </w:tr>
      <w:tr>
        <w:trPr>
          <w:trHeight w:val="127"/>
        </w:trPr>
        <w:tc>
          <w:tcPr>
            <w:tcW w:w="8220" w:type="dxa"/>
            <w:vAlign w:val="bottom"/>
            <w:gridSpan w:val="25"/>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20" w:type="dxa"/>
            <w:vAlign w:val="bottom"/>
            <w:tcBorders>
              <w:top w:val="single" w:sz="8" w:color="0000EE"/>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100" w:type="dxa"/>
            <w:vAlign w:val="bottom"/>
            <w:tcBorders>
              <w:top w:val="single" w:sz="8" w:color="0000EE"/>
            </w:tcBorders>
          </w:tcPr>
          <w:p>
            <w:pPr>
              <w:spacing w:after="0"/>
              <w:rPr>
                <w:sz w:val="12"/>
                <w:szCs w:val="12"/>
                <w:color w:val="auto"/>
              </w:rPr>
            </w:pPr>
          </w:p>
        </w:tc>
        <w:tc>
          <w:tcPr>
            <w:tcW w:w="6500" w:type="dxa"/>
            <w:vAlign w:val="bottom"/>
            <w:gridSpan w:val="15"/>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4140" w:type="dxa"/>
            <w:vAlign w:val="bottom"/>
            <w:tcBorders>
              <w:top w:val="single" w:sz="8" w:color="0000EE"/>
            </w:tcBorders>
            <w:gridSpan w:val="23"/>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4080" w:type="dxa"/>
            <w:vAlign w:val="bottom"/>
            <w:gridSpan w:val="2"/>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122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98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8"/>
              </w:rPr>
              <w:t>SELLING SECURITY HOLDERS</w:t>
            </w:r>
          </w:p>
        </w:tc>
        <w:tc>
          <w:tcPr>
            <w:tcW w:w="6240" w:type="dxa"/>
            <w:vAlign w:val="bottom"/>
            <w:gridSpan w:val="13"/>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PLAN OF DISTRIBUTION</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SHARE CAPITAL</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1920" w:type="dxa"/>
            <w:vAlign w:val="bottom"/>
            <w:gridSpan w:val="11"/>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80" w:type="dxa"/>
            <w:vAlign w:val="bottom"/>
            <w:tcBorders>
              <w:bottom w:val="single" w:sz="8" w:color="0000EE"/>
            </w:tcBorders>
            <w:gridSpan w:val="24"/>
          </w:tcPr>
          <w:p>
            <w:pPr>
              <w:spacing w:after="0" w:line="149" w:lineRule="exact"/>
              <w:rPr>
                <w:sz w:val="20"/>
                <w:szCs w:val="20"/>
                <w:color w:val="auto"/>
              </w:rPr>
            </w:pPr>
            <w:r>
              <w:rPr>
                <w:rFonts w:ascii="Times New Roman" w:cs="Times New Roman" w:eastAsia="Times New Roman" w:hAnsi="Times New Roman"/>
                <w:sz w:val="14"/>
                <w:szCs w:val="14"/>
                <w:color w:val="0000EE"/>
                <w:w w:val="98"/>
              </w:rPr>
              <w:t>LIMITATIONS AFFECTING SHAREHOLDERS OF A FRENCH COMPANY</w:t>
            </w:r>
          </w:p>
        </w:tc>
        <w:tc>
          <w:tcPr>
            <w:tcW w:w="374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DESCRIPTION OF AMERICAN DEPOSITARY SHARES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3360" w:type="dxa"/>
            <w:vAlign w:val="bottom"/>
            <w:tcBorders>
              <w:top w:val="single" w:sz="8" w:color="0000EE"/>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WARRANTS</w:t>
            </w:r>
          </w:p>
        </w:tc>
        <w:tc>
          <w:tcPr>
            <w:tcW w:w="4860" w:type="dxa"/>
            <w:vAlign w:val="bottom"/>
            <w:gridSpan w:val="5"/>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1920" w:type="dxa"/>
            <w:vAlign w:val="bottom"/>
            <w:gridSpan w:val="11"/>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8"/>
        </w:trPr>
        <w:tc>
          <w:tcPr>
            <w:tcW w:w="2340" w:type="dxa"/>
            <w:vAlign w:val="bottom"/>
            <w:tcBorders>
              <w:top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TAXATION</w:t>
            </w:r>
          </w:p>
        </w:tc>
        <w:tc>
          <w:tcPr>
            <w:tcW w:w="5880" w:type="dxa"/>
            <w:vAlign w:val="bottom"/>
            <w:gridSpan w:val="11"/>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tcBorders>
              <w:left w:val="single" w:sz="8" w:color="0000EE"/>
            </w:tcBorders>
            <w:gridSpan w:val="1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66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460" w:type="dxa"/>
            <w:vAlign w:val="bottom"/>
            <w:tcBorders>
              <w:top w:val="single" w:sz="8" w:color="0000EE"/>
            </w:tcBorders>
            <w:gridSpan w:val="3"/>
          </w:tcPr>
          <w:p>
            <w:pPr>
              <w:spacing w:after="0"/>
              <w:rPr>
                <w:sz w:val="12"/>
                <w:szCs w:val="12"/>
                <w:color w:val="auto"/>
              </w:rPr>
            </w:pPr>
          </w:p>
        </w:tc>
        <w:tc>
          <w:tcPr>
            <w:tcW w:w="7100" w:type="dxa"/>
            <w:vAlign w:val="bottom"/>
            <w:gridSpan w:val="21"/>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480" w:type="dxa"/>
            <w:vAlign w:val="bottom"/>
            <w:gridSpan w:val="1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2960" w:type="dxa"/>
            <w:vAlign w:val="bottom"/>
            <w:gridSpan w:val="1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320" w:type="dxa"/>
            <w:vAlign w:val="bottom"/>
            <w:tcBorders>
              <w:bottom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w w:val="99"/>
              </w:rPr>
              <w:t>INCORPORATION OF DOCUMENTS BY REFERENCE</w:t>
            </w:r>
          </w:p>
        </w:tc>
        <w:tc>
          <w:tcPr>
            <w:tcW w:w="4900" w:type="dxa"/>
            <w:vAlign w:val="bottom"/>
            <w:gridSpan w:val="6"/>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3020" w:type="dxa"/>
            <w:vAlign w:val="bottom"/>
            <w:tcBorders>
              <w:bottom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w w:val="98"/>
              </w:rPr>
              <w:t>EXPENSES ASSOCIATED WITH REGISTRATION</w:t>
            </w:r>
          </w:p>
        </w:tc>
        <w:tc>
          <w:tcPr>
            <w:tcW w:w="5200" w:type="dxa"/>
            <w:vAlign w:val="bottom"/>
            <w:gridSpan w:val="7"/>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360" w:right="459" w:firstLine="343"/>
        <w:spacing w:after="0" w:line="261" w:lineRule="auto"/>
        <w:rPr>
          <w:sz w:val="20"/>
          <w:szCs w:val="20"/>
          <w:color w:val="auto"/>
        </w:rPr>
      </w:pPr>
      <w:r>
        <w:rPr>
          <w:rFonts w:ascii="Times New Roman" w:cs="Times New Roman" w:eastAsia="Times New Roman" w:hAnsi="Times New Roman"/>
          <w:sz w:val="14"/>
          <w:szCs w:val="14"/>
          <w:color w:val="auto"/>
        </w:rPr>
        <w:t>Neither we nor any of the underwriters have authorized anyone to provide any information other than that contained in this prospectus supplement, the accompanying prospectus or in any free writing prospectus prepared by or on behalf of us to which we have referred you. When you make a decision about whether to invest in our ADSs, you should not rely upon any information other than the information in this prospectus supplement. We take no responsibility for, and provide no assurances as to the reliability of, any other information that others may give you.</w:t>
      </w:r>
    </w:p>
    <w:p>
      <w:pPr>
        <w:spacing w:after="0" w:line="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8"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This document is part of an automatic shelf registration statement that we filed with the Securities and Exchange Commission (the “SEC”) using a “shelf” registration process available to us as a “well-known seasoned issuer,” as defined in Rule 405 under the Securities Act of 1933, as amended (the “Securities Act”) and consists of two parts. The first part is this prospectus supplement, including the documents incorporated by reference, which describes the specific terms of this offering and also adds to and updates information contained in the accompanying prospectus. The second part, the accompanying prospectus, including the documents incorporated by reference, gives more general information, some of which may not be applicable to this offering. Generally, when we refer to the “prospectus” we are referring to both parts combined.</w:t>
      </w:r>
    </w:p>
    <w:p>
      <w:pPr>
        <w:spacing w:after="0" w:line="144"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If any statement in this prospectus supplement or the accompanying prospectus is inconsistent with a statement in another document that is incorporated by reference into this prospectus and having a later date, the statement in the document having the later date modifies or supersedes the earlier statement. This prospectus supplement, the accompanying prospectus and the documents incorporated by reference into each include important information about us, the ordinary shares (including in the form of ADSs) being offered and other information that you should know before investing in our ordinary shares (including in the form of ADSs). You should also read and consider information in the documents we have referred you to in the sections of this prospectus supplement and the accompanying prospectus entitled “Incorporation of Certain Information by Reference” and “Where You Can Find Additional Information.”</w:t>
      </w:r>
    </w:p>
    <w:p>
      <w:pPr>
        <w:spacing w:after="0" w:line="144" w:lineRule="exact"/>
        <w:rPr>
          <w:sz w:val="20"/>
          <w:szCs w:val="20"/>
          <w:color w:val="auto"/>
        </w:rPr>
      </w:pPr>
    </w:p>
    <w:p>
      <w:pPr>
        <w:ind w:left="1360" w:right="459" w:firstLine="343"/>
        <w:spacing w:after="0" w:line="261" w:lineRule="auto"/>
        <w:rPr>
          <w:sz w:val="20"/>
          <w:szCs w:val="20"/>
          <w:color w:val="auto"/>
        </w:rPr>
      </w:pPr>
      <w:r>
        <w:rPr>
          <w:rFonts w:ascii="Times New Roman" w:cs="Times New Roman" w:eastAsia="Times New Roman" w:hAnsi="Times New Roman"/>
          <w:sz w:val="14"/>
          <w:szCs w:val="14"/>
          <w:color w:val="auto"/>
        </w:rPr>
        <w:t>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securities. Our business, financial condition, liquidity, results of operations and prospects may have changed since those dates.</w:t>
      </w:r>
    </w:p>
    <w:p>
      <w:pPr>
        <w:spacing w:after="0" w:line="141" w:lineRule="exact"/>
        <w:rPr>
          <w:sz w:val="20"/>
          <w:szCs w:val="20"/>
          <w:color w:val="auto"/>
        </w:rPr>
      </w:pPr>
    </w:p>
    <w:p>
      <w:pPr>
        <w:ind w:left="1360" w:right="519" w:firstLine="343"/>
        <w:spacing w:after="0" w:line="259"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contain summaries of certain provisions contained in some of the documents described herein, but reference is made to the actual documents for complete information. In such instances, such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sections entitled “Incorporation of Certain Information by Reference” and “Where You Can Find Additional Information.”</w:t>
      </w:r>
    </w:p>
    <w:p>
      <w:pPr>
        <w:spacing w:after="0" w:line="141"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1"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We are not making offers to sell or solicitations of offers to buy our ordinary shares (including in the form of ADSs) in any jurisdiction in which an offer or solicitation is not permitted or in which the person making that offer or solicitation is not qualified to do so or to anyone to whom it is unlawful to make an offer or solicitation.</w:t>
      </w:r>
    </w:p>
    <w:p>
      <w:pPr>
        <w:spacing w:after="0" w:line="134"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For investors outside the United States: We have not done anything that would permit this offering or possession or distribution of this prospectus supplement in any jurisdiction where action for that purpose</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499"/>
        <w:spacing w:after="0" w:line="268" w:lineRule="auto"/>
        <w:rPr>
          <w:sz w:val="20"/>
          <w:szCs w:val="20"/>
          <w:color w:val="auto"/>
        </w:rPr>
      </w:pPr>
      <w:r>
        <w:rPr>
          <w:rFonts w:ascii="Times New Roman" w:cs="Times New Roman" w:eastAsia="Times New Roman" w:hAnsi="Times New Roman"/>
          <w:sz w:val="14"/>
          <w:szCs w:val="14"/>
          <w:b w:val="1"/>
          <w:bCs w:val="1"/>
          <w:color w:val="auto"/>
        </w:rPr>
        <w:t>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13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Owning our securities may subject you to tax consequences both in France and in the United States. You should read the tax discussion in this prospectus supplement fully, though this prospectus supplement and the accompanying prospectus may not describe these tax consequences fully. Each prospective investor is urged to consult its own tax advisor about the tax consequences to it of an investment in our securities in light of the investor’s own circumstances. In addition, your ability to enforce civil liabilities under U.S. federal securities laws may be affected adversely by the fact that we are incorporated under the laws of France, many of the members of our board of directors and experts named in this prospectus are residents of France or elsewhere outside of the United States, and a substantial portion of our assets and the assets of such persons are located outside the United States. See “Enforcement of Civil Liabilities.”</w:t>
      </w:r>
    </w:p>
    <w:p>
      <w:pPr>
        <w:spacing w:after="0" w:line="147"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Unless otherwise indicated, all references in this prospectus supplement to “Abivax,” “the Company,” “our Company,” “we,” “us” and “our” refer to Abivax SA and its consolidated subsidiary, taken as a whole.</w:t>
      </w:r>
    </w:p>
    <w:p>
      <w:pPr>
        <w:spacing w:after="0" w:line="125"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We are an “emerging growth company” as that term is used in the Jumpstart Our Business Startups Act of 2012 (the “JOBS Act”) and, as such, have elected to comply with certain reduced public company reporting requirements.</w:t>
      </w:r>
    </w:p>
    <w:p>
      <w:pPr>
        <w:spacing w:after="0" w:line="125" w:lineRule="exact"/>
        <w:rPr>
          <w:sz w:val="20"/>
          <w:szCs w:val="20"/>
          <w:color w:val="auto"/>
        </w:rPr>
      </w:pPr>
    </w:p>
    <w:p>
      <w:pPr>
        <w:jc w:val="both"/>
        <w:ind w:left="1360" w:right="599" w:firstLine="343"/>
        <w:spacing w:after="0" w:line="267"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International Financial Reporting Standards (“IFRS”) as issued by the International Accounting Standards Board (“IASB”). Our financial statements are presented in euros and, unless otherwise specified, all monetary amounts printed in this prospectus are in euros.</w:t>
      </w:r>
    </w:p>
    <w:p>
      <w:pPr>
        <w:spacing w:after="0" w:line="136"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All references in this prospectus supplement to “$” and “U.S. dollars” mean U.S. dollars and all references to “€” and “euros” mean euros, unless otherwise noted. In various places throughout this prospectus supplement, we show financial amounts in both U.S. dollars and euros. Unless otherwise noted, these translations, which are provided solely for convenience, are made at the exchange rate of €1.00 = $1.1498, the exchange rate as reported by the European Central Bank on March 31, 2026.</w:t>
      </w:r>
    </w:p>
    <w:p>
      <w:pPr>
        <w:spacing w:after="0" w:line="1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Throughout this prospectus supplement, references to ADSs mean ADSs or ordinary shares represented by such ADSs, as the case may be.</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contain “forward-looking statements” within the meaning of applicable federal securities laws, including Section 27A of the Securities Act and Section 21E of the Securities Exchange Act of 1934, as amended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supplement, the accompanying prospectus and the documents incorporated by reference, the words “anticipate,” “believe,” “can,” “could,” “estimate,” “expect,” “intend,” “is designed to,” “may,” “might,” “objective,” “plan,” “potential,” “predict,” “should,” “will,” “would” or the negative of these and similar expressions identify forward-looking statements. Forward-looking statements include, but are not limited to, statements about:</w:t>
      </w:r>
    </w:p>
    <w:p>
      <w:pPr>
        <w:spacing w:after="0" w:line="73" w:lineRule="exact"/>
        <w:rPr>
          <w:sz w:val="20"/>
          <w:szCs w:val="20"/>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prospects of attaining, maintaining and expanding marketing authorization for our lead drug candidate, obefazimod;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clinical advantages of obefazimod and our future drug candidates;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preclinical and clinical trials (and those conducted by third parties) and other research and development programs;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availability of data from our clinical trials, including our Phase 2b trial of obefazimod in Crohn’s disease;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advance drug candidates through clinical development;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meetings and filings;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obtain and maintain regulatory approvals for obefazimod and any of our future drug candidates;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drug candidates from our preclinical studies;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sales and marketing capabilities and transition into a commercial-stage company;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as well as innovations by new and existing competitors in our industry;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strategic relationships or partnerships;</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proprietary technologies and to operate our business without infringing the intellectual property rights and proprietary technology of third parties;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revenues, capital requirements and the need for additional financing;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67"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the global economy or global supply chain, including financial and credit market fluctuations, international trade relations, political turmoil, natural catastrophes, warfare (such as the Russia-Ukraine war or the conflict in the Middle East), and terrorist attacks;</w:t>
      </w:r>
    </w:p>
    <w:p>
      <w:pPr>
        <w:spacing w:after="0" w:line="62" w:lineRule="exact"/>
        <w:rPr>
          <w:rFonts w:ascii="Times New Roman" w:cs="Times New Roman" w:eastAsia="Times New Roman" w:hAnsi="Times New Roman"/>
          <w:sz w:val="14"/>
          <w:szCs w:val="14"/>
          <w:color w:val="auto"/>
        </w:rPr>
      </w:pPr>
    </w:p>
    <w:p>
      <w:pPr>
        <w:ind w:left="2100" w:right="73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this offering, including our ability to consummate this offering, and our expected use of the net proceeds from such offering; and</w:t>
      </w:r>
    </w:p>
    <w:p>
      <w:pPr>
        <w:spacing w:after="0" w:line="51"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indicated in this prospectus supplement and the documents incorporated by reference herein, including those under the heading “Risk Factors,” and the other documents filed or to be filed with the SEC by us.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Such statements are subject to risks and uncertainties, and actual results may differ materially from those expressed or implied in the forward-looking statements due to various factors, including, but not limited to, those identified under the caption “Risk Factors” in this prospectus supplement, the accompanying prospectus and the documents incorporated by reference. As a result of these factors, we cannot assure you that the forward-looking statements in this prospectus supplement, the accompanying prospectus and the documents incorporated by reference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statements that “we believe” and similar statements reflect our beliefs and opinions on the relevant subject. These statements are based upon information available to us as of the date of this prospectus supplement, the accompanying prospectus and the documents incorporated by reference,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Many important factors, in addition to the factors described in this prospectus supplement and the accompanying prospectus, which may adversely affect such forward-looking statements are set forth in Part I, Item 3.D. of our Annual Report on Form 20-F for the year ended December 31, 2025 (the “Annual Report”), as updated by our subsequent Reports on Form 6-K and the other documents incorporated by reference in this prospectus supplement and the accompanying prospectus. See “Where You Can Find Additional Information” and “Incorporation of Certain Information by Reference.” Many of these risks, uncertainties and assumptions are beyond our control, and may cause our actual results and performance to differ materially from our expectations. Accordingly, you should not place undue reliance on any forward-looking statements contained or incorporated by reference in this prospectus supplement, the accompanying prospectus and the documents incorporated by reference.</w:t>
      </w:r>
    </w:p>
    <w:p>
      <w:pPr>
        <w:spacing w:after="0" w:line="145"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You should read this prospectus supplement, the accompanying prospectus and the documents we incorporate by reference completely and with the understanding that our actual future results may be materially different from what we expect. We qualify all of our forward-looking statements by these cautionary statements.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22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7825" cy="4622800"/>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6" w:lineRule="exact"/>
        <w:rPr>
          <w:sz w:val="20"/>
          <w:szCs w:val="20"/>
          <w:color w:val="auto"/>
        </w:rPr>
      </w:pPr>
    </w:p>
    <w:p>
      <w:pPr>
        <w:jc w:val="both"/>
        <w:ind w:left="1500" w:right="799" w:firstLine="332"/>
        <w:spacing w:after="0" w:line="268"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about us and this offering. This summary is not complete and may not contain all of the information that is important to you. We encourage you to read this prospectus supplement and the accompanying prospectus, including any information incorporated by reference into this prospectus supplement and the accompanying prospectus, in their entirety.</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4" w:lineRule="exact"/>
        <w:rPr>
          <w:sz w:val="20"/>
          <w:szCs w:val="20"/>
          <w:color w:val="auto"/>
        </w:rPr>
      </w:pPr>
    </w:p>
    <w:p>
      <w:pPr>
        <w:ind w:left="1500" w:right="439" w:firstLine="332"/>
        <w:spacing w:after="0" w:line="259" w:lineRule="auto"/>
        <w:rPr>
          <w:sz w:val="20"/>
          <w:szCs w:val="20"/>
          <w:color w:val="auto"/>
        </w:rPr>
      </w:pPr>
      <w:r>
        <w:rPr>
          <w:rFonts w:ascii="Times New Roman" w:cs="Times New Roman" w:eastAsia="Times New Roman" w:hAnsi="Times New Roman"/>
          <w:sz w:val="14"/>
          <w:szCs w:val="14"/>
          <w:color w:val="auto"/>
        </w:rPr>
        <w:t>We are a clinical-stage biotechnology company focused on developing therapeutics that harness the body’s natural regulatory mechanisms to stabilize the immune response in patients with chronic inflammatory diseases. We focus on indications where existing treatments have left patients with significant unmet needs, and where we believe our investigational agents have the potential to be meaningfully differentiated from currently available therapies. Our initial focus is on inflammatory bowel diseases (“IBD”), chronic conditions involving inflammation of the gastrointestinal tract, of which the two most common forms are ulcerative colitis (“UC”) and Crohn’s disease.</w:t>
      </w:r>
    </w:p>
    <w:p>
      <w:pPr>
        <w:spacing w:after="0" w:line="141" w:lineRule="exact"/>
        <w:rPr>
          <w:sz w:val="20"/>
          <w:szCs w:val="20"/>
          <w:color w:val="auto"/>
        </w:rPr>
      </w:pPr>
    </w:p>
    <w:p>
      <w:pPr>
        <w:ind w:left="1500" w:right="379" w:firstLine="332"/>
        <w:spacing w:after="0" w:line="255" w:lineRule="auto"/>
        <w:rPr>
          <w:sz w:val="20"/>
          <w:szCs w:val="20"/>
          <w:color w:val="auto"/>
        </w:rPr>
      </w:pPr>
      <w:r>
        <w:rPr>
          <w:rFonts w:ascii="Times New Roman" w:cs="Times New Roman" w:eastAsia="Times New Roman" w:hAnsi="Times New Roman"/>
          <w:sz w:val="14"/>
          <w:szCs w:val="14"/>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Royalty Certificate Repurchase</w:t>
      </w:r>
    </w:p>
    <w:p>
      <w:pPr>
        <w:spacing w:after="0" w:line="94" w:lineRule="exact"/>
        <w:rPr>
          <w:sz w:val="20"/>
          <w:szCs w:val="20"/>
          <w:color w:val="auto"/>
        </w:rPr>
      </w:pPr>
    </w:p>
    <w:p>
      <w:pPr>
        <w:ind w:left="1500" w:right="399" w:firstLine="332"/>
        <w:spacing w:after="0" w:line="257" w:lineRule="auto"/>
        <w:rPr>
          <w:sz w:val="20"/>
          <w:szCs w:val="20"/>
          <w:color w:val="auto"/>
        </w:rPr>
      </w:pPr>
      <w:r>
        <w:rPr>
          <w:rFonts w:ascii="Times New Roman" w:cs="Times New Roman" w:eastAsia="Times New Roman" w:hAnsi="Times New Roman"/>
          <w:sz w:val="14"/>
          <w:szCs w:val="14"/>
          <w:color w:val="auto"/>
        </w:rPr>
        <w:t>On May 4, 2026, we entered into a purchase agreement with the royalty certificate holders named therein (the “Holders”) to repurchase all of the royalty certificates issued to them on September 7, 2022. We repurchased the royalty certificates in full by paying an aggregate consideration of $90.0 million, of which $45.0 million was paid in cash and $45.0 million was paid in shares through the issuance of 403,347 ordinary shares, including in the form of ADSs, to the Holders in a private placement that was exempt from registration under the Securities Act (the “Royalty Certificate Repurchase”). On May 7, 2026, we filed a prospectus supplement for the purpose of registering the offer and resale from time to time of up to 403,347 ADSs held by the Holders identified in such prospectus supplement.</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Positive Topline Results from Part 2 of Our Phase 3 ABTECT 44-Week Maintenance Trial</w:t>
      </w:r>
    </w:p>
    <w:p>
      <w:pPr>
        <w:spacing w:after="0" w:line="94" w:lineRule="exact"/>
        <w:rPr>
          <w:sz w:val="20"/>
          <w:szCs w:val="20"/>
          <w:color w:val="auto"/>
        </w:rPr>
      </w:pPr>
    </w:p>
    <w:p>
      <w:pPr>
        <w:ind w:left="1500" w:right="399" w:firstLine="332"/>
        <w:spacing w:after="0" w:line="257" w:lineRule="auto"/>
        <w:rPr>
          <w:sz w:val="20"/>
          <w:szCs w:val="20"/>
          <w:color w:val="auto"/>
        </w:rPr>
      </w:pPr>
      <w:r>
        <w:rPr>
          <w:rFonts w:ascii="Times New Roman" w:cs="Times New Roman" w:eastAsia="Times New Roman" w:hAnsi="Times New Roman"/>
          <w:sz w:val="14"/>
          <w:szCs w:val="14"/>
          <w:color w:val="auto"/>
        </w:rPr>
        <w:t>On June 29, 2026, we announced positive topline results from Part 2 of our Phase 3 ABTECT 44-week maintenance trial evaluating obefazimod, our potential first-in-class oral miR-124 enhancer, in moderate to severely active UC. Part 2 of the Phase 3 maintenance trial enrolled patients who either did not achieve clinical response following induction treatment or who experienced disease relapse during the re-randomized maintenance trial (Part 1), expanding both the efficacy and safety results in a more refractory patient population than the registrational maintenance cohort. The additional safety results generated through Part 2 expand the Phase 3 maintenance database and provide important context for interpreting the safety findings reported following the maintenance Part 1 readout.</w:t>
      </w: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514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7825" cy="3514090"/>
                    </a:xfrm>
                    <a:prstGeom prst="rect">
                      <a:avLst/>
                    </a:prstGeom>
                    <a:noFill/>
                  </pic:spPr>
                </pic:pic>
              </a:graphicData>
            </a:graphic>
          </wp:anchor>
        </w:drawing>
      </w:r>
    </w:p>
    <w:p>
      <w:pPr>
        <w:spacing w:after="0" w:line="368"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color w:val="auto"/>
        </w:rPr>
        <w:t>Among patients who failed to achieve clinical response after 8 weeks of induction, continued treatment with obefazimod resulted in clinically meaningful rates of clinical, endoscopic, and combined histologic-endoscopic endpoints at Week 44. Patients treated continuously with 50 mg obefazimod demonstrated the strongest outcomes across all endpoints, including clinical remission (37.2%), clinical response (61.5%), endoscopic improvement (48.0%), Histologic-Endoscopic Mucosal Improvement (“HEMI”) (44.6%), and endoscopic remission (34.5%). These findings suggest that a clinically meaningful proportion of patients who do not initially respond may still derive substantial benefit from longer treatment exposure.</w:t>
      </w:r>
    </w:p>
    <w:p>
      <w:pPr>
        <w:spacing w:after="0" w:line="161" w:lineRule="exact"/>
        <w:rPr>
          <w:sz w:val="20"/>
          <w:szCs w:val="20"/>
          <w:color w:val="auto"/>
        </w:rPr>
      </w:pPr>
    </w:p>
    <w:tbl>
      <w:tblPr>
        <w:tblLayout w:type="fixed"/>
        <w:tblInd w:w="2480" w:type="dxa"/>
        <w:tblCellMar>
          <w:top w:w="0" w:type="dxa"/>
          <w:left w:w="0" w:type="dxa"/>
          <w:bottom w:w="0" w:type="dxa"/>
          <w:right w:w="0" w:type="dxa"/>
        </w:tblCellMar>
      </w:tblPr>
      <w:tr>
        <w:trPr>
          <w:trHeight w:val="148"/>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Part 2 Induction Non-Responders – Exploratory Endpoints</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25 mg</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50 mg</w:t>
            </w:r>
          </w:p>
        </w:tc>
        <w:tc>
          <w:tcPr>
            <w:tcW w:w="0" w:type="dxa"/>
            <w:vAlign w:val="bottom"/>
          </w:tcPr>
          <w:p>
            <w:pPr>
              <w:spacing w:after="0"/>
              <w:rPr>
                <w:sz w:val="1"/>
                <w:szCs w:val="1"/>
                <w:color w:val="auto"/>
              </w:rPr>
            </w:pPr>
          </w:p>
        </w:tc>
      </w:tr>
      <w:tr>
        <w:trPr>
          <w:trHeight w:val="86"/>
        </w:trPr>
        <w:tc>
          <w:tcPr>
            <w:tcW w:w="5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(N=81)</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(N=148)</w:t>
            </w:r>
          </w:p>
        </w:tc>
        <w:tc>
          <w:tcPr>
            <w:tcW w:w="0" w:type="dxa"/>
            <w:vAlign w:val="bottom"/>
          </w:tcPr>
          <w:p>
            <w:pPr>
              <w:spacing w:after="0"/>
              <w:rPr>
                <w:sz w:val="1"/>
                <w:szCs w:val="1"/>
                <w:color w:val="auto"/>
              </w:rPr>
            </w:pPr>
          </w:p>
        </w:tc>
      </w:tr>
      <w:tr>
        <w:trPr>
          <w:trHeight w:val="159"/>
        </w:trPr>
        <w:tc>
          <w:tcPr>
            <w:tcW w:w="510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Clinical Remission</w:t>
            </w:r>
          </w:p>
        </w:tc>
        <w:tc>
          <w:tcPr>
            <w:tcW w:w="50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23.5%</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37.2%</w:t>
            </w:r>
          </w:p>
        </w:tc>
        <w:tc>
          <w:tcPr>
            <w:tcW w:w="0" w:type="dxa"/>
            <w:vAlign w:val="bottom"/>
          </w:tcPr>
          <w:p>
            <w:pPr>
              <w:spacing w:after="0"/>
              <w:rPr>
                <w:sz w:val="1"/>
                <w:szCs w:val="1"/>
                <w:color w:val="auto"/>
              </w:rPr>
            </w:pP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Response</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50.6%</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61.5%</w:t>
            </w:r>
          </w:p>
        </w:tc>
        <w:tc>
          <w:tcPr>
            <w:tcW w:w="0" w:type="dxa"/>
            <w:vAlign w:val="bottom"/>
          </w:tcPr>
          <w:p>
            <w:pPr>
              <w:spacing w:after="0"/>
              <w:rPr>
                <w:sz w:val="1"/>
                <w:szCs w:val="1"/>
                <w:color w:val="auto"/>
              </w:rPr>
            </w:pPr>
          </w:p>
        </w:tc>
      </w:tr>
      <w:tr>
        <w:trPr>
          <w:trHeight w:val="16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Endoscopic Improvement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28.4%</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48.0%</w:t>
            </w:r>
          </w:p>
        </w:tc>
        <w:tc>
          <w:tcPr>
            <w:tcW w:w="0" w:type="dxa"/>
            <w:vAlign w:val="bottom"/>
          </w:tcPr>
          <w:p>
            <w:pPr>
              <w:spacing w:after="0"/>
              <w:rPr>
                <w:sz w:val="1"/>
                <w:szCs w:val="1"/>
                <w:color w:val="auto"/>
              </w:rPr>
            </w:pP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HEMI</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23.5%</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44.6%</w:t>
            </w:r>
          </w:p>
        </w:tc>
        <w:tc>
          <w:tcPr>
            <w:tcW w:w="0" w:type="dxa"/>
            <w:vAlign w:val="bottom"/>
          </w:tcPr>
          <w:p>
            <w:pPr>
              <w:spacing w:after="0"/>
              <w:rPr>
                <w:sz w:val="1"/>
                <w:szCs w:val="1"/>
                <w:color w:val="auto"/>
              </w:rPr>
            </w:pPr>
          </w:p>
        </w:tc>
      </w:tr>
      <w:tr>
        <w:trPr>
          <w:trHeight w:val="16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Endoscopic Remission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22.2%</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color w:val="auto"/>
        </w:rPr>
        <w:t>Among patients who relapsed during Part 1 of the maintenance trial, re-treatment with 50 mg obefazimod resulted in meaningful rates of clinical remission, clinical response, endoscopic improvement, HEMI and endoscopic remission by Week 44. Patients who achieved clinical response with obefazimod during induction and relapsed after being re-randomized to placebo in Part 1 of the maintenance trial were treated with open-label 50 mg obefazimod and achieved clinical response and remission rates of 69.7% and 45.0%, respectively, while patients who relapsed on 25 mg and escalated to 50 mg achieved clinical response and clinical remission rates of 66.7% and 45.5%, respectively. These findings demonstrate the potential for obefazimod to re-establish disease control following relapse and support a flexible maintenance treatment strategy.</w:t>
      </w:r>
    </w:p>
    <w:p>
      <w:pPr>
        <w:spacing w:after="0" w:line="161" w:lineRule="exact"/>
        <w:rPr>
          <w:sz w:val="20"/>
          <w:szCs w:val="20"/>
          <w:color w:val="auto"/>
        </w:rPr>
      </w:pPr>
    </w:p>
    <w:tbl>
      <w:tblPr>
        <w:tblLayout w:type="fixed"/>
        <w:tblInd w:w="1340" w:type="dxa"/>
        <w:tblCellMar>
          <w:top w:w="0" w:type="dxa"/>
          <w:left w:w="0" w:type="dxa"/>
          <w:bottom w:w="0" w:type="dxa"/>
          <w:right w:w="0" w:type="dxa"/>
        </w:tblCellMar>
      </w:tblPr>
      <w:tr>
        <w:trPr>
          <w:trHeight w:val="148"/>
        </w:trPr>
        <w:tc>
          <w:tcPr>
            <w:tcW w:w="1140" w:type="dxa"/>
            <w:vAlign w:val="bottom"/>
          </w:tcPr>
          <w:p>
            <w:pPr>
              <w:spacing w:after="0"/>
              <w:rPr>
                <w:sz w:val="12"/>
                <w:szCs w:val="12"/>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Part 1 Relapsers – Exploratory End+points</w:t>
            </w:r>
          </w:p>
        </w:tc>
        <w:tc>
          <w:tcPr>
            <w:tcW w:w="940" w:type="dxa"/>
            <w:vAlign w:val="bottom"/>
          </w:tcPr>
          <w:p>
            <w:pPr>
              <w:spacing w:after="0"/>
              <w:rPr>
                <w:sz w:val="12"/>
                <w:szCs w:val="12"/>
                <w:color w:val="auto"/>
              </w:rPr>
            </w:pPr>
          </w:p>
        </w:tc>
        <w:tc>
          <w:tcPr>
            <w:tcW w:w="184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 xml:space="preserve">Placebo </w:t>
            </w:r>
            <w:r>
              <w:rPr>
                <w:rFonts w:ascii="Wingdings" w:cs="Wingdings" w:eastAsia="Wingdings" w:hAnsi="Wingdings"/>
                <w:sz w:val="14"/>
                <w:szCs w:val="14"/>
                <w:b w:val="1"/>
                <w:bCs w:val="1"/>
                <w:color w:val="auto"/>
              </w:rPr>
              <w:t>è</w:t>
            </w:r>
            <w:r>
              <w:rPr>
                <w:rFonts w:ascii="Times New Roman" w:cs="Times New Roman" w:eastAsia="Times New Roman" w:hAnsi="Times New Roman"/>
                <w:sz w:val="14"/>
                <w:szCs w:val="14"/>
                <w:b w:val="1"/>
                <w:bCs w:val="1"/>
                <w:color w:val="auto"/>
              </w:rPr>
              <w:t xml:space="preserve"> 50 mg</w:t>
            </w:r>
          </w:p>
        </w:tc>
        <w:tc>
          <w:tcPr>
            <w:tcW w:w="210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 xml:space="preserve">25 mg </w:t>
            </w:r>
            <w:r>
              <w:rPr>
                <w:rFonts w:ascii="Wingdings" w:cs="Wingdings" w:eastAsia="Wingdings" w:hAnsi="Wingdings"/>
                <w:sz w:val="14"/>
                <w:szCs w:val="14"/>
                <w:b w:val="1"/>
                <w:bCs w:val="1"/>
                <w:color w:val="auto"/>
              </w:rPr>
              <w:t>è</w:t>
            </w:r>
            <w:r>
              <w:rPr>
                <w:rFonts w:ascii="Times New Roman" w:cs="Times New Roman" w:eastAsia="Times New Roman" w:hAnsi="Times New Roman"/>
                <w:sz w:val="14"/>
                <w:szCs w:val="14"/>
                <w:b w:val="1"/>
                <w:bCs w:val="1"/>
                <w:color w:val="auto"/>
              </w:rPr>
              <w:t xml:space="preserve"> 50 mg</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9"/>
              </w:rPr>
              <w:t>(N=109)</w:t>
            </w:r>
          </w:p>
        </w:tc>
        <w:tc>
          <w:tcPr>
            <w:tcW w:w="210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w w:val="96"/>
              </w:rPr>
              <w:t>(N=33)</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50 mg</w:t>
            </w:r>
          </w:p>
        </w:tc>
        <w:tc>
          <w:tcPr>
            <w:tcW w:w="780" w:type="dxa"/>
            <w:vAlign w:val="bottom"/>
          </w:tcPr>
          <w:p>
            <w:pPr>
              <w:spacing w:after="0"/>
              <w:rPr>
                <w:sz w:val="13"/>
                <w:szCs w:val="13"/>
                <w:color w:val="auto"/>
              </w:rPr>
            </w:pPr>
          </w:p>
        </w:tc>
        <w:tc>
          <w:tcPr>
            <w:tcW w:w="96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50 mg</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Remission</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4"/>
                <w:szCs w:val="14"/>
                <w:color w:val="auto"/>
                <w:w w:val="99"/>
              </w:rPr>
              <w:t>45.0%</w:t>
            </w:r>
          </w:p>
        </w:tc>
        <w:tc>
          <w:tcPr>
            <w:tcW w:w="7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Response</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4"/>
                <w:szCs w:val="14"/>
                <w:color w:val="auto"/>
                <w:w w:val="99"/>
              </w:rPr>
              <w:t>69.7%</w:t>
            </w:r>
          </w:p>
        </w:tc>
        <w:tc>
          <w:tcPr>
            <w:tcW w:w="7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66.7%</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Endoscopic Improvement</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4"/>
                <w:szCs w:val="14"/>
                <w:color w:val="auto"/>
                <w:w w:val="99"/>
              </w:rPr>
              <w:t>54.1%</w:t>
            </w:r>
          </w:p>
        </w:tc>
        <w:tc>
          <w:tcPr>
            <w:tcW w:w="7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HEMI</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4"/>
                <w:szCs w:val="14"/>
                <w:color w:val="auto"/>
                <w:w w:val="99"/>
              </w:rPr>
              <w:t>47.7%</w:t>
            </w:r>
          </w:p>
        </w:tc>
        <w:tc>
          <w:tcPr>
            <w:tcW w:w="7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Endoscopic Remission</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4"/>
                <w:szCs w:val="14"/>
                <w:color w:val="auto"/>
                <w:w w:val="99"/>
              </w:rPr>
              <w:t>32.1%</w:t>
            </w:r>
          </w:p>
        </w:tc>
        <w:tc>
          <w:tcPr>
            <w:tcW w:w="7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S-2</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168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7825" cy="4168775"/>
                    </a:xfrm>
                    <a:prstGeom prst="rect">
                      <a:avLst/>
                    </a:prstGeom>
                    <a:noFill/>
                  </pic:spPr>
                </pic:pic>
              </a:graphicData>
            </a:graphic>
          </wp:anchor>
        </w:drawing>
      </w:r>
    </w:p>
    <w:p>
      <w:pPr>
        <w:spacing w:after="0" w:line="368" w:lineRule="exact"/>
        <w:rPr>
          <w:sz w:val="20"/>
          <w:szCs w:val="20"/>
          <w:color w:val="auto"/>
        </w:rPr>
      </w:pPr>
    </w:p>
    <w:p>
      <w:pPr>
        <w:jc w:val="both"/>
        <w:ind w:left="1500" w:right="499" w:firstLine="332"/>
        <w:spacing w:after="0" w:line="261" w:lineRule="auto"/>
        <w:rPr>
          <w:sz w:val="20"/>
          <w:szCs w:val="20"/>
          <w:color w:val="auto"/>
        </w:rPr>
      </w:pPr>
      <w:r>
        <w:rPr>
          <w:rFonts w:ascii="Times New Roman" w:cs="Times New Roman" w:eastAsia="Times New Roman" w:hAnsi="Times New Roman"/>
          <w:sz w:val="14"/>
          <w:szCs w:val="14"/>
          <w:color w:val="auto"/>
        </w:rPr>
        <w:t>In Part 2, four total non-melanoma skin cancers (“NMSC”) events were reported, two in the 25 mg arm and two in the 50 mg arm which all occurred in patients with established NMSC risk factors including advanced age, thiopurine use, prior skin cancer history and failure of multiple prior advanced therapies. There were also two non-NMSC malignancies reported in the 50 mg arm, both deemed unrelated to obefazimod by the study investigators. The results are summarized below.</w:t>
      </w:r>
    </w:p>
    <w:p>
      <w:pPr>
        <w:spacing w:after="0" w:line="147"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1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Summary Safety Events, n (%)</w:t>
            </w:r>
          </w:p>
        </w:tc>
        <w:tc>
          <w:tcPr>
            <w:tcW w:w="4620" w:type="dxa"/>
            <w:vAlign w:val="bottom"/>
            <w:vMerge w:val="restart"/>
          </w:tcPr>
          <w:p>
            <w:pPr>
              <w:spacing w:after="0"/>
              <w:rPr>
                <w:sz w:val="11"/>
                <w:szCs w:val="11"/>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Obefazimod 25 mg</w:t>
            </w:r>
          </w:p>
        </w:tc>
        <w:tc>
          <w:tcPr>
            <w:tcW w:w="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Obefazimod 50 mg</w:t>
            </w:r>
          </w:p>
        </w:tc>
        <w:tc>
          <w:tcPr>
            <w:tcW w:w="0" w:type="dxa"/>
            <w:vAlign w:val="bottom"/>
          </w:tcPr>
          <w:p>
            <w:pPr>
              <w:spacing w:after="0"/>
              <w:rPr>
                <w:sz w:val="1"/>
                <w:szCs w:val="1"/>
                <w:color w:val="auto"/>
              </w:rPr>
            </w:pPr>
          </w:p>
        </w:tc>
      </w:tr>
      <w:tr>
        <w:trPr>
          <w:trHeight w:val="144"/>
        </w:trPr>
        <w:tc>
          <w:tcPr>
            <w:tcW w:w="1500" w:type="dxa"/>
            <w:vAlign w:val="bottom"/>
            <w:tcBorders>
              <w:bottom w:val="single" w:sz="8" w:color="auto"/>
            </w:tcBorders>
            <w:vMerge w:val="continue"/>
          </w:tcPr>
          <w:p>
            <w:pPr>
              <w:spacing w:after="0"/>
              <w:rPr>
                <w:sz w:val="12"/>
                <w:szCs w:val="12"/>
                <w:color w:val="auto"/>
              </w:rPr>
            </w:pPr>
          </w:p>
        </w:tc>
        <w:tc>
          <w:tcPr>
            <w:tcW w:w="4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620"/>
              <w:spacing w:after="0" w:line="125" w:lineRule="exact"/>
              <w:rPr>
                <w:sz w:val="20"/>
                <w:szCs w:val="20"/>
                <w:color w:val="auto"/>
              </w:rPr>
            </w:pPr>
            <w:r>
              <w:rPr>
                <w:rFonts w:ascii="Times New Roman" w:cs="Times New Roman" w:eastAsia="Times New Roman" w:hAnsi="Times New Roman"/>
                <w:sz w:val="11"/>
                <w:szCs w:val="11"/>
                <w:b w:val="1"/>
                <w:bCs w:val="1"/>
                <w:color w:val="auto"/>
              </w:rPr>
              <w:t>N=186</w:t>
            </w:r>
          </w:p>
        </w:tc>
        <w:tc>
          <w:tcPr>
            <w:tcW w:w="9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N=447*</w:t>
            </w:r>
          </w:p>
        </w:tc>
        <w:tc>
          <w:tcPr>
            <w:tcW w:w="0" w:type="dxa"/>
            <w:vAlign w:val="bottom"/>
          </w:tcPr>
          <w:p>
            <w:pPr>
              <w:spacing w:after="0"/>
              <w:rPr>
                <w:sz w:val="1"/>
                <w:szCs w:val="1"/>
                <w:color w:val="auto"/>
              </w:rPr>
            </w:pPr>
          </w:p>
        </w:tc>
      </w:tr>
      <w:tr>
        <w:trPr>
          <w:trHeight w:val="149"/>
        </w:trPr>
        <w:tc>
          <w:tcPr>
            <w:tcW w:w="61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Any treatment-emergent adverse event (“TEAE”)</w:t>
            </w:r>
          </w:p>
        </w:tc>
        <w:tc>
          <w:tcPr>
            <w:tcW w:w="920" w:type="dxa"/>
            <w:vAlign w:val="bottom"/>
            <w:tcBorders>
              <w:top w:val="single" w:sz="8" w:color="auto"/>
            </w:tcBorders>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132 (71.0%)</w:t>
            </w:r>
          </w:p>
        </w:tc>
        <w:tc>
          <w:tcPr>
            <w:tcW w:w="3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307 (68.7%)</w:t>
            </w:r>
          </w:p>
        </w:tc>
        <w:tc>
          <w:tcPr>
            <w:tcW w:w="0" w:type="dxa"/>
            <w:vAlign w:val="bottom"/>
          </w:tcPr>
          <w:p>
            <w:pPr>
              <w:spacing w:after="0"/>
              <w:rPr>
                <w:sz w:val="1"/>
                <w:szCs w:val="1"/>
                <w:color w:val="auto"/>
              </w:rPr>
            </w:pPr>
          </w:p>
        </w:tc>
      </w:tr>
      <w:tr>
        <w:trPr>
          <w:trHeight w:val="168"/>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TEAE leading to study drug discontinuation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(11.3%)</w:t>
            </w: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 (6.0%)</w:t>
            </w: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Serious TEAE</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 (8.6%)</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 (5.1%)</w:t>
            </w:r>
          </w:p>
        </w:tc>
        <w:tc>
          <w:tcPr>
            <w:tcW w:w="0" w:type="dxa"/>
            <w:vAlign w:val="bottom"/>
          </w:tcPr>
          <w:p>
            <w:pPr>
              <w:spacing w:after="0"/>
              <w:rPr>
                <w:sz w:val="1"/>
                <w:szCs w:val="1"/>
                <w:color w:val="auto"/>
              </w:rPr>
            </w:pPr>
          </w:p>
        </w:tc>
      </w:tr>
      <w:tr>
        <w:trPr>
          <w:trHeight w:val="168"/>
        </w:trPr>
        <w:tc>
          <w:tcPr>
            <w:tcW w:w="61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Death (Non-Treatment Related)</w:t>
            </w:r>
            <w:r>
              <w:rPr>
                <w:rFonts w:ascii="Times New Roman" w:cs="Times New Roman" w:eastAsia="Times New Roman" w:hAnsi="Times New Roman"/>
                <w:sz w:val="19"/>
                <w:szCs w:val="19"/>
                <w:color w:val="auto"/>
                <w:vertAlign w:val="superscript"/>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Pregnancy</w:t>
            </w:r>
            <w:r>
              <w:rPr>
                <w:rFonts w:ascii="Times New Roman" w:cs="Times New Roman" w:eastAsia="Times New Roman" w:hAnsi="Times New Roman"/>
                <w:sz w:val="19"/>
                <w:szCs w:val="1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(0.2%)</w:t>
            </w:r>
          </w:p>
        </w:tc>
        <w:tc>
          <w:tcPr>
            <w:tcW w:w="0" w:type="dxa"/>
            <w:vAlign w:val="bottom"/>
          </w:tcPr>
          <w:p>
            <w:pPr>
              <w:spacing w:after="0"/>
              <w:rPr>
                <w:sz w:val="1"/>
                <w:szCs w:val="1"/>
                <w:color w:val="auto"/>
              </w:rPr>
            </w:pPr>
          </w:p>
        </w:tc>
      </w:tr>
      <w:tr>
        <w:trPr>
          <w:trHeight w:val="168"/>
        </w:trPr>
        <w:tc>
          <w:tcPr>
            <w:tcW w:w="61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Serious/severe (Grade ≥3) infections and opportunistic infections</w:t>
            </w:r>
            <w:r>
              <w:rPr>
                <w:rFonts w:ascii="Times New Roman" w:cs="Times New Roman" w:eastAsia="Times New Roman" w:hAnsi="Times New Roman"/>
                <w:sz w:val="19"/>
                <w:szCs w:val="19"/>
                <w:color w:val="auto"/>
                <w:vertAlign w:val="superscript"/>
              </w:rPr>
              <w:t>(3)</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 (1.1%)</w:t>
            </w: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Malignancies (excluding NMSC)</w:t>
            </w:r>
            <w:r>
              <w:rPr>
                <w:rFonts w:ascii="Times New Roman" w:cs="Times New Roman" w:eastAsia="Times New Roman" w:hAnsi="Times New Roman"/>
                <w:sz w:val="19"/>
                <w:szCs w:val="19"/>
                <w:color w:val="auto"/>
                <w:vertAlign w:val="superscript"/>
              </w:rPr>
              <w:t>(4)</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 (0.4%)</w:t>
            </w:r>
          </w:p>
        </w:tc>
        <w:tc>
          <w:tcPr>
            <w:tcW w:w="0" w:type="dxa"/>
            <w:vAlign w:val="bottom"/>
          </w:tcPr>
          <w:p>
            <w:pPr>
              <w:spacing w:after="0"/>
              <w:rPr>
                <w:sz w:val="1"/>
                <w:szCs w:val="1"/>
                <w:color w:val="auto"/>
              </w:rPr>
            </w:pPr>
          </w:p>
        </w:tc>
      </w:tr>
      <w:tr>
        <w:trPr>
          <w:trHeight w:val="168"/>
        </w:trPr>
        <w:tc>
          <w:tcPr>
            <w:tcW w:w="61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NMSC</w:t>
            </w:r>
            <w:r>
              <w:rPr>
                <w:rFonts w:ascii="Times New Roman" w:cs="Times New Roman" w:eastAsia="Times New Roman" w:hAnsi="Times New Roman"/>
                <w:sz w:val="19"/>
                <w:szCs w:val="19"/>
                <w:color w:val="auto"/>
                <w:vertAlign w:val="superscript"/>
              </w:rPr>
              <w:t>(5)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(0.4%)</w:t>
            </w: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Acute pancreatitis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(0.2%)</w:t>
            </w:r>
          </w:p>
        </w:tc>
        <w:tc>
          <w:tcPr>
            <w:tcW w:w="0" w:type="dxa"/>
            <w:vAlign w:val="bottom"/>
          </w:tcPr>
          <w:p>
            <w:pPr>
              <w:spacing w:after="0"/>
              <w:rPr>
                <w:sz w:val="1"/>
                <w:szCs w:val="1"/>
                <w:color w:val="auto"/>
              </w:rPr>
            </w:pPr>
          </w:p>
        </w:tc>
      </w:tr>
      <w:tr>
        <w:trPr>
          <w:trHeight w:val="183"/>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Cardiac abnormalities suggestive of cardiac fibrosis</w:t>
            </w:r>
          </w:p>
        </w:tc>
        <w:tc>
          <w:tcPr>
            <w:tcW w:w="300" w:type="dxa"/>
            <w:vAlign w:val="bottom"/>
          </w:tcPr>
          <w:p>
            <w:pPr>
              <w:spacing w:after="0"/>
              <w:rPr>
                <w:sz w:val="15"/>
                <w:szCs w:val="15"/>
                <w:color w:val="auto"/>
              </w:rPr>
            </w:pPr>
          </w:p>
        </w:tc>
        <w:tc>
          <w:tcPr>
            <w:tcW w:w="6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820" w:right="499" w:hanging="327"/>
        <w:spacing w:after="0" w:line="258"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death occurred in the 25 mg arm and was assessed by the investigator as unrelated to obefazimod. The suspected cause was pulmonary embolism in a 65+ patient with multiple pre-existing thromboembolic risk factors, including prior pulmonary embolism, and recent prolonged immobility.</w:t>
      </w:r>
    </w:p>
    <w:p>
      <w:pPr>
        <w:ind w:left="1820" w:hanging="327"/>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Both pregnancies are currently ongoing.</w:t>
      </w:r>
    </w:p>
    <w:p>
      <w:pPr>
        <w:spacing w:after="0" w:line="7" w:lineRule="exact"/>
        <w:rPr>
          <w:rFonts w:ascii="Times New Roman" w:cs="Times New Roman" w:eastAsia="Times New Roman" w:hAnsi="Times New Roman"/>
          <w:sz w:val="14"/>
          <w:szCs w:val="14"/>
          <w:color w:val="auto"/>
        </w:rPr>
      </w:pPr>
    </w:p>
    <w:p>
      <w:pPr>
        <w:ind w:left="1820" w:right="679" w:hanging="327"/>
        <w:spacing w:after="0" w:line="250"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Serious/severe (grade ≥3) infections and opportunistic infections: 25 mg = Appendicitis, Bartonellosis, Cytomegalovirus gastrointestinal infection, Peritonsillar abscess, Sepsis; 50 mg (induction non-responder) = Clostridium difficile infection, pilonidal disease, Urethritis gonococcal; 50 mg Open Label (Part 1 relapsers = Appendicitis (Part 1 50 mg), Septic arthritis staphylococcal (Part 1 placebo).</w:t>
      </w:r>
    </w:p>
    <w:p>
      <w:pPr>
        <w:spacing w:after="0" w:line="1" w:lineRule="exact"/>
        <w:rPr>
          <w:rFonts w:ascii="Times New Roman" w:cs="Times New Roman" w:eastAsia="Times New Roman" w:hAnsi="Times New Roman"/>
          <w:sz w:val="14"/>
          <w:szCs w:val="14"/>
          <w:color w:val="auto"/>
        </w:rPr>
      </w:pPr>
    </w:p>
    <w:p>
      <w:pPr>
        <w:ind w:left="1820" w:hanging="327"/>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 1 relapsers previous on placebo: One case of Myoproliferative Neoplasm and one Prostate Cancer.</w:t>
      </w:r>
    </w:p>
    <w:p>
      <w:pPr>
        <w:spacing w:after="0" w:line="7" w:lineRule="exact"/>
        <w:rPr>
          <w:rFonts w:ascii="Times New Roman" w:cs="Times New Roman" w:eastAsia="Times New Roman" w:hAnsi="Times New Roman"/>
          <w:sz w:val="14"/>
          <w:szCs w:val="14"/>
          <w:color w:val="auto"/>
        </w:rPr>
      </w:pPr>
    </w:p>
    <w:p>
      <w:pPr>
        <w:ind w:left="1820" w:hanging="327"/>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cases of Basal Cell Carcinoma (25 mg | 50 mg) and two cases of Squamous Cell Carcinoma (25 mg | 50 mg).</w:t>
      </w:r>
    </w:p>
    <w:p>
      <w:pPr>
        <w:spacing w:after="0" w:line="7" w:lineRule="exact"/>
        <w:rPr>
          <w:sz w:val="20"/>
          <w:szCs w:val="20"/>
          <w:color w:val="auto"/>
        </w:rPr>
      </w:pPr>
    </w:p>
    <w:p>
      <w:pPr>
        <w:ind w:left="1820" w:hanging="327"/>
        <w:spacing w:after="0"/>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combined induction non-responders on 50 mg in Part 2 (N=251) and Part 1 relapsers (N=196) who entered Part 2.</w:t>
      </w:r>
    </w:p>
    <w:p>
      <w:pPr>
        <w:spacing w:after="0" w:line="177" w:lineRule="exact"/>
        <w:rPr>
          <w:sz w:val="20"/>
          <w:szCs w:val="20"/>
          <w:color w:val="auto"/>
        </w:rPr>
      </w:pPr>
    </w:p>
    <w:tbl>
      <w:tblPr>
        <w:tblLayout w:type="fixed"/>
        <w:tblInd w:w="1510" w:type="dxa"/>
        <w:tblCellMar>
          <w:top w:w="0" w:type="dxa"/>
          <w:left w:w="0" w:type="dxa"/>
          <w:bottom w:w="0" w:type="dxa"/>
          <w:right w:w="0" w:type="dxa"/>
        </w:tblCellMar>
      </w:tblPr>
      <w:tr>
        <w:trPr>
          <w:trHeight w:val="143"/>
        </w:trPr>
        <w:tc>
          <w:tcPr>
            <w:tcW w:w="300" w:type="dxa"/>
            <w:vAlign w:val="bottom"/>
            <w:tcBorders>
              <w:top w:val="single" w:sz="8" w:color="auto"/>
              <w:left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Malignancy</w:t>
            </w:r>
          </w:p>
        </w:tc>
        <w:tc>
          <w:tcPr>
            <w:tcW w:w="7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Exposure to</w:t>
            </w:r>
          </w:p>
        </w:tc>
        <w:tc>
          <w:tcPr>
            <w:tcW w:w="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 </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Thiopurine</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Prior Advanced</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Other Prior UC</w:t>
            </w:r>
          </w:p>
        </w:tc>
        <w:tc>
          <w:tcPr>
            <w:tcW w:w="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Medical History </w:t>
            </w:r>
          </w:p>
        </w:tc>
        <w:tc>
          <w:tcPr>
            <w:tcW w:w="26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00" w:type="dxa"/>
            <w:vAlign w:val="bottom"/>
            <w:tcBorders>
              <w:left w:val="single" w:sz="8" w:color="auto"/>
              <w:right w:val="single" w:sz="8" w:color="auto"/>
            </w:tcBorders>
          </w:tcPr>
          <w:p>
            <w:pPr>
              <w:spacing w:after="0"/>
              <w:rPr>
                <w:sz w:val="4"/>
                <w:szCs w:val="4"/>
                <w:color w:val="auto"/>
              </w:rPr>
            </w:pPr>
          </w:p>
        </w:tc>
        <w:tc>
          <w:tcPr>
            <w:tcW w:w="1240" w:type="dxa"/>
            <w:vAlign w:val="bottom"/>
            <w:tcBorders>
              <w:right w:val="single" w:sz="8" w:color="auto"/>
            </w:tcBorders>
            <w:vMerge w:val="restart"/>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8"/>
              </w:rPr>
              <w:t>(Excluding</w:t>
            </w:r>
          </w:p>
        </w:tc>
        <w:tc>
          <w:tcPr>
            <w:tcW w:w="700" w:type="dxa"/>
            <w:vAlign w:val="bottom"/>
            <w:tcBorders>
              <w:right w:val="single" w:sz="8" w:color="auto"/>
            </w:tcBorders>
            <w:vMerge w:val="continue"/>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2660" w:type="dxa"/>
            <w:vAlign w:val="bottom"/>
            <w:tcBorders>
              <w:right w:val="single" w:sz="8" w:color="auto"/>
            </w:tcBorders>
            <w:vMerge w:val="restart"/>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Summary</w:t>
            </w:r>
          </w:p>
        </w:tc>
        <w:tc>
          <w:tcPr>
            <w:tcW w:w="0" w:type="dxa"/>
            <w:vAlign w:val="bottom"/>
          </w:tcPr>
          <w:p>
            <w:pPr>
              <w:spacing w:after="0"/>
              <w:rPr>
                <w:sz w:val="1"/>
                <w:szCs w:val="1"/>
                <w:color w:val="auto"/>
              </w:rPr>
            </w:pPr>
          </w:p>
        </w:tc>
      </w:tr>
      <w:tr>
        <w:trPr>
          <w:trHeight w:val="53"/>
        </w:trPr>
        <w:tc>
          <w:tcPr>
            <w:tcW w:w="300" w:type="dxa"/>
            <w:vAlign w:val="bottom"/>
            <w:tcBorders>
              <w:left w:val="single" w:sz="8" w:color="auto"/>
              <w:right w:val="single" w:sz="8" w:color="auto"/>
            </w:tcBorders>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Obefazimod</w:t>
            </w:r>
          </w:p>
        </w:tc>
        <w:tc>
          <w:tcPr>
            <w:tcW w:w="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Age </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History</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Therapies</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Treatment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of Cancer</w:t>
            </w:r>
          </w:p>
        </w:tc>
        <w:tc>
          <w:tcPr>
            <w:tcW w:w="26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300" w:type="dxa"/>
            <w:vAlign w:val="bottom"/>
            <w:tcBorders>
              <w:left w:val="single" w:sz="8" w:color="auto"/>
              <w:right w:val="single" w:sz="8" w:color="auto"/>
            </w:tcBorders>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NMSC)</w:t>
            </w:r>
          </w:p>
        </w:tc>
        <w:tc>
          <w:tcPr>
            <w:tcW w:w="700" w:type="dxa"/>
            <w:vAlign w:val="bottom"/>
            <w:tcBorders>
              <w:right w:val="single" w:sz="8" w:color="auto"/>
            </w:tcBorders>
            <w:vMerge w:val="continue"/>
          </w:tcPr>
          <w:p>
            <w:pPr>
              <w:spacing w:after="0"/>
              <w:rPr>
                <w:sz w:val="6"/>
                <w:szCs w:val="6"/>
                <w:color w:val="auto"/>
              </w:rPr>
            </w:pPr>
          </w:p>
        </w:tc>
        <w:tc>
          <w:tcPr>
            <w:tcW w:w="26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0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vMerge w:val="continue"/>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Thrombocythemia since 2023.</w:t>
            </w:r>
          </w:p>
        </w:tc>
        <w:tc>
          <w:tcPr>
            <w:tcW w:w="0" w:type="dxa"/>
            <w:vAlign w:val="bottom"/>
          </w:tcPr>
          <w:p>
            <w:pPr>
              <w:spacing w:after="0"/>
              <w:rPr>
                <w:sz w:val="1"/>
                <w:szCs w:val="1"/>
                <w:color w:val="auto"/>
              </w:rPr>
            </w:pPr>
          </w:p>
        </w:tc>
      </w:tr>
      <w:tr>
        <w:trPr>
          <w:trHeight w:val="112"/>
        </w:trPr>
        <w:tc>
          <w:tcPr>
            <w:tcW w:w="3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Myeloproliferative</w:t>
            </w:r>
          </w:p>
        </w:tc>
        <w:tc>
          <w:tcPr>
            <w:tcW w:w="700" w:type="dxa"/>
            <w:vAlign w:val="bottom"/>
            <w:tcBorders>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rPr>
              <w:t>Had elevated platelets at baseline (909,000 per</w:t>
            </w:r>
          </w:p>
        </w:tc>
        <w:tc>
          <w:tcPr>
            <w:tcW w:w="0" w:type="dxa"/>
            <w:vAlign w:val="bottom"/>
          </w:tcPr>
          <w:p>
            <w:pPr>
              <w:spacing w:after="0"/>
              <w:rPr>
                <w:sz w:val="1"/>
                <w:szCs w:val="1"/>
                <w:color w:val="auto"/>
              </w:rPr>
            </w:pPr>
          </w:p>
        </w:tc>
      </w:tr>
      <w:tr>
        <w:trPr>
          <w:trHeight w:val="56"/>
        </w:trPr>
        <w:tc>
          <w:tcPr>
            <w:tcW w:w="300" w:type="dxa"/>
            <w:vAlign w:val="bottom"/>
            <w:tcBorders>
              <w:left w:val="single" w:sz="8" w:color="auto"/>
              <w:right w:val="single" w:sz="8" w:color="auto"/>
            </w:tcBorders>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restart"/>
          </w:tcPr>
          <w:p>
            <w:pPr>
              <w:ind w:left="100"/>
              <w:spacing w:after="0" w:line="116" w:lineRule="exact"/>
              <w:rPr>
                <w:sz w:val="20"/>
                <w:szCs w:val="20"/>
                <w:color w:val="auto"/>
              </w:rPr>
            </w:pPr>
            <w:r>
              <w:rPr>
                <w:rFonts w:ascii="Times New Roman" w:cs="Times New Roman" w:eastAsia="Times New Roman" w:hAnsi="Times New Roman"/>
                <w:sz w:val="11"/>
                <w:szCs w:val="11"/>
                <w:color w:val="auto"/>
              </w:rPr>
              <w:t>7.4 months</w:t>
            </w:r>
          </w:p>
        </w:tc>
        <w:tc>
          <w:tcPr>
            <w:tcW w:w="26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40+</w:t>
            </w:r>
          </w:p>
        </w:tc>
        <w:tc>
          <w:tcPr>
            <w:tcW w:w="70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84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(adalimumab,</w:t>
            </w:r>
          </w:p>
        </w:tc>
        <w:tc>
          <w:tcPr>
            <w:tcW w:w="86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mesalazine</w:t>
            </w:r>
          </w:p>
        </w:tc>
        <w:tc>
          <w:tcPr>
            <w:tcW w:w="74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266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microliter)</w:t>
            </w:r>
          </w:p>
        </w:tc>
        <w:tc>
          <w:tcPr>
            <w:tcW w:w="0" w:type="dxa"/>
            <w:vAlign w:val="bottom"/>
          </w:tcPr>
          <w:p>
            <w:pPr>
              <w:spacing w:after="0"/>
              <w:rPr>
                <w:sz w:val="1"/>
                <w:szCs w:val="1"/>
                <w:color w:val="auto"/>
              </w:rPr>
            </w:pPr>
          </w:p>
        </w:tc>
      </w:tr>
      <w:tr>
        <w:trPr>
          <w:trHeight w:val="59"/>
        </w:trPr>
        <w:tc>
          <w:tcPr>
            <w:tcW w:w="300" w:type="dxa"/>
            <w:vAlign w:val="bottom"/>
            <w:tcBorders>
              <w:left w:val="single" w:sz="8" w:color="auto"/>
              <w:right w:val="single" w:sz="8" w:color="auto"/>
            </w:tcBorders>
          </w:tcPr>
          <w:p>
            <w:pPr>
              <w:spacing w:after="0"/>
              <w:rPr>
                <w:sz w:val="5"/>
                <w:szCs w:val="5"/>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Neoplasm (MPN)</w:t>
            </w:r>
          </w:p>
        </w:tc>
        <w:tc>
          <w:tcPr>
            <w:tcW w:w="700" w:type="dxa"/>
            <w:vAlign w:val="bottom"/>
            <w:tcBorders>
              <w:right w:val="single" w:sz="8" w:color="auto"/>
            </w:tcBorders>
            <w:vMerge w:val="continue"/>
          </w:tcPr>
          <w:p>
            <w:pPr>
              <w:spacing w:after="0"/>
              <w:rPr>
                <w:sz w:val="5"/>
                <w:szCs w:val="5"/>
                <w:color w:val="auto"/>
              </w:rPr>
            </w:pPr>
          </w:p>
        </w:tc>
        <w:tc>
          <w:tcPr>
            <w:tcW w:w="26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2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0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4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infliximab)</w:t>
            </w:r>
          </w:p>
        </w:tc>
        <w:tc>
          <w:tcPr>
            <w:tcW w:w="86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300" w:type="dxa"/>
            <w:vAlign w:val="bottom"/>
            <w:tcBorders>
              <w:left w:val="single" w:sz="8" w:color="auto"/>
              <w:right w:val="single" w:sz="8" w:color="auto"/>
            </w:tcBorders>
            <w:vMerge w:val="continue"/>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Determined not related to study drug by investigator</w:t>
            </w:r>
          </w:p>
        </w:tc>
        <w:tc>
          <w:tcPr>
            <w:tcW w:w="0" w:type="dxa"/>
            <w:vAlign w:val="bottom"/>
          </w:tcPr>
          <w:p>
            <w:pPr>
              <w:spacing w:after="0"/>
              <w:rPr>
                <w:sz w:val="1"/>
                <w:szCs w:val="1"/>
                <w:color w:val="auto"/>
              </w:rPr>
            </w:pPr>
          </w:p>
        </w:tc>
      </w:tr>
      <w:tr>
        <w:trPr>
          <w:trHeight w:val="26"/>
        </w:trPr>
        <w:tc>
          <w:tcPr>
            <w:tcW w:w="300" w:type="dxa"/>
            <w:vAlign w:val="bottom"/>
            <w:tcBorders>
              <w:left w:val="single" w:sz="8" w:color="auto"/>
              <w:right w:val="single" w:sz="8" w:color="auto"/>
            </w:tcBorders>
            <w:vMerge w:val="continue"/>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300" w:type="dxa"/>
            <w:vAlign w:val="bottom"/>
            <w:tcBorders>
              <w:left w:val="single" w:sz="8" w:color="auto"/>
              <w:right w:val="single" w:sz="8" w:color="auto"/>
            </w:tcBorders>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w w:val="99"/>
              </w:rPr>
              <w:t>mg</w:t>
            </w:r>
          </w:p>
        </w:tc>
        <w:tc>
          <w:tcPr>
            <w:tcW w:w="124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300" w:type="dxa"/>
            <w:vAlign w:val="bottom"/>
            <w:tcBorders>
              <w:left w:val="single" w:sz="8" w:color="auto"/>
              <w:right w:val="single" w:sz="8" w:color="auto"/>
            </w:tcBorders>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Yes</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prednisolone,</w:t>
            </w:r>
          </w:p>
        </w:tc>
        <w:tc>
          <w:tcPr>
            <w:tcW w:w="740" w:type="dxa"/>
            <w:vAlign w:val="bottom"/>
            <w:tcBorders>
              <w:right w:val="single" w:sz="8" w:color="auto"/>
            </w:tcBorders>
          </w:tcPr>
          <w:p>
            <w:pPr>
              <w:spacing w:after="0"/>
              <w:rPr>
                <w:sz w:val="4"/>
                <w:szCs w:val="4"/>
                <w:color w:val="auto"/>
              </w:rPr>
            </w:pPr>
          </w:p>
        </w:tc>
        <w:tc>
          <w:tcPr>
            <w:tcW w:w="2660" w:type="dxa"/>
            <w:vAlign w:val="bottom"/>
            <w:tcBorders>
              <w:right w:val="single" w:sz="8" w:color="auto"/>
            </w:tcBorders>
            <w:vMerge w:val="restart"/>
          </w:tcPr>
          <w:p>
            <w:pPr>
              <w:jc w:val="center"/>
              <w:spacing w:after="0" w:line="89" w:lineRule="exact"/>
              <w:rPr>
                <w:sz w:val="20"/>
                <w:szCs w:val="20"/>
                <w:color w:val="auto"/>
              </w:rPr>
            </w:pPr>
            <w:r>
              <w:rPr>
                <w:rFonts w:ascii="Times New Roman" w:cs="Times New Roman" w:eastAsia="Times New Roman" w:hAnsi="Times New Roman"/>
                <w:sz w:val="10"/>
                <w:szCs w:val="10"/>
                <w:color w:val="auto"/>
              </w:rPr>
              <w:t>Limited adenocarcinoma of the prostate CT2 CN0 M0;</w:t>
            </w:r>
          </w:p>
        </w:tc>
        <w:tc>
          <w:tcPr>
            <w:tcW w:w="0" w:type="dxa"/>
            <w:vAlign w:val="bottom"/>
          </w:tcPr>
          <w:p>
            <w:pPr>
              <w:spacing w:after="0"/>
              <w:rPr>
                <w:sz w:val="1"/>
                <w:szCs w:val="1"/>
                <w:color w:val="auto"/>
              </w:rPr>
            </w:pPr>
          </w:p>
        </w:tc>
      </w:tr>
      <w:tr>
        <w:trPr>
          <w:trHeight w:val="33"/>
        </w:trPr>
        <w:tc>
          <w:tcPr>
            <w:tcW w:w="300" w:type="dxa"/>
            <w:vAlign w:val="bottom"/>
            <w:tcBorders>
              <w:left w:val="single" w:sz="8" w:color="auto"/>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860" w:type="dxa"/>
            <w:vAlign w:val="bottom"/>
            <w:tcBorders>
              <w:right w:val="single" w:sz="8" w:color="auto"/>
            </w:tcBorders>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6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
        </w:trPr>
        <w:tc>
          <w:tcPr>
            <w:tcW w:w="300" w:type="dxa"/>
            <w:vAlign w:val="bottom"/>
            <w:tcBorders>
              <w:left w:val="single" w:sz="8" w:color="auto"/>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660" w:type="dxa"/>
            <w:vAlign w:val="bottom"/>
            <w:tcBorders>
              <w:right w:val="single" w:sz="8" w:color="auto"/>
            </w:tcBorders>
            <w:vMerge w:val="restart"/>
          </w:tcPr>
          <w:p>
            <w:pPr>
              <w:jc w:val="center"/>
              <w:spacing w:after="0" w:line="112" w:lineRule="exact"/>
              <w:rPr>
                <w:sz w:val="20"/>
                <w:szCs w:val="20"/>
                <w:color w:val="auto"/>
              </w:rPr>
            </w:pPr>
            <w:r>
              <w:rPr>
                <w:rFonts w:ascii="Times New Roman" w:cs="Times New Roman" w:eastAsia="Times New Roman" w:hAnsi="Times New Roman"/>
                <w:sz w:val="11"/>
                <w:szCs w:val="11"/>
                <w:color w:val="auto"/>
              </w:rPr>
              <w:t>Gleason score 7B</w:t>
            </w:r>
          </w:p>
        </w:tc>
        <w:tc>
          <w:tcPr>
            <w:tcW w:w="0" w:type="dxa"/>
            <w:vAlign w:val="bottom"/>
          </w:tcPr>
          <w:p>
            <w:pPr>
              <w:spacing w:after="0"/>
              <w:rPr>
                <w:sz w:val="1"/>
                <w:szCs w:val="1"/>
                <w:color w:val="auto"/>
              </w:rPr>
            </w:pPr>
          </w:p>
        </w:tc>
      </w:tr>
      <w:tr>
        <w:trPr>
          <w:trHeight w:val="63"/>
        </w:trPr>
        <w:tc>
          <w:tcPr>
            <w:tcW w:w="300" w:type="dxa"/>
            <w:vAlign w:val="bottom"/>
            <w:tcBorders>
              <w:left w:val="single" w:sz="8" w:color="auto"/>
              <w:right w:val="single" w:sz="8" w:color="auto"/>
            </w:tcBorders>
          </w:tcPr>
          <w:p>
            <w:pPr>
              <w:spacing w:after="0"/>
              <w:rPr>
                <w:sz w:val="5"/>
                <w:szCs w:val="5"/>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Prostate Cancer</w:t>
            </w:r>
          </w:p>
        </w:tc>
        <w:tc>
          <w:tcPr>
            <w:tcW w:w="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1"/>
                <w:szCs w:val="11"/>
                <w:color w:val="auto"/>
              </w:rPr>
              <w:t>3.4 months</w:t>
            </w:r>
          </w:p>
        </w:tc>
        <w:tc>
          <w:tcPr>
            <w:tcW w:w="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55+</w:t>
            </w:r>
          </w:p>
        </w:tc>
        <w:tc>
          <w:tcPr>
            <w:tcW w:w="70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(infliximab,</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mesalazine,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2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color w:val="auto"/>
                <w:w w:val="99"/>
              </w:rPr>
              <w:t>azathioprine</w:t>
            </w: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color w:val="auto"/>
              </w:rPr>
              <w:t>vedolizumab)</w:t>
            </w:r>
          </w:p>
        </w:tc>
        <w:tc>
          <w:tcPr>
            <w:tcW w:w="86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color w:val="auto"/>
              </w:rPr>
              <w:t>budesonide</w:t>
            </w:r>
          </w:p>
        </w:tc>
        <w:tc>
          <w:tcPr>
            <w:tcW w:w="7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Determined not related to study drug by investigator</w:t>
            </w:r>
          </w:p>
        </w:tc>
        <w:tc>
          <w:tcPr>
            <w:tcW w:w="0" w:type="dxa"/>
            <w:vAlign w:val="bottom"/>
          </w:tcPr>
          <w:p>
            <w:pPr>
              <w:spacing w:after="0"/>
              <w:rPr>
                <w:sz w:val="1"/>
                <w:szCs w:val="1"/>
                <w:color w:val="auto"/>
              </w:rPr>
            </w:pPr>
          </w:p>
        </w:tc>
      </w:tr>
      <w:tr>
        <w:trPr>
          <w:trHeight w:val="32"/>
        </w:trPr>
        <w:tc>
          <w:tcPr>
            <w:tcW w:w="3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001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7825" cy="4001770"/>
                    </a:xfrm>
                    <a:prstGeom prst="rect">
                      <a:avLst/>
                    </a:prstGeom>
                    <a:noFill/>
                  </pic:spPr>
                </pic:pic>
              </a:graphicData>
            </a:graphic>
          </wp:anchor>
        </w:drawing>
      </w:r>
    </w:p>
    <w:p>
      <w:pPr>
        <w:spacing w:after="0" w:line="363" w:lineRule="exact"/>
        <w:rPr>
          <w:sz w:val="20"/>
          <w:szCs w:val="20"/>
          <w:color w:val="auto"/>
        </w:rPr>
      </w:pPr>
    </w:p>
    <w:tbl>
      <w:tblPr>
        <w:tblLayout w:type="fixed"/>
        <w:tblInd w:w="1510" w:type="dxa"/>
        <w:tblCellMar>
          <w:top w:w="0" w:type="dxa"/>
          <w:left w:w="0" w:type="dxa"/>
          <w:bottom w:w="0" w:type="dxa"/>
          <w:right w:w="0" w:type="dxa"/>
        </w:tblCellMar>
      </w:tblPr>
      <w:tr>
        <w:trPr>
          <w:trHeight w:val="143"/>
        </w:trPr>
        <w:tc>
          <w:tcPr>
            <w:tcW w:w="300" w:type="dxa"/>
            <w:vAlign w:val="bottom"/>
            <w:tcBorders>
              <w:top w:val="single" w:sz="8" w:color="auto"/>
              <w:left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NMSC</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Exposure to</w:t>
            </w:r>
          </w:p>
        </w:tc>
        <w:tc>
          <w:tcPr>
            <w:tcW w:w="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5"/>
                <w:szCs w:val="5"/>
                <w:b w:val="1"/>
                <w:bCs w:val="1"/>
                <w:color w:val="auto"/>
                <w:w w:val="78"/>
              </w:rPr>
              <w:t> </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Thiopurine</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Prior Advanced</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Other Prior UC</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Medical History </w:t>
            </w:r>
          </w:p>
        </w:tc>
        <w:tc>
          <w:tcPr>
            <w:tcW w:w="2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Summary</w:t>
            </w:r>
          </w:p>
        </w:tc>
        <w:tc>
          <w:tcPr>
            <w:tcW w:w="0" w:type="dxa"/>
            <w:vAlign w:val="bottom"/>
          </w:tcPr>
          <w:p>
            <w:pPr>
              <w:spacing w:after="0"/>
              <w:rPr>
                <w:sz w:val="1"/>
                <w:szCs w:val="1"/>
                <w:color w:val="auto"/>
              </w:rPr>
            </w:pPr>
          </w:p>
        </w:tc>
      </w:tr>
      <w:tr>
        <w:trPr>
          <w:trHeight w:val="77"/>
        </w:trPr>
        <w:tc>
          <w:tcPr>
            <w:tcW w:w="30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Obefazimod</w:t>
            </w:r>
          </w:p>
        </w:tc>
        <w:tc>
          <w:tcPr>
            <w:tcW w:w="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Age </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History</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Therapies</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Treatment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of Skin Cancer </w:t>
            </w:r>
          </w:p>
        </w:tc>
        <w:tc>
          <w:tcPr>
            <w:tcW w:w="2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30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vMerge w:val="continue"/>
          </w:tcPr>
          <w:p>
            <w:pPr>
              <w:spacing w:after="0"/>
              <w:rPr>
                <w:sz w:val="3"/>
                <w:szCs w:val="3"/>
                <w:color w:val="auto"/>
              </w:rPr>
            </w:pPr>
          </w:p>
        </w:tc>
        <w:tc>
          <w:tcPr>
            <w:tcW w:w="260" w:type="dxa"/>
            <w:vAlign w:val="bottom"/>
            <w:tcBorders>
              <w:bottom w:val="single" w:sz="8" w:color="auto"/>
              <w:right w:val="single" w:sz="8" w:color="auto"/>
            </w:tcBorders>
            <w:vMerge w:val="continue"/>
          </w:tcPr>
          <w:p>
            <w:pPr>
              <w:spacing w:after="0"/>
              <w:rPr>
                <w:sz w:val="3"/>
                <w:szCs w:val="3"/>
                <w:color w:val="auto"/>
              </w:rPr>
            </w:pPr>
          </w:p>
        </w:tc>
        <w:tc>
          <w:tcPr>
            <w:tcW w:w="700" w:type="dxa"/>
            <w:vAlign w:val="bottom"/>
            <w:tcBorders>
              <w:bottom w:val="single" w:sz="8" w:color="auto"/>
              <w:right w:val="single" w:sz="8" w:color="auto"/>
            </w:tcBorders>
            <w:vMerge w:val="continue"/>
          </w:tcPr>
          <w:p>
            <w:pPr>
              <w:spacing w:after="0"/>
              <w:rPr>
                <w:sz w:val="3"/>
                <w:szCs w:val="3"/>
                <w:color w:val="auto"/>
              </w:rPr>
            </w:pPr>
          </w:p>
        </w:tc>
        <w:tc>
          <w:tcPr>
            <w:tcW w:w="860" w:type="dxa"/>
            <w:vAlign w:val="bottom"/>
            <w:tcBorders>
              <w:bottom w:val="single" w:sz="8" w:color="auto"/>
              <w:right w:val="single" w:sz="8" w:color="auto"/>
            </w:tcBorders>
            <w:vMerge w:val="continue"/>
          </w:tcPr>
          <w:p>
            <w:pPr>
              <w:spacing w:after="0"/>
              <w:rPr>
                <w:sz w:val="3"/>
                <w:szCs w:val="3"/>
                <w:color w:val="auto"/>
              </w:rPr>
            </w:pPr>
          </w:p>
        </w:tc>
        <w:tc>
          <w:tcPr>
            <w:tcW w:w="860" w:type="dxa"/>
            <w:vAlign w:val="bottom"/>
            <w:tcBorders>
              <w:bottom w:val="single" w:sz="8" w:color="auto"/>
              <w:right w:val="single" w:sz="8" w:color="auto"/>
            </w:tcBorders>
            <w:vMerge w:val="continue"/>
          </w:tcPr>
          <w:p>
            <w:pPr>
              <w:spacing w:after="0"/>
              <w:rPr>
                <w:sz w:val="3"/>
                <w:szCs w:val="3"/>
                <w:color w:val="auto"/>
              </w:rPr>
            </w:pPr>
          </w:p>
        </w:tc>
        <w:tc>
          <w:tcPr>
            <w:tcW w:w="800" w:type="dxa"/>
            <w:vAlign w:val="bottom"/>
            <w:tcBorders>
              <w:bottom w:val="single" w:sz="8" w:color="auto"/>
              <w:right w:val="single" w:sz="8" w:color="auto"/>
            </w:tcBorders>
            <w:vMerge w:val="continue"/>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30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Yes</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mesalazine,</w:t>
            </w:r>
          </w:p>
        </w:tc>
        <w:tc>
          <w:tcPr>
            <w:tcW w:w="80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Thiopurine use and failure of 3 prior advanced therapies</w:t>
            </w:r>
          </w:p>
        </w:tc>
        <w:tc>
          <w:tcPr>
            <w:tcW w:w="0" w:type="dxa"/>
            <w:vAlign w:val="bottom"/>
          </w:tcPr>
          <w:p>
            <w:pPr>
              <w:spacing w:after="0"/>
              <w:rPr>
                <w:sz w:val="1"/>
                <w:szCs w:val="1"/>
                <w:color w:val="auto"/>
              </w:rPr>
            </w:pPr>
          </w:p>
        </w:tc>
      </w:tr>
      <w:tr>
        <w:trPr>
          <w:trHeight w:val="109"/>
        </w:trPr>
        <w:tc>
          <w:tcPr>
            <w:tcW w:w="3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Basal Cell Carcinoma</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10.4 months</w:t>
            </w:r>
          </w:p>
        </w:tc>
        <w:tc>
          <w:tcPr>
            <w:tcW w:w="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40+</w:t>
            </w:r>
          </w:p>
        </w:tc>
        <w:tc>
          <w:tcPr>
            <w:tcW w:w="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color w:val="auto"/>
              </w:rPr>
              <w:t>vedolizumab,</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Determined probably related to study drug by</w:t>
            </w:r>
          </w:p>
        </w:tc>
        <w:tc>
          <w:tcPr>
            <w:tcW w:w="0" w:type="dxa"/>
            <w:vAlign w:val="bottom"/>
          </w:tcPr>
          <w:p>
            <w:pPr>
              <w:spacing w:after="0"/>
              <w:rPr>
                <w:sz w:val="1"/>
                <w:szCs w:val="1"/>
                <w:color w:val="auto"/>
              </w:rPr>
            </w:pPr>
          </w:p>
        </w:tc>
      </w:tr>
      <w:tr>
        <w:trPr>
          <w:trHeight w:val="112"/>
        </w:trPr>
        <w:tc>
          <w:tcPr>
            <w:tcW w:w="300" w:type="dxa"/>
            <w:vAlign w:val="bottom"/>
            <w:tcBorders>
              <w:left w:val="single" w:sz="8" w:color="auto"/>
              <w:right w:val="single" w:sz="8" w:color="auto"/>
            </w:tcBorders>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50</w:t>
            </w:r>
          </w:p>
        </w:tc>
        <w:tc>
          <w:tcPr>
            <w:tcW w:w="122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rPr>
              <w:t>azathioprine</w:t>
            </w:r>
          </w:p>
        </w:tc>
        <w:tc>
          <w:tcPr>
            <w:tcW w:w="86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rPr>
              <w:t>infliximab,</w:t>
            </w:r>
          </w:p>
        </w:tc>
        <w:tc>
          <w:tcPr>
            <w:tcW w:w="86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rPr>
              <w:t>prednisone</w:t>
            </w:r>
          </w:p>
        </w:tc>
        <w:tc>
          <w:tcPr>
            <w:tcW w:w="80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00" w:type="dxa"/>
            <w:vAlign w:val="bottom"/>
            <w:tcBorders>
              <w:left w:val="single" w:sz="8" w:color="auto"/>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ustekinumab</w:t>
            </w:r>
          </w:p>
        </w:tc>
        <w:tc>
          <w:tcPr>
            <w:tcW w:w="8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investigator</w:t>
            </w:r>
          </w:p>
        </w:tc>
        <w:tc>
          <w:tcPr>
            <w:tcW w:w="0" w:type="dxa"/>
            <w:vAlign w:val="bottom"/>
          </w:tcPr>
          <w:p>
            <w:pPr>
              <w:spacing w:after="0"/>
              <w:rPr>
                <w:sz w:val="1"/>
                <w:szCs w:val="1"/>
                <w:color w:val="auto"/>
              </w:rPr>
            </w:pPr>
          </w:p>
        </w:tc>
      </w:tr>
      <w:tr>
        <w:trPr>
          <w:trHeight w:val="28"/>
        </w:trPr>
        <w:tc>
          <w:tcPr>
            <w:tcW w:w="300" w:type="dxa"/>
            <w:vAlign w:val="bottom"/>
            <w:tcBorders>
              <w:left w:val="single" w:sz="8" w:color="auto"/>
              <w:right w:val="single" w:sz="8" w:color="auto"/>
            </w:tcBorders>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w w:val="99"/>
              </w:rPr>
              <w:t>mg</w:t>
            </w:r>
          </w:p>
        </w:tc>
        <w:tc>
          <w:tcPr>
            <w:tcW w:w="12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Squamous Cell</w:t>
            </w:r>
          </w:p>
        </w:tc>
        <w:tc>
          <w:tcPr>
            <w:tcW w:w="70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Yes</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color w:val="auto"/>
              </w:rPr>
              <w:t>Prior history of squamous cell carcinoma and history of</w:t>
            </w:r>
          </w:p>
        </w:tc>
        <w:tc>
          <w:tcPr>
            <w:tcW w:w="0" w:type="dxa"/>
            <w:vAlign w:val="bottom"/>
          </w:tcPr>
          <w:p>
            <w:pPr>
              <w:spacing w:after="0"/>
              <w:rPr>
                <w:sz w:val="1"/>
                <w:szCs w:val="1"/>
                <w:color w:val="auto"/>
              </w:rPr>
            </w:pPr>
          </w:p>
        </w:tc>
      </w:tr>
      <w:tr>
        <w:trPr>
          <w:trHeight w:val="42"/>
        </w:trPr>
        <w:tc>
          <w:tcPr>
            <w:tcW w:w="300" w:type="dxa"/>
            <w:vAlign w:val="bottom"/>
            <w:tcBorders>
              <w:left w:val="single" w:sz="8" w:color="auto"/>
              <w:right w:val="single" w:sz="8" w:color="auto"/>
            </w:tcBorders>
          </w:tcPr>
          <w:p>
            <w:pPr>
              <w:spacing w:after="0"/>
              <w:rPr>
                <w:sz w:val="3"/>
                <w:szCs w:val="3"/>
                <w:color w:val="auto"/>
              </w:rPr>
            </w:pPr>
          </w:p>
        </w:tc>
        <w:tc>
          <w:tcPr>
            <w:tcW w:w="122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vMerge w:val="continue"/>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vMerge w:val="restart"/>
          </w:tcPr>
          <w:p>
            <w:pPr>
              <w:jc w:val="center"/>
              <w:spacing w:after="0" w:line="112" w:lineRule="exact"/>
              <w:rPr>
                <w:sz w:val="20"/>
                <w:szCs w:val="20"/>
                <w:color w:val="auto"/>
              </w:rPr>
            </w:pPr>
            <w:r>
              <w:rPr>
                <w:rFonts w:ascii="Times New Roman" w:cs="Times New Roman" w:eastAsia="Times New Roman" w:hAnsi="Times New Roman"/>
                <w:sz w:val="11"/>
                <w:szCs w:val="11"/>
                <w:color w:val="auto"/>
              </w:rPr>
              <w:t>multiple skin lesions</w:t>
            </w:r>
          </w:p>
        </w:tc>
        <w:tc>
          <w:tcPr>
            <w:tcW w:w="0" w:type="dxa"/>
            <w:vAlign w:val="bottom"/>
          </w:tcPr>
          <w:p>
            <w:pPr>
              <w:spacing w:after="0"/>
              <w:rPr>
                <w:sz w:val="1"/>
                <w:szCs w:val="1"/>
                <w:color w:val="auto"/>
              </w:rPr>
            </w:pPr>
          </w:p>
        </w:tc>
      </w:tr>
      <w:tr>
        <w:trPr>
          <w:trHeight w:val="70"/>
        </w:trPr>
        <w:tc>
          <w:tcPr>
            <w:tcW w:w="30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restart"/>
          </w:tcPr>
          <w:p>
            <w:pPr>
              <w:jc w:val="center"/>
              <w:spacing w:after="0" w:line="123" w:lineRule="exact"/>
              <w:rPr>
                <w:sz w:val="20"/>
                <w:szCs w:val="20"/>
                <w:color w:val="auto"/>
              </w:rPr>
            </w:pPr>
            <w:r>
              <w:rPr>
                <w:rFonts w:ascii="Times New Roman" w:cs="Times New Roman" w:eastAsia="Times New Roman" w:hAnsi="Times New Roman"/>
                <w:sz w:val="11"/>
                <w:szCs w:val="11"/>
                <w:color w:val="auto"/>
              </w:rPr>
              <w:t>4.6 months</w:t>
            </w:r>
          </w:p>
        </w:tc>
        <w:tc>
          <w:tcPr>
            <w:tcW w:w="260" w:type="dxa"/>
            <w:vAlign w:val="bottom"/>
            <w:tcBorders>
              <w:right w:val="single" w:sz="8" w:color="auto"/>
            </w:tcBorders>
            <w:vMerge w:val="restart"/>
          </w:tcPr>
          <w:p>
            <w:pPr>
              <w:jc w:val="center"/>
              <w:spacing w:after="0" w:line="123" w:lineRule="exact"/>
              <w:rPr>
                <w:sz w:val="20"/>
                <w:szCs w:val="20"/>
                <w:color w:val="auto"/>
              </w:rPr>
            </w:pPr>
            <w:r>
              <w:rPr>
                <w:rFonts w:ascii="Times New Roman" w:cs="Times New Roman" w:eastAsia="Times New Roman" w:hAnsi="Times New Roman"/>
                <w:sz w:val="11"/>
                <w:szCs w:val="11"/>
                <w:color w:val="auto"/>
              </w:rPr>
              <w:t>55+</w:t>
            </w:r>
          </w:p>
        </w:tc>
        <w:tc>
          <w:tcPr>
            <w:tcW w:w="70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jc w:val="center"/>
              <w:spacing w:after="0" w:line="123" w:lineRule="exact"/>
              <w:rPr>
                <w:sz w:val="20"/>
                <w:szCs w:val="20"/>
                <w:color w:val="auto"/>
              </w:rPr>
            </w:pPr>
            <w:r>
              <w:rPr>
                <w:rFonts w:ascii="Times New Roman" w:cs="Times New Roman" w:eastAsia="Times New Roman" w:hAnsi="Times New Roman"/>
                <w:sz w:val="11"/>
                <w:szCs w:val="11"/>
                <w:color w:val="auto"/>
              </w:rPr>
              <w:t>adalimumab,</w:t>
            </w:r>
          </w:p>
        </w:tc>
        <w:tc>
          <w:tcPr>
            <w:tcW w:w="860" w:type="dxa"/>
            <w:vAlign w:val="bottom"/>
            <w:tcBorders>
              <w:right w:val="single" w:sz="8" w:color="auto"/>
            </w:tcBorders>
            <w:vMerge w:val="restart"/>
          </w:tcPr>
          <w:p>
            <w:pPr>
              <w:jc w:val="center"/>
              <w:spacing w:after="0" w:line="123" w:lineRule="exact"/>
              <w:rPr>
                <w:sz w:val="20"/>
                <w:szCs w:val="20"/>
                <w:color w:val="auto"/>
              </w:rPr>
            </w:pPr>
            <w:r>
              <w:rPr>
                <w:rFonts w:ascii="Times New Roman" w:cs="Times New Roman" w:eastAsia="Times New Roman" w:hAnsi="Times New Roman"/>
                <w:sz w:val="11"/>
                <w:szCs w:val="11"/>
                <w:color w:val="auto"/>
              </w:rPr>
              <w:t>budesonide</w:t>
            </w:r>
          </w:p>
        </w:tc>
        <w:tc>
          <w:tcPr>
            <w:tcW w:w="800" w:type="dxa"/>
            <w:vAlign w:val="bottom"/>
            <w:tcBorders>
              <w:right w:val="single" w:sz="8" w:color="auto"/>
            </w:tcBorders>
            <w:vMerge w:val="restart"/>
          </w:tcPr>
          <w:p>
            <w:pPr>
              <w:jc w:val="center"/>
              <w:spacing w:after="0" w:line="123" w:lineRule="exact"/>
              <w:rPr>
                <w:sz w:val="20"/>
                <w:szCs w:val="20"/>
                <w:color w:val="auto"/>
              </w:rPr>
            </w:pPr>
            <w:r>
              <w:rPr>
                <w:rFonts w:ascii="Times New Roman" w:cs="Times New Roman" w:eastAsia="Times New Roman" w:hAnsi="Times New Roman"/>
                <w:sz w:val="11"/>
                <w:szCs w:val="11"/>
                <w:color w:val="auto"/>
                <w:w w:val="93"/>
              </w:rPr>
              <w:t>Yes</w:t>
            </w:r>
          </w:p>
        </w:tc>
        <w:tc>
          <w:tcPr>
            <w:tcW w:w="2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0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Carcinoma</w:t>
            </w:r>
          </w:p>
        </w:tc>
        <w:tc>
          <w:tcPr>
            <w:tcW w:w="700" w:type="dxa"/>
            <w:vAlign w:val="bottom"/>
            <w:tcBorders>
              <w:right w:val="single" w:sz="8" w:color="auto"/>
            </w:tcBorders>
            <w:vMerge w:val="continue"/>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azathioprine</w:t>
            </w:r>
          </w:p>
        </w:tc>
        <w:tc>
          <w:tcPr>
            <w:tcW w:w="86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300" w:type="dxa"/>
            <w:vAlign w:val="bottom"/>
            <w:tcBorders>
              <w:left w:val="single" w:sz="8" w:color="auto"/>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vedolizumab</w:t>
            </w:r>
          </w:p>
        </w:tc>
        <w:tc>
          <w:tcPr>
            <w:tcW w:w="8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Determined not related to study drug by investigator</w:t>
            </w:r>
          </w:p>
        </w:tc>
        <w:tc>
          <w:tcPr>
            <w:tcW w:w="0" w:type="dxa"/>
            <w:vAlign w:val="bottom"/>
          </w:tcPr>
          <w:p>
            <w:pPr>
              <w:spacing w:after="0"/>
              <w:rPr>
                <w:sz w:val="1"/>
                <w:szCs w:val="1"/>
                <w:color w:val="auto"/>
              </w:rPr>
            </w:pPr>
          </w:p>
        </w:tc>
      </w:tr>
      <w:tr>
        <w:trPr>
          <w:trHeight w:val="53"/>
        </w:trPr>
        <w:tc>
          <w:tcPr>
            <w:tcW w:w="30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30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color w:val="auto"/>
              </w:rPr>
              <w:t>budesonide,</w:t>
            </w:r>
          </w:p>
        </w:tc>
        <w:tc>
          <w:tcPr>
            <w:tcW w:w="80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Age 50+, prior thiopurine history</w:t>
            </w:r>
          </w:p>
        </w:tc>
        <w:tc>
          <w:tcPr>
            <w:tcW w:w="0" w:type="dxa"/>
            <w:vAlign w:val="bottom"/>
          </w:tcPr>
          <w:p>
            <w:pPr>
              <w:spacing w:after="0"/>
              <w:rPr>
                <w:sz w:val="1"/>
                <w:szCs w:val="1"/>
                <w:color w:val="auto"/>
              </w:rPr>
            </w:pPr>
          </w:p>
        </w:tc>
      </w:tr>
      <w:tr>
        <w:trPr>
          <w:trHeight w:val="116"/>
        </w:trPr>
        <w:tc>
          <w:tcPr>
            <w:tcW w:w="3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3"/>
              </w:rPr>
              <w:t>Yes</w:t>
            </w: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1"/>
                <w:szCs w:val="11"/>
                <w:color w:val="auto"/>
              </w:rPr>
              <w:t>sulfasalazine,</w:t>
            </w:r>
          </w:p>
        </w:tc>
        <w:tc>
          <w:tcPr>
            <w:tcW w:w="80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Basal Cell Carcinoma</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8.1 months</w:t>
            </w:r>
          </w:p>
        </w:tc>
        <w:tc>
          <w:tcPr>
            <w:tcW w:w="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50+</w:t>
            </w:r>
          </w:p>
        </w:tc>
        <w:tc>
          <w:tcPr>
            <w:tcW w:w="7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None</w:t>
            </w:r>
          </w:p>
        </w:tc>
        <w:tc>
          <w:tcPr>
            <w:tcW w:w="86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rPr>
              <w:t>mesalazine,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Determined unlikely related to study drug by</w:t>
            </w:r>
          </w:p>
        </w:tc>
        <w:tc>
          <w:tcPr>
            <w:tcW w:w="0" w:type="dxa"/>
            <w:vAlign w:val="bottom"/>
          </w:tcPr>
          <w:p>
            <w:pPr>
              <w:spacing w:after="0"/>
              <w:rPr>
                <w:sz w:val="1"/>
                <w:szCs w:val="1"/>
                <w:color w:val="auto"/>
              </w:rPr>
            </w:pPr>
          </w:p>
        </w:tc>
      </w:tr>
      <w:tr>
        <w:trPr>
          <w:trHeight w:val="87"/>
        </w:trPr>
        <w:tc>
          <w:tcPr>
            <w:tcW w:w="30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azathioprine</w:t>
            </w:r>
          </w:p>
        </w:tc>
        <w:tc>
          <w:tcPr>
            <w:tcW w:w="86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restart"/>
          </w:tcPr>
          <w:p>
            <w:pPr>
              <w:jc w:val="center"/>
              <w:spacing w:after="0" w:line="116" w:lineRule="exact"/>
              <w:rPr>
                <w:sz w:val="20"/>
                <w:szCs w:val="20"/>
                <w:color w:val="auto"/>
              </w:rPr>
            </w:pPr>
            <w:r>
              <w:rPr>
                <w:rFonts w:ascii="Times New Roman" w:cs="Times New Roman" w:eastAsia="Times New Roman" w:hAnsi="Times New Roman"/>
                <w:sz w:val="11"/>
                <w:szCs w:val="11"/>
                <w:color w:val="auto"/>
              </w:rPr>
              <w:t>prednisone,</w:t>
            </w:r>
          </w:p>
        </w:tc>
        <w:tc>
          <w:tcPr>
            <w:tcW w:w="800" w:type="dxa"/>
            <w:vAlign w:val="bottom"/>
            <w:tcBorders>
              <w:right w:val="single" w:sz="8" w:color="auto"/>
            </w:tcBorders>
            <w:vMerge w:val="continue"/>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00" w:type="dxa"/>
            <w:vAlign w:val="bottom"/>
            <w:tcBorders>
              <w:left w:val="single" w:sz="8" w:color="auto"/>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vMerge w:val="continue"/>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vMerge w:val="continue"/>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00" w:type="dxa"/>
            <w:vAlign w:val="bottom"/>
            <w:tcBorders>
              <w:left w:val="single" w:sz="8" w:color="auto"/>
              <w:right w:val="single" w:sz="8" w:color="auto"/>
            </w:tcBorders>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25</w:t>
            </w:r>
          </w:p>
        </w:tc>
        <w:tc>
          <w:tcPr>
            <w:tcW w:w="12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metranidazole,</w:t>
            </w:r>
          </w:p>
        </w:tc>
        <w:tc>
          <w:tcPr>
            <w:tcW w:w="80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investigator</w:t>
            </w:r>
          </w:p>
        </w:tc>
        <w:tc>
          <w:tcPr>
            <w:tcW w:w="0" w:type="dxa"/>
            <w:vAlign w:val="bottom"/>
          </w:tcPr>
          <w:p>
            <w:pPr>
              <w:spacing w:after="0"/>
              <w:rPr>
                <w:sz w:val="1"/>
                <w:szCs w:val="1"/>
                <w:color w:val="auto"/>
              </w:rPr>
            </w:pPr>
          </w:p>
        </w:tc>
      </w:tr>
      <w:tr>
        <w:trPr>
          <w:trHeight w:val="53"/>
        </w:trPr>
        <w:tc>
          <w:tcPr>
            <w:tcW w:w="30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sodium butyrate</w:t>
            </w:r>
          </w:p>
        </w:tc>
        <w:tc>
          <w:tcPr>
            <w:tcW w:w="80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00" w:type="dxa"/>
            <w:vAlign w:val="bottom"/>
            <w:tcBorders>
              <w:left w:val="single" w:sz="8" w:color="auto"/>
              <w:right w:val="single" w:sz="8" w:color="auto"/>
            </w:tcBorders>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w w:val="99"/>
              </w:rPr>
              <w:t>mg</w:t>
            </w:r>
          </w:p>
        </w:tc>
        <w:tc>
          <w:tcPr>
            <w:tcW w:w="12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300" w:type="dxa"/>
            <w:vAlign w:val="bottom"/>
            <w:tcBorders>
              <w:left w:val="single" w:sz="8" w:color="auto"/>
              <w:right w:val="single" w:sz="8" w:color="auto"/>
            </w:tcBorders>
            <w:vMerge w:val="continue"/>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vMerge w:val="restart"/>
          </w:tcPr>
          <w:p>
            <w:pPr>
              <w:jc w:val="center"/>
              <w:spacing w:after="0" w:line="89" w:lineRule="exact"/>
              <w:rPr>
                <w:sz w:val="20"/>
                <w:szCs w:val="20"/>
                <w:color w:val="auto"/>
              </w:rPr>
            </w:pPr>
            <w:r>
              <w:rPr>
                <w:rFonts w:ascii="Times New Roman" w:cs="Times New Roman" w:eastAsia="Times New Roman" w:hAnsi="Times New Roman"/>
                <w:sz w:val="10"/>
                <w:szCs w:val="10"/>
                <w:color w:val="auto"/>
              </w:rPr>
              <w:t>Age 75+ and prior history of 2x Basal</w:t>
            </w:r>
          </w:p>
        </w:tc>
        <w:tc>
          <w:tcPr>
            <w:tcW w:w="0" w:type="dxa"/>
            <w:vAlign w:val="bottom"/>
          </w:tcPr>
          <w:p>
            <w:pPr>
              <w:spacing w:after="0"/>
              <w:rPr>
                <w:sz w:val="1"/>
                <w:szCs w:val="1"/>
                <w:color w:val="auto"/>
              </w:rPr>
            </w:pPr>
          </w:p>
        </w:tc>
      </w:tr>
      <w:tr>
        <w:trPr>
          <w:trHeight w:val="43"/>
        </w:trPr>
        <w:tc>
          <w:tcPr>
            <w:tcW w:w="300" w:type="dxa"/>
            <w:vAlign w:val="bottom"/>
            <w:tcBorders>
              <w:left w:val="single" w:sz="8" w:color="auto"/>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3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Squamous Cell</w:t>
            </w:r>
          </w:p>
        </w:tc>
        <w:tc>
          <w:tcPr>
            <w:tcW w:w="700" w:type="dxa"/>
            <w:vAlign w:val="bottom"/>
            <w:tcBorders>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prednisone,</w:t>
            </w:r>
          </w:p>
        </w:tc>
        <w:tc>
          <w:tcPr>
            <w:tcW w:w="8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rPr>
              <w:t>cell carcinoma</w:t>
            </w:r>
          </w:p>
        </w:tc>
        <w:tc>
          <w:tcPr>
            <w:tcW w:w="0" w:type="dxa"/>
            <w:vAlign w:val="bottom"/>
          </w:tcPr>
          <w:p>
            <w:pPr>
              <w:spacing w:after="0"/>
              <w:rPr>
                <w:sz w:val="1"/>
                <w:szCs w:val="1"/>
                <w:color w:val="auto"/>
              </w:rPr>
            </w:pPr>
          </w:p>
        </w:tc>
      </w:tr>
      <w:tr>
        <w:trPr>
          <w:trHeight w:val="56"/>
        </w:trPr>
        <w:tc>
          <w:tcPr>
            <w:tcW w:w="30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restart"/>
          </w:tcPr>
          <w:p>
            <w:pPr>
              <w:jc w:val="center"/>
              <w:spacing w:after="0" w:line="109" w:lineRule="exact"/>
              <w:rPr>
                <w:sz w:val="20"/>
                <w:szCs w:val="20"/>
                <w:color w:val="auto"/>
              </w:rPr>
            </w:pPr>
            <w:r>
              <w:rPr>
                <w:rFonts w:ascii="Times New Roman" w:cs="Times New Roman" w:eastAsia="Times New Roman" w:hAnsi="Times New Roman"/>
                <w:sz w:val="11"/>
                <w:szCs w:val="11"/>
                <w:color w:val="auto"/>
              </w:rPr>
              <w:t>8.3 months</w:t>
            </w:r>
          </w:p>
        </w:tc>
        <w:tc>
          <w:tcPr>
            <w:tcW w:w="260" w:type="dxa"/>
            <w:vAlign w:val="bottom"/>
            <w:tcBorders>
              <w:right w:val="single" w:sz="8" w:color="auto"/>
            </w:tcBorders>
            <w:vMerge w:val="restart"/>
          </w:tcPr>
          <w:p>
            <w:pPr>
              <w:jc w:val="center"/>
              <w:spacing w:after="0" w:line="109" w:lineRule="exact"/>
              <w:rPr>
                <w:sz w:val="20"/>
                <w:szCs w:val="20"/>
                <w:color w:val="auto"/>
              </w:rPr>
            </w:pPr>
            <w:r>
              <w:rPr>
                <w:rFonts w:ascii="Times New Roman" w:cs="Times New Roman" w:eastAsia="Times New Roman" w:hAnsi="Times New Roman"/>
                <w:sz w:val="11"/>
                <w:szCs w:val="11"/>
                <w:color w:val="auto"/>
              </w:rPr>
              <w:t>75+</w:t>
            </w:r>
          </w:p>
        </w:tc>
        <w:tc>
          <w:tcPr>
            <w:tcW w:w="700" w:type="dxa"/>
            <w:vAlign w:val="bottom"/>
            <w:tcBorders>
              <w:right w:val="single" w:sz="8" w:color="auto"/>
            </w:tcBorders>
            <w:vMerge w:val="restart"/>
          </w:tcPr>
          <w:p>
            <w:pPr>
              <w:jc w:val="center"/>
              <w:spacing w:after="0" w:line="109" w:lineRule="exact"/>
              <w:rPr>
                <w:sz w:val="20"/>
                <w:szCs w:val="20"/>
                <w:color w:val="auto"/>
              </w:rPr>
            </w:pPr>
            <w:r>
              <w:rPr>
                <w:rFonts w:ascii="Times New Roman" w:cs="Times New Roman" w:eastAsia="Times New Roman" w:hAnsi="Times New Roman"/>
                <w:sz w:val="11"/>
                <w:szCs w:val="11"/>
                <w:color w:val="auto"/>
              </w:rPr>
              <w:t>No</w:t>
            </w:r>
          </w:p>
        </w:tc>
        <w:tc>
          <w:tcPr>
            <w:tcW w:w="860" w:type="dxa"/>
            <w:vAlign w:val="bottom"/>
            <w:tcBorders>
              <w:right w:val="single" w:sz="8" w:color="auto"/>
            </w:tcBorders>
            <w:vMerge w:val="restart"/>
          </w:tcPr>
          <w:p>
            <w:pPr>
              <w:jc w:val="center"/>
              <w:spacing w:after="0" w:line="109" w:lineRule="exact"/>
              <w:rPr>
                <w:sz w:val="20"/>
                <w:szCs w:val="20"/>
                <w:color w:val="auto"/>
              </w:rPr>
            </w:pPr>
            <w:r>
              <w:rPr>
                <w:rFonts w:ascii="Times New Roman" w:cs="Times New Roman" w:eastAsia="Times New Roman" w:hAnsi="Times New Roman"/>
                <w:sz w:val="11"/>
                <w:szCs w:val="11"/>
                <w:color w:val="auto"/>
              </w:rPr>
              <w:t>adalimumab,</w:t>
            </w:r>
          </w:p>
        </w:tc>
        <w:tc>
          <w:tcPr>
            <w:tcW w:w="86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restart"/>
          </w:tcPr>
          <w:p>
            <w:pPr>
              <w:jc w:val="center"/>
              <w:spacing w:after="0" w:line="109" w:lineRule="exact"/>
              <w:rPr>
                <w:sz w:val="20"/>
                <w:szCs w:val="20"/>
                <w:color w:val="auto"/>
              </w:rPr>
            </w:pPr>
            <w:r>
              <w:rPr>
                <w:rFonts w:ascii="Times New Roman" w:cs="Times New Roman" w:eastAsia="Times New Roman" w:hAnsi="Times New Roman"/>
                <w:sz w:val="11"/>
                <w:szCs w:val="11"/>
                <w:color w:val="auto"/>
                <w:w w:val="93"/>
              </w:rPr>
              <w:t>Yes</w:t>
            </w:r>
          </w:p>
        </w:tc>
        <w:tc>
          <w:tcPr>
            <w:tcW w:w="2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30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Carcinoma</w:t>
            </w:r>
          </w:p>
        </w:tc>
        <w:tc>
          <w:tcPr>
            <w:tcW w:w="700" w:type="dxa"/>
            <w:vAlign w:val="bottom"/>
            <w:tcBorders>
              <w:right w:val="single" w:sz="8" w:color="auto"/>
            </w:tcBorders>
            <w:vMerge w:val="continue"/>
          </w:tcPr>
          <w:p>
            <w:pPr>
              <w:spacing w:after="0"/>
              <w:rPr>
                <w:sz w:val="4"/>
                <w:szCs w:val="4"/>
                <w:color w:val="auto"/>
              </w:rPr>
            </w:pPr>
          </w:p>
        </w:tc>
        <w:tc>
          <w:tcPr>
            <w:tcW w:w="26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mesalamine</w:t>
            </w:r>
          </w:p>
        </w:tc>
        <w:tc>
          <w:tcPr>
            <w:tcW w:w="800" w:type="dxa"/>
            <w:vAlign w:val="bottom"/>
            <w:tcBorders>
              <w:right w:val="single" w:sz="8" w:color="auto"/>
            </w:tcBorders>
            <w:vMerge w:val="continue"/>
          </w:tcPr>
          <w:p>
            <w:pPr>
              <w:spacing w:after="0"/>
              <w:rPr>
                <w:sz w:val="4"/>
                <w:szCs w:val="4"/>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Determined probably related to study drug by</w:t>
            </w:r>
          </w:p>
        </w:tc>
        <w:tc>
          <w:tcPr>
            <w:tcW w:w="0" w:type="dxa"/>
            <w:vAlign w:val="bottom"/>
          </w:tcPr>
          <w:p>
            <w:pPr>
              <w:spacing w:after="0"/>
              <w:rPr>
                <w:sz w:val="1"/>
                <w:szCs w:val="1"/>
                <w:color w:val="auto"/>
              </w:rPr>
            </w:pPr>
          </w:p>
        </w:tc>
      </w:tr>
      <w:tr>
        <w:trPr>
          <w:trHeight w:val="112"/>
        </w:trPr>
        <w:tc>
          <w:tcPr>
            <w:tcW w:w="3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rPr>
              <w:t>vedolizumab</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00" w:type="dxa"/>
            <w:vAlign w:val="bottom"/>
            <w:tcBorders>
              <w:left w:val="single" w:sz="8" w:color="auto"/>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investigator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500" w:right="379" w:firstLine="332"/>
        <w:spacing w:after="0" w:line="256" w:lineRule="auto"/>
        <w:rPr>
          <w:sz w:val="20"/>
          <w:szCs w:val="20"/>
          <w:color w:val="auto"/>
        </w:rPr>
      </w:pPr>
      <w:r>
        <w:rPr>
          <w:rFonts w:ascii="Times New Roman" w:cs="Times New Roman" w:eastAsia="Times New Roman" w:hAnsi="Times New Roman"/>
          <w:sz w:val="14"/>
          <w:szCs w:val="14"/>
          <w:color w:val="auto"/>
        </w:rPr>
        <w:t>The post-hoc analyses below are presented progressively, from the combined Phase 2 and Phase 3 UC programs to the Phase 3 maintenance dataset (Part 1 and Part 2), and then to the Part 2 maintenance dataset, to illustrate how increasing cumulative patient-years (“PYs”) strengthens our overall safety assessment. Because NMSCs and malignancies excluding NMSCs are uncommon events, incidence-rate estimates become more precise as cumulative exposure increases. We believe the Phase 3 maintenance data should be interpreted using the totality of the exposure-adjusted evidence, together with patient characteristics and representative published UC epidemiologic reference ranges. The results in the tables below demonstrate that the exposure-adjusted incidence rate (“EAIR”) in the combined all active (25 mg and 50 mg) treatment arms for both NMSCs and malignancies excluding NMSCs are within the UC background reference range based on published UC studies.</w:t>
      </w:r>
    </w:p>
    <w:p>
      <w:pPr>
        <w:spacing w:after="0" w:line="140" w:lineRule="exact"/>
        <w:rPr>
          <w:sz w:val="20"/>
          <w:szCs w:val="20"/>
          <w:color w:val="auto"/>
        </w:rPr>
      </w:pPr>
    </w:p>
    <w:tbl>
      <w:tblPr>
        <w:tblLayout w:type="fixed"/>
        <w:tblInd w:w="1500" w:type="dxa"/>
        <w:tblCellMar>
          <w:top w:w="0" w:type="dxa"/>
          <w:left w:w="0" w:type="dxa"/>
          <w:bottom w:w="0" w:type="dxa"/>
          <w:right w:w="0" w:type="dxa"/>
        </w:tblCellMar>
      </w:tblPr>
      <w:tr>
        <w:trPr>
          <w:trHeight w:val="148"/>
        </w:trPr>
        <w:tc>
          <w:tcPr>
            <w:tcW w:w="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380" w:type="dxa"/>
            <w:vAlign w:val="bottom"/>
            <w:gridSpan w:val="5"/>
          </w:tcPr>
          <w:p>
            <w:pPr>
              <w:ind w:left="760"/>
              <w:spacing w:after="0"/>
              <w:rPr>
                <w:sz w:val="20"/>
                <w:szCs w:val="20"/>
                <w:color w:val="auto"/>
              </w:rPr>
            </w:pPr>
            <w:r>
              <w:rPr>
                <w:rFonts w:ascii="Times New Roman" w:cs="Times New Roman" w:eastAsia="Times New Roman" w:hAnsi="Times New Roman"/>
                <w:sz w:val="11"/>
                <w:szCs w:val="11"/>
                <w:b w:val="1"/>
                <w:bCs w:val="1"/>
                <w:color w:val="auto"/>
              </w:rPr>
              <w:t>Malignancies (Excluding NMSC) – EAIR Analysis</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5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Placebo</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25 mg</w:t>
            </w: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50 mg</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98"/>
              </w:rPr>
              <w:t>All Active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Reference Range</w:t>
            </w:r>
          </w:p>
        </w:tc>
        <w:tc>
          <w:tcPr>
            <w:tcW w:w="0" w:type="dxa"/>
            <w:vAlign w:val="bottom"/>
          </w:tcPr>
          <w:p>
            <w:pPr>
              <w:spacing w:after="0"/>
              <w:rPr>
                <w:sz w:val="1"/>
                <w:szCs w:val="1"/>
                <w:color w:val="auto"/>
              </w:rPr>
            </w:pPr>
          </w:p>
        </w:tc>
      </w:tr>
      <w:tr>
        <w:trPr>
          <w:trHeight w:val="116"/>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Analysis Set</w:t>
            </w:r>
          </w:p>
        </w:tc>
        <w:tc>
          <w:tcPr>
            <w:tcW w:w="16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6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Based on Published</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640" w:type="dxa"/>
            <w:vAlign w:val="bottom"/>
          </w:tcPr>
          <w:p>
            <w:pPr>
              <w:spacing w:after="0"/>
              <w:rPr>
                <w:sz w:val="10"/>
                <w:szCs w:val="10"/>
                <w:color w:val="auto"/>
              </w:rPr>
            </w:pPr>
          </w:p>
        </w:tc>
        <w:tc>
          <w:tcPr>
            <w:tcW w:w="88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color w:val="auto"/>
              </w:rPr>
              <w:t>IR/100 PY</w:t>
            </w:r>
          </w:p>
        </w:tc>
        <w:tc>
          <w:tcPr>
            <w:tcW w:w="86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1"/>
                <w:szCs w:val="11"/>
                <w:color w:val="auto"/>
                <w:w w:val="97"/>
              </w:rPr>
              <w:t>IR/100 PY</w:t>
            </w:r>
          </w:p>
        </w:tc>
        <w:tc>
          <w:tcPr>
            <w:tcW w:w="88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color w:val="auto"/>
              </w:rPr>
              <w:t>IR/100 PY</w:t>
            </w:r>
          </w:p>
        </w:tc>
        <w:tc>
          <w:tcPr>
            <w:tcW w:w="88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1"/>
                <w:szCs w:val="11"/>
                <w:color w:val="auto"/>
                <w:w w:val="97"/>
              </w:rPr>
              <w:t>IR/100 PY</w:t>
            </w:r>
          </w:p>
        </w:tc>
        <w:tc>
          <w:tcPr>
            <w:tcW w:w="96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UC Studies</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1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Integrated UC Program</w:t>
            </w:r>
          </w:p>
        </w:tc>
        <w:tc>
          <w:tcPr>
            <w:tcW w:w="16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(Phase 2 + Phase 3)</w:t>
            </w:r>
          </w:p>
        </w:tc>
        <w:tc>
          <w:tcPr>
            <w:tcW w:w="2120" w:type="dxa"/>
            <w:vAlign w:val="bottom"/>
            <w:gridSpan w:val="2"/>
            <w:shd w:val="clear" w:color="auto" w:fill="CCEEFF"/>
          </w:tcPr>
          <w:p>
            <w:pPr>
              <w:jc w:val="center"/>
              <w:ind w:left="1815"/>
              <w:spacing w:after="0"/>
              <w:rPr>
                <w:sz w:val="20"/>
                <w:szCs w:val="20"/>
                <w:color w:val="auto"/>
              </w:rPr>
            </w:pPr>
            <w:r>
              <w:rPr>
                <w:rFonts w:ascii="Times New Roman" w:cs="Times New Roman" w:eastAsia="Times New Roman" w:hAnsi="Times New Roman"/>
                <w:sz w:val="14"/>
                <w:szCs w:val="14"/>
                <w:b w:val="1"/>
                <w:bCs w:val="1"/>
                <w:color w:val="auto"/>
                <w:w w:val="97"/>
              </w:rPr>
              <w:t>0.00</w:t>
            </w: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0.00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0.64</w:t>
            </w: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0.35</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0.30 – 0.70</w:t>
            </w:r>
          </w:p>
        </w:tc>
        <w:tc>
          <w:tcPr>
            <w:tcW w:w="0" w:type="dxa"/>
            <w:vAlign w:val="bottom"/>
          </w:tcPr>
          <w:p>
            <w:pPr>
              <w:spacing w:after="0"/>
              <w:rPr>
                <w:sz w:val="1"/>
                <w:szCs w:val="1"/>
                <w:color w:val="auto"/>
              </w:rPr>
            </w:pPr>
          </w:p>
        </w:tc>
      </w:tr>
      <w:tr>
        <w:trPr>
          <w:trHeight w:val="152"/>
        </w:trPr>
        <w:tc>
          <w:tcPr>
            <w:tcW w:w="21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Phase 3 Maintenance</w:t>
            </w:r>
          </w:p>
        </w:tc>
        <w:tc>
          <w:tcPr>
            <w:tcW w:w="1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(Part 1 + Part 2)</w:t>
            </w:r>
          </w:p>
        </w:tc>
        <w:tc>
          <w:tcPr>
            <w:tcW w:w="2120" w:type="dxa"/>
            <w:vAlign w:val="bottom"/>
            <w:gridSpan w:val="2"/>
          </w:tcPr>
          <w:p>
            <w:pPr>
              <w:jc w:val="center"/>
              <w:ind w:left="1815"/>
              <w:spacing w:after="0"/>
              <w:rPr>
                <w:sz w:val="20"/>
                <w:szCs w:val="20"/>
                <w:color w:val="auto"/>
              </w:rPr>
            </w:pPr>
            <w:r>
              <w:rPr>
                <w:rFonts w:ascii="Times New Roman" w:cs="Times New Roman" w:eastAsia="Times New Roman" w:hAnsi="Times New Roman"/>
                <w:sz w:val="14"/>
                <w:szCs w:val="14"/>
                <w:b w:val="1"/>
                <w:bCs w:val="1"/>
                <w:color w:val="auto"/>
                <w:w w:val="97"/>
              </w:rPr>
              <w:t>0.00</w:t>
            </w:r>
          </w:p>
        </w:tc>
        <w:tc>
          <w:tcPr>
            <w:tcW w:w="4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0.00</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0.91</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0.56</w:t>
            </w:r>
          </w:p>
        </w:tc>
        <w:tc>
          <w:tcPr>
            <w:tcW w:w="4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0.30 – 0.70</w:t>
            </w:r>
          </w:p>
        </w:tc>
        <w:tc>
          <w:tcPr>
            <w:tcW w:w="0" w:type="dxa"/>
            <w:vAlign w:val="bottom"/>
          </w:tcPr>
          <w:p>
            <w:pPr>
              <w:spacing w:after="0"/>
              <w:rPr>
                <w:sz w:val="1"/>
                <w:szCs w:val="1"/>
                <w:color w:val="auto"/>
              </w:rPr>
            </w:pPr>
          </w:p>
        </w:tc>
      </w:tr>
      <w:tr>
        <w:trPr>
          <w:trHeight w:val="168"/>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2 Only</w:t>
            </w:r>
          </w:p>
        </w:tc>
        <w:tc>
          <w:tcPr>
            <w:tcW w:w="16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75"/>
              </w:rPr>
              <w:t>— </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0.00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0.69</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0.48</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0.30 – 0.70</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Note: IR = incidence rate</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62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7825" cy="4662805"/>
                    </a:xfrm>
                    <a:prstGeom prst="rect">
                      <a:avLst/>
                    </a:prstGeom>
                    <a:noFill/>
                  </pic:spPr>
                </pic:pic>
              </a:graphicData>
            </a:graphic>
          </wp:anchor>
        </w:drawing>
      </w:r>
    </w:p>
    <w:p>
      <w:pPr>
        <w:spacing w:after="0" w:line="372"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5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060" w:type="dxa"/>
            <w:vAlign w:val="bottom"/>
            <w:gridSpan w:val="5"/>
            <w:shd w:val="clear" w:color="auto" w:fill="CCEEFF"/>
          </w:tcPr>
          <w:p>
            <w:pPr>
              <w:ind w:left="1040"/>
              <w:spacing w:after="0"/>
              <w:rPr>
                <w:sz w:val="20"/>
                <w:szCs w:val="20"/>
                <w:color w:val="auto"/>
              </w:rPr>
            </w:pPr>
            <w:r>
              <w:rPr>
                <w:rFonts w:ascii="Times New Roman" w:cs="Times New Roman" w:eastAsia="Times New Roman" w:hAnsi="Times New Roman"/>
                <w:sz w:val="11"/>
                <w:szCs w:val="11"/>
                <w:b w:val="1"/>
                <w:bCs w:val="1"/>
                <w:color w:val="auto"/>
              </w:rPr>
              <w:t>NMSC – EAIR Analysis</w:t>
            </w: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Placebo</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25 mg</w:t>
            </w: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50 mg</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98"/>
              </w:rPr>
              <w:t>All Active</w:t>
            </w:r>
          </w:p>
        </w:tc>
        <w:tc>
          <w:tcPr>
            <w:tcW w:w="96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1"/>
                <w:szCs w:val="11"/>
                <w:b w:val="1"/>
                <w:bCs w:val="1"/>
                <w:color w:val="auto"/>
              </w:rPr>
              <w:t>Reference Range</w:t>
            </w:r>
          </w:p>
        </w:tc>
        <w:tc>
          <w:tcPr>
            <w:tcW w:w="0" w:type="dxa"/>
            <w:vAlign w:val="bottom"/>
          </w:tcPr>
          <w:p>
            <w:pPr>
              <w:spacing w:after="0"/>
              <w:rPr>
                <w:sz w:val="1"/>
                <w:szCs w:val="1"/>
                <w:color w:val="auto"/>
              </w:rPr>
            </w:pPr>
          </w:p>
        </w:tc>
      </w:tr>
      <w:tr>
        <w:trPr>
          <w:trHeight w:val="116"/>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Analysis Set</w:t>
            </w:r>
          </w:p>
        </w:tc>
        <w:tc>
          <w:tcPr>
            <w:tcW w:w="13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6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Based on Published</w:t>
            </w:r>
          </w:p>
        </w:tc>
        <w:tc>
          <w:tcPr>
            <w:tcW w:w="0" w:type="dxa"/>
            <w:vAlign w:val="bottom"/>
          </w:tcPr>
          <w:p>
            <w:pPr>
              <w:spacing w:after="0"/>
              <w:rPr>
                <w:sz w:val="1"/>
                <w:szCs w:val="1"/>
                <w:color w:val="auto"/>
              </w:rPr>
            </w:pPr>
          </w:p>
        </w:tc>
      </w:tr>
      <w:tr>
        <w:trPr>
          <w:trHeight w:val="124"/>
        </w:trPr>
        <w:tc>
          <w:tcPr>
            <w:tcW w:w="250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color w:val="auto"/>
              </w:rPr>
              <w:t>IR/100 PY</w:t>
            </w:r>
          </w:p>
        </w:tc>
        <w:tc>
          <w:tcPr>
            <w:tcW w:w="86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1"/>
                <w:szCs w:val="11"/>
                <w:color w:val="auto"/>
                <w:w w:val="97"/>
              </w:rPr>
              <w:t>IR/100 PY</w:t>
            </w:r>
          </w:p>
        </w:tc>
        <w:tc>
          <w:tcPr>
            <w:tcW w:w="88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color w:val="auto"/>
              </w:rPr>
              <w:t>IR/100 PY</w:t>
            </w:r>
          </w:p>
        </w:tc>
        <w:tc>
          <w:tcPr>
            <w:tcW w:w="88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1"/>
                <w:szCs w:val="11"/>
                <w:color w:val="auto"/>
                <w:w w:val="97"/>
              </w:rPr>
              <w:t>IR/100 PY</w:t>
            </w:r>
          </w:p>
        </w:tc>
        <w:tc>
          <w:tcPr>
            <w:tcW w:w="96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UC Studies</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50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Integrated UC Program</w:t>
            </w:r>
          </w:p>
        </w:tc>
        <w:tc>
          <w:tcPr>
            <w:tcW w:w="1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(Phase 2 + Phase 3)</w:t>
            </w:r>
          </w:p>
        </w:tc>
        <w:tc>
          <w:tcPr>
            <w:tcW w:w="1800" w:type="dxa"/>
            <w:vAlign w:val="bottom"/>
            <w:gridSpan w:val="2"/>
            <w:shd w:val="clear" w:color="auto" w:fill="CCEEFF"/>
          </w:tcPr>
          <w:p>
            <w:pPr>
              <w:jc w:val="center"/>
              <w:ind w:left="1495"/>
              <w:spacing w:after="0"/>
              <w:rPr>
                <w:sz w:val="20"/>
                <w:szCs w:val="20"/>
                <w:color w:val="auto"/>
              </w:rPr>
            </w:pPr>
            <w:r>
              <w:rPr>
                <w:rFonts w:ascii="Times New Roman" w:cs="Times New Roman" w:eastAsia="Times New Roman" w:hAnsi="Times New Roman"/>
                <w:sz w:val="14"/>
                <w:szCs w:val="14"/>
                <w:b w:val="1"/>
                <w:bCs w:val="1"/>
                <w:color w:val="auto"/>
                <w:w w:val="97"/>
              </w:rPr>
              <w:t>0.46</w:t>
            </w: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0.53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0.64</w:t>
            </w: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0.59</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0.70 – 1.40</w:t>
            </w:r>
          </w:p>
        </w:tc>
        <w:tc>
          <w:tcPr>
            <w:tcW w:w="0" w:type="dxa"/>
            <w:vAlign w:val="bottom"/>
          </w:tcPr>
          <w:p>
            <w:pPr>
              <w:spacing w:after="0"/>
              <w:rPr>
                <w:sz w:val="1"/>
                <w:szCs w:val="1"/>
                <w:color w:val="auto"/>
              </w:rPr>
            </w:pPr>
          </w:p>
        </w:tc>
      </w:tr>
      <w:tr>
        <w:trPr>
          <w:trHeight w:val="152"/>
        </w:trPr>
        <w:tc>
          <w:tcPr>
            <w:tcW w:w="25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Phase 3 Maintenance</w:t>
            </w: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(Part 1 + Part 2)</w:t>
            </w:r>
          </w:p>
        </w:tc>
        <w:tc>
          <w:tcPr>
            <w:tcW w:w="1800" w:type="dxa"/>
            <w:vAlign w:val="bottom"/>
            <w:gridSpan w:val="2"/>
          </w:tcPr>
          <w:p>
            <w:pPr>
              <w:jc w:val="center"/>
              <w:ind w:left="1495"/>
              <w:spacing w:after="0"/>
              <w:rPr>
                <w:sz w:val="20"/>
                <w:szCs w:val="20"/>
                <w:color w:val="auto"/>
              </w:rPr>
            </w:pPr>
            <w:r>
              <w:rPr>
                <w:rFonts w:ascii="Times New Roman" w:cs="Times New Roman" w:eastAsia="Times New Roman" w:hAnsi="Times New Roman"/>
                <w:sz w:val="14"/>
                <w:szCs w:val="14"/>
                <w:b w:val="1"/>
                <w:bCs w:val="1"/>
                <w:color w:val="auto"/>
                <w:w w:val="97"/>
              </w:rPr>
              <w:t>0.68</w:t>
            </w:r>
          </w:p>
        </w:tc>
        <w:tc>
          <w:tcPr>
            <w:tcW w:w="4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1.09</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w:t>
            </w:r>
          </w:p>
        </w:tc>
        <w:tc>
          <w:tcPr>
            <w:tcW w:w="4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0.70 – 1.40</w:t>
            </w:r>
          </w:p>
        </w:tc>
        <w:tc>
          <w:tcPr>
            <w:tcW w:w="0" w:type="dxa"/>
            <w:vAlign w:val="bottom"/>
          </w:tcPr>
          <w:p>
            <w:pPr>
              <w:spacing w:after="0"/>
              <w:rPr>
                <w:sz w:val="1"/>
                <w:szCs w:val="1"/>
                <w:color w:val="auto"/>
              </w:rPr>
            </w:pPr>
          </w:p>
        </w:tc>
      </w:tr>
      <w:tr>
        <w:trPr>
          <w:trHeight w:val="168"/>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2 Only</w:t>
            </w:r>
          </w:p>
        </w:tc>
        <w:tc>
          <w:tcPr>
            <w:tcW w:w="13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75"/>
              </w:rPr>
              <w:t>— </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1.52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0.69</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0.95</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0.70 – 1.40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Note: IR = incidence rate</w:t>
      </w:r>
    </w:p>
    <w:p>
      <w:pPr>
        <w:spacing w:after="0" w:line="176" w:lineRule="exact"/>
        <w:rPr>
          <w:sz w:val="20"/>
          <w:szCs w:val="20"/>
          <w:color w:val="auto"/>
        </w:rPr>
      </w:pPr>
    </w:p>
    <w:p>
      <w:pPr>
        <w:ind w:left="1500" w:right="459" w:firstLine="332"/>
        <w:spacing w:after="0" w:line="283" w:lineRule="auto"/>
        <w:rPr>
          <w:sz w:val="20"/>
          <w:szCs w:val="20"/>
          <w:color w:val="auto"/>
        </w:rPr>
      </w:pPr>
      <w:r>
        <w:rPr>
          <w:rFonts w:ascii="Times New Roman" w:cs="Times New Roman" w:eastAsia="Times New Roman" w:hAnsi="Times New Roman"/>
          <w:sz w:val="14"/>
          <w:szCs w:val="14"/>
          <w:color w:val="auto"/>
        </w:rPr>
        <w:t>The overall safety results observed in Part 2 were consistent with those previously observed in the broader obefazimod clinical development program. No new safety pattern emerged with the additional cumulative exposure provided by Part 2.</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Regulatory Path Forward</w:t>
      </w:r>
    </w:p>
    <w:p>
      <w:pPr>
        <w:spacing w:after="0" w:line="94" w:lineRule="exact"/>
        <w:rPr>
          <w:sz w:val="20"/>
          <w:szCs w:val="20"/>
          <w:color w:val="auto"/>
        </w:rPr>
      </w:pPr>
    </w:p>
    <w:p>
      <w:pPr>
        <w:jc w:val="both"/>
        <w:ind w:left="1500" w:right="639" w:firstLine="332"/>
        <w:spacing w:after="0" w:line="324" w:lineRule="auto"/>
        <w:rPr>
          <w:sz w:val="20"/>
          <w:szCs w:val="20"/>
          <w:color w:val="auto"/>
        </w:rPr>
      </w:pPr>
      <w:r>
        <w:rPr>
          <w:rFonts w:ascii="Times New Roman" w:cs="Times New Roman" w:eastAsia="Times New Roman" w:hAnsi="Times New Roman"/>
          <w:sz w:val="13"/>
          <w:szCs w:val="13"/>
          <w:color w:val="auto"/>
        </w:rPr>
        <w:t>We believe the foregoing Part 2 results expand the integrated clinical dataset supporting the planned New Drug Application (“NDA”) for obefazimod in UC. We believe we remain on track to submit our NDA to the U.S. Food and Drug Administration in the fourth quarter of 2026.</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92" w:lineRule="exact"/>
        <w:rPr>
          <w:sz w:val="20"/>
          <w:szCs w:val="20"/>
          <w:color w:val="auto"/>
        </w:rPr>
      </w:pPr>
    </w:p>
    <w:p>
      <w:pPr>
        <w:jc w:val="both"/>
        <w:ind w:left="1500" w:right="439" w:firstLine="332"/>
        <w:spacing w:after="0" w:line="259" w:lineRule="auto"/>
        <w:rPr>
          <w:sz w:val="20"/>
          <w:szCs w:val="20"/>
          <w:color w:val="auto"/>
        </w:rPr>
      </w:pPr>
      <w:r>
        <w:rPr>
          <w:rFonts w:ascii="Times New Roman" w:cs="Times New Roman" w:eastAsia="Times New Roman" w:hAnsi="Times New Roman"/>
          <w:sz w:val="14"/>
          <w:szCs w:val="14"/>
          <w:color w:val="auto"/>
        </w:rPr>
        <w:t xml:space="preserve">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w:t>
      </w:r>
    </w:p>
    <w:p>
      <w:pPr>
        <w:ind w:left="1500"/>
        <w:spacing w:after="0"/>
        <w:rPr>
          <w:sz w:val="20"/>
          <w:szCs w:val="20"/>
          <w:color w:val="auto"/>
        </w:rPr>
      </w:pPr>
      <w:r>
        <w:rPr>
          <w:rFonts w:ascii="Times New Roman" w:cs="Times New Roman" w:eastAsia="Times New Roman" w:hAnsi="Times New Roman"/>
          <w:sz w:val="14"/>
          <w:szCs w:val="14"/>
          <w:color w:val="auto"/>
        </w:rPr>
        <w:t>+33 (0) 1 53 83 09 63. We have one wholly owned subsidiary, Abivax LLC, a Delaware limited liability company, formed on March 20, 2023.</w:t>
      </w:r>
    </w:p>
    <w:p>
      <w:pPr>
        <w:spacing w:after="0" w:line="161" w:lineRule="exact"/>
        <w:rPr>
          <w:sz w:val="20"/>
          <w:szCs w:val="20"/>
          <w:color w:val="auto"/>
        </w:rPr>
      </w:pPr>
    </w:p>
    <w:p>
      <w:pPr>
        <w:ind w:left="1500" w:right="399" w:firstLine="332"/>
        <w:spacing w:after="0" w:line="267" w:lineRule="auto"/>
        <w:rPr>
          <w:sz w:val="20"/>
          <w:szCs w:val="20"/>
          <w:color w:val="auto"/>
        </w:rPr>
      </w:pPr>
      <w:r>
        <w:rPr>
          <w:rFonts w:ascii="Times New Roman" w:cs="Times New Roman" w:eastAsia="Times New Roman" w:hAnsi="Times New Roman"/>
          <w:sz w:val="14"/>
          <w:szCs w:val="14"/>
          <w:color w:val="auto"/>
        </w:rPr>
        <w:t>Our ADSs began trading on the Nasdaq Global Market in October 2023. We also maintain a website at www.abivax.com. The reference to our website is an inactive textual reference only and the information contained in, or that can be accessed through, our website or any other website cited in this prospectus supplement or the accompanying prospectus is not a part of this prospectus supplement or the accompanying prospectus.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4" w:lineRule="exact"/>
        <w:rPr>
          <w:sz w:val="20"/>
          <w:szCs w:val="20"/>
          <w:color w:val="auto"/>
        </w:rPr>
      </w:pPr>
    </w:p>
    <w:p>
      <w:pPr>
        <w:ind w:left="1500" w:right="719" w:firstLine="332"/>
        <w:spacing w:after="0" w:line="283"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52" w:lineRule="exact"/>
        <w:rPr>
          <w:sz w:val="20"/>
          <w:szCs w:val="20"/>
          <w:color w:val="auto"/>
        </w:rPr>
      </w:pPr>
    </w:p>
    <w:p>
      <w:pPr>
        <w:ind w:left="2220" w:hanging="316"/>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auditor attestation requirements of Section 404 of the Sarbanes-Oxley Act of 2002; and</w:t>
      </w:r>
    </w:p>
    <w:p>
      <w:pPr>
        <w:spacing w:after="0" w:line="102" w:lineRule="exact"/>
        <w:rPr>
          <w:rFonts w:ascii="Times New Roman" w:cs="Times New Roman" w:eastAsia="Times New Roman" w:hAnsi="Times New Roman"/>
          <w:sz w:val="14"/>
          <w:szCs w:val="14"/>
          <w:color w:val="auto"/>
        </w:rPr>
      </w:pPr>
    </w:p>
    <w:p>
      <w:pPr>
        <w:ind w:left="2220" w:right="399" w:hanging="316"/>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36" w:lineRule="exact"/>
        <w:rPr>
          <w:sz w:val="20"/>
          <w:szCs w:val="20"/>
          <w:color w:val="auto"/>
        </w:rPr>
      </w:pPr>
    </w:p>
    <w:p>
      <w:pPr>
        <w:ind w:left="1500" w:right="739" w:firstLine="332"/>
        <w:spacing w:after="0" w:line="283" w:lineRule="auto"/>
        <w:rPr>
          <w:sz w:val="20"/>
          <w:szCs w:val="20"/>
          <w:color w:val="auto"/>
        </w:rPr>
      </w:pPr>
      <w:r>
        <w:rPr>
          <w:rFonts w:ascii="Times New Roman" w:cs="Times New Roman" w:eastAsia="Times New Roman" w:hAnsi="Times New Roman"/>
          <w:sz w:val="14"/>
          <w:szCs w:val="14"/>
          <w:color w:val="auto"/>
        </w:rPr>
        <w:t>We may take advantage of these provisions until December 31, 2028 or until such earlier time that we no longer qualify as an emerging growth company. We would cease to be an emerging growth company upon the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286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7825" cy="3286760"/>
                    </a:xfrm>
                    <a:prstGeom prst="rect">
                      <a:avLst/>
                    </a:prstGeom>
                    <a:noFill/>
                  </pic:spPr>
                </pic:pic>
              </a:graphicData>
            </a:graphic>
          </wp:anchor>
        </w:drawing>
      </w:r>
    </w:p>
    <w:p>
      <w:pPr>
        <w:spacing w:after="0" w:line="368" w:lineRule="exact"/>
        <w:rPr>
          <w:sz w:val="20"/>
          <w:szCs w:val="20"/>
          <w:color w:val="auto"/>
        </w:rPr>
      </w:pPr>
    </w:p>
    <w:p>
      <w:pPr>
        <w:ind w:left="1500" w:right="459"/>
        <w:spacing w:after="0" w:line="288" w:lineRule="auto"/>
        <w:rPr>
          <w:sz w:val="20"/>
          <w:szCs w:val="20"/>
          <w:color w:val="auto"/>
        </w:rPr>
      </w:pPr>
      <w:r>
        <w:rPr>
          <w:rFonts w:ascii="Times New Roman" w:cs="Times New Roman" w:eastAsia="Times New Roman" w:hAnsi="Times New Roman"/>
          <w:sz w:val="13"/>
          <w:szCs w:val="13"/>
          <w:color w:val="auto"/>
        </w:rPr>
        <w:t>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w:t>
      </w:r>
    </w:p>
    <w:p>
      <w:pPr>
        <w:spacing w:after="0" w:line="124" w:lineRule="exact"/>
        <w:rPr>
          <w:sz w:val="20"/>
          <w:szCs w:val="20"/>
          <w:color w:val="auto"/>
        </w:rPr>
      </w:pPr>
    </w:p>
    <w:p>
      <w:pPr>
        <w:ind w:left="1500" w:right="419" w:firstLine="332"/>
        <w:spacing w:after="0" w:line="256" w:lineRule="auto"/>
        <w:rPr>
          <w:sz w:val="20"/>
          <w:szCs w:val="20"/>
          <w:color w:val="auto"/>
        </w:rPr>
      </w:pPr>
      <w:r>
        <w:rPr>
          <w:rFonts w:ascii="Times New Roman" w:cs="Times New Roman" w:eastAsia="Times New Roman" w:hAnsi="Times New Roman"/>
          <w:sz w:val="14"/>
          <w:szCs w:val="14"/>
          <w:color w:val="auto"/>
        </w:rPr>
        <w:t>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94" w:lineRule="exact"/>
        <w:rPr>
          <w:sz w:val="20"/>
          <w:szCs w:val="20"/>
          <w:color w:val="auto"/>
        </w:rPr>
      </w:pPr>
    </w:p>
    <w:p>
      <w:pPr>
        <w:ind w:left="1500" w:right="519" w:firstLine="332"/>
        <w:spacing w:after="0" w:line="259" w:lineRule="auto"/>
        <w:rPr>
          <w:sz w:val="20"/>
          <w:szCs w:val="20"/>
          <w:color w:val="auto"/>
        </w:rPr>
      </w:pPr>
      <w:r>
        <w:rPr>
          <w:rFonts w:ascii="Times New Roman" w:cs="Times New Roman" w:eastAsia="Times New Roman" w:hAnsi="Times New Roman"/>
          <w:sz w:val="14"/>
          <w:szCs w:val="14"/>
          <w:color w:val="auto"/>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In addition, our executive officers, members of our board of directors and our principal shareholders are exempt from “short-swing” profit recovery provisions of Section 16 of the Exchange Act and the rules under the Exchange Act with respect to their purchases and sales of our securities.</w:t>
      </w:r>
    </w:p>
    <w:p>
      <w:pPr>
        <w:spacing w:after="0" w:line="141" w:lineRule="exact"/>
        <w:rPr>
          <w:sz w:val="20"/>
          <w:szCs w:val="20"/>
          <w:color w:val="auto"/>
        </w:rPr>
      </w:pPr>
    </w:p>
    <w:p>
      <w:pPr>
        <w:ind w:left="1500" w:right="479" w:firstLine="332"/>
        <w:spacing w:after="0" w:line="267" w:lineRule="auto"/>
        <w:rPr>
          <w:sz w:val="20"/>
          <w:szCs w:val="20"/>
          <w:color w:val="auto"/>
        </w:rPr>
      </w:pPr>
      <w:r>
        <w:rPr>
          <w:rFonts w:ascii="Times New Roman" w:cs="Times New Roman" w:eastAsia="Times New Roman" w:hAnsi="Times New Roman"/>
          <w:sz w:val="14"/>
          <w:szCs w:val="14"/>
          <w:color w:val="auto"/>
        </w:rPr>
        <w:t>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36" w:lineRule="exact"/>
        <w:rPr>
          <w:sz w:val="20"/>
          <w:szCs w:val="20"/>
          <w:color w:val="auto"/>
        </w:rPr>
      </w:pPr>
    </w:p>
    <w:p>
      <w:pPr>
        <w:ind w:left="1500" w:right="639" w:firstLine="332"/>
        <w:spacing w:after="0" w:line="261"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248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7825" cy="4248785"/>
                    </a:xfrm>
                    <a:prstGeom prst="rect">
                      <a:avLst/>
                    </a:prstGeom>
                    <a:noFill/>
                  </pic:spPr>
                </pic:pic>
              </a:graphicData>
            </a:graphic>
          </wp:anchor>
        </w:drawing>
      </w:r>
    </w:p>
    <w:p>
      <w:pPr>
        <w:spacing w:after="0" w:line="3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6" w:right="1440" w:bottom="1440" w:gutter="0" w:footer="0" w:header="0"/>
        </w:sectPr>
      </w:pPr>
    </w:p>
    <w:p>
      <w:pPr>
        <w:spacing w:after="0" w:line="1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Offering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6,400,000 ADSs offered by us, each representing one ordinary share.</w:t>
      </w:r>
    </w:p>
    <w:p>
      <w:pPr>
        <w:spacing w:after="0" w:line="200"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spacing w:after="0" w:line="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Option to Purchase Additional ADSs</w:t>
      </w:r>
    </w:p>
    <w:p>
      <w:pPr>
        <w:spacing w:after="0" w:line="20" w:lineRule="exact"/>
        <w:rPr>
          <w:sz w:val="20"/>
          <w:szCs w:val="20"/>
          <w:color w:val="auto"/>
        </w:rPr>
      </w:pPr>
      <w:r>
        <w:rPr>
          <w:sz w:val="20"/>
          <w:szCs w:val="20"/>
          <w:color w:val="auto"/>
        </w:rPr>
        <w:br w:type="column"/>
      </w:r>
    </w:p>
    <w:p>
      <w:pPr>
        <w:ind w:right="639"/>
        <w:spacing w:after="0" w:line="283" w:lineRule="auto"/>
        <w:rPr>
          <w:sz w:val="20"/>
          <w:szCs w:val="20"/>
          <w:color w:val="auto"/>
        </w:rPr>
      </w:pPr>
      <w:r>
        <w:rPr>
          <w:rFonts w:ascii="Times New Roman" w:cs="Times New Roman" w:eastAsia="Times New Roman" w:hAnsi="Times New Roman"/>
          <w:sz w:val="14"/>
          <w:szCs w:val="14"/>
          <w:color w:val="auto"/>
        </w:rPr>
        <w:t>The underwriters have an option, exercisable on or before the initial settlement date, to purchase up to an aggregate of 960,000 ADSs at the public offering price.</w:t>
      </w:r>
    </w:p>
    <w:p>
      <w:pPr>
        <w:spacing w:after="0" w:line="144"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Ordinary Shares (Including in the Form of ADSs) to</w:t>
      </w:r>
      <w:r>
        <w:rPr>
          <w:rFonts w:ascii="Times New Roman" w:cs="Times New Roman" w:eastAsia="Times New Roman" w:hAnsi="Times New Roman"/>
          <w:sz w:val="14"/>
          <w:szCs w:val="14"/>
          <w:color w:val="auto"/>
        </w:rPr>
        <w:t>86,094,535 ordinary shares (including in the form of ADSs) or up to 87,054,535 ordinary</w:t>
      </w:r>
    </w:p>
    <w:p>
      <w:pPr>
        <w:spacing w:after="0" w:line="24" w:lineRule="exact"/>
        <w:rPr>
          <w:sz w:val="20"/>
          <w:szCs w:val="20"/>
          <w:color w:val="auto"/>
        </w:rPr>
      </w:pPr>
    </w:p>
    <w:p>
      <w:pPr>
        <w:ind w:left="4640" w:right="579" w:hanging="3082"/>
        <w:spacing w:after="0" w:line="261" w:lineRule="auto"/>
        <w:tabs>
          <w:tab w:leader="none" w:pos="4620" w:val="left"/>
        </w:tabs>
        <w:rPr>
          <w:sz w:val="20"/>
          <w:szCs w:val="20"/>
          <w:color w:val="auto"/>
        </w:rPr>
      </w:pPr>
      <w:r>
        <w:rPr>
          <w:rFonts w:ascii="Times New Roman" w:cs="Times New Roman" w:eastAsia="Times New Roman" w:hAnsi="Times New Roman"/>
          <w:sz w:val="14"/>
          <w:szCs w:val="14"/>
          <w:b w:val="1"/>
          <w:bCs w:val="1"/>
          <w:color w:val="auto"/>
        </w:rPr>
        <w:t>be Outstanding After this Offering</w:t>
      </w:r>
      <w:r>
        <w:rPr>
          <w:sz w:val="20"/>
          <w:szCs w:val="20"/>
          <w:color w:val="auto"/>
        </w:rPr>
        <w:tab/>
      </w:r>
      <w:r>
        <w:rPr>
          <w:rFonts w:ascii="Times New Roman" w:cs="Times New Roman" w:eastAsia="Times New Roman" w:hAnsi="Times New Roman"/>
          <w:sz w:val="14"/>
          <w:szCs w:val="14"/>
          <w:color w:val="auto"/>
        </w:rPr>
        <w:t>shares (including in the form of ADSs) if we issue 960,000 additional ADSs pursuant to the exercise in full of the underwriters’ option.</w:t>
      </w:r>
    </w:p>
    <w:p>
      <w:pPr>
        <w:spacing w:after="0" w:line="159"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American Depositary Shares</w:t>
            </w: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Purchasers of ADSs in the offering will have the rights of an ADS holder as provided in the</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deposit agreement among us, the depositary and all holders and beneficial owners of ADSs</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issued thereunder. To better understand the terms of the ADSs, you should carefully read</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the section in the accompanying prospectus titled “Description of American Depositary</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Shares.” We also encourage you to read the deposit agreement, which is filed as an exhibit</w:t>
            </w:r>
          </w:p>
        </w:tc>
      </w:tr>
      <w:tr>
        <w:trPr>
          <w:trHeight w:val="183"/>
        </w:trPr>
        <w:tc>
          <w:tcPr>
            <w:tcW w:w="2580" w:type="dxa"/>
            <w:vAlign w:val="bottom"/>
          </w:tcPr>
          <w:p>
            <w:pPr>
              <w:spacing w:after="0"/>
              <w:rPr>
                <w:sz w:val="15"/>
                <w:szCs w:val="15"/>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 the registration statement that includes the accompanying prospectus.</w:t>
            </w:r>
          </w:p>
        </w:tc>
      </w:tr>
      <w:tr>
        <w:trPr>
          <w:trHeight w:val="358"/>
        </w:trPr>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Depositary</w:t>
            </w: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Citibank, N.A.</w:t>
            </w:r>
          </w:p>
        </w:tc>
      </w:tr>
      <w:tr>
        <w:trPr>
          <w:trHeight w:val="354"/>
        </w:trPr>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 $759.8</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(€666.8) million based on the public offering price of $125.00 per ADS, after deducting</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underwriting discounts and commissions and estimated offering expenses payable by us,</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and assuming no issuance by us of additional ADSs pursuant to the exercise of the</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underwriters’ option to purchase up to 960,000 additional ADSs in this offering. If we</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issue 960,000 additional ADSs pursuant to the exercise in full of the underwriters’ option</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 the offering, we estimate that we will receive net proceeds from the offering of</w:t>
            </w:r>
          </w:p>
        </w:tc>
      </w:tr>
      <w:tr>
        <w:trPr>
          <w:trHeight w:val="183"/>
        </w:trPr>
        <w:tc>
          <w:tcPr>
            <w:tcW w:w="2580" w:type="dxa"/>
            <w:vAlign w:val="bottom"/>
          </w:tcPr>
          <w:p>
            <w:pPr>
              <w:spacing w:after="0"/>
              <w:rPr>
                <w:sz w:val="15"/>
                <w:szCs w:val="15"/>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approximately $874.1 (€767.1) million.</w:t>
            </w:r>
          </w:p>
        </w:tc>
      </w:tr>
      <w:tr>
        <w:trPr>
          <w:trHeight w:val="343"/>
        </w:trPr>
        <w:tc>
          <w:tcPr>
            <w:tcW w:w="2580" w:type="dxa"/>
            <w:vAlign w:val="bottom"/>
          </w:tcPr>
          <w:p>
            <w:pPr>
              <w:spacing w:after="0"/>
              <w:rPr>
                <w:sz w:val="24"/>
                <w:szCs w:val="2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We intend to use the net proceeds from this offering for expenses relating to potential</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commercialization of our lead drug candidate, obefazimod, in the United States; clinical</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research and development expenses, primarily related to ulcerative colitis and Crohn’s</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disease; and the remainder, if any, for general corporate purposes. We may also use a</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portion of the net proceeds to in-license, invest in or acquire businesses, technologies,</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products or assets that we believe are complementary to our own, although we have no</w:t>
            </w:r>
          </w:p>
        </w:tc>
      </w:tr>
      <w:tr>
        <w:trPr>
          <w:trHeight w:val="168"/>
        </w:trPr>
        <w:tc>
          <w:tcPr>
            <w:tcW w:w="2580" w:type="dxa"/>
            <w:vAlign w:val="bottom"/>
          </w:tcPr>
          <w:p>
            <w:pPr>
              <w:spacing w:after="0"/>
              <w:rPr>
                <w:sz w:val="14"/>
                <w:szCs w:val="14"/>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current plans, commitments or agreements with respect to any such transactions as of the</w:t>
            </w:r>
          </w:p>
        </w:tc>
      </w:tr>
      <w:tr>
        <w:trPr>
          <w:trHeight w:val="183"/>
        </w:trPr>
        <w:tc>
          <w:tcPr>
            <w:tcW w:w="2580" w:type="dxa"/>
            <w:vAlign w:val="bottom"/>
          </w:tcPr>
          <w:p>
            <w:pPr>
              <w:spacing w:after="0"/>
              <w:rPr>
                <w:sz w:val="15"/>
                <w:szCs w:val="15"/>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date of this prospectus supplement.</w:t>
            </w:r>
          </w:p>
        </w:tc>
      </w:tr>
      <w:tr>
        <w:trPr>
          <w:trHeight w:val="132"/>
        </w:trPr>
        <w:tc>
          <w:tcPr>
            <w:tcW w:w="2580" w:type="dxa"/>
            <w:vAlign w:val="bottom"/>
            <w:tcBorders>
              <w:bottom w:val="single" w:sz="8" w:color="auto"/>
            </w:tcBorders>
          </w:tcPr>
          <w:p>
            <w:pPr>
              <w:spacing w:after="0"/>
              <w:rPr>
                <w:sz w:val="11"/>
                <w:szCs w:val="11"/>
                <w:color w:val="auto"/>
              </w:rPr>
            </w:pPr>
          </w:p>
        </w:tc>
        <w:tc>
          <w:tcPr>
            <w:tcW w:w="6020" w:type="dxa"/>
            <w:vAlign w:val="bottom"/>
            <w:tcBorders>
              <w:bottom w:val="single" w:sz="8" w:color="auto"/>
            </w:tcBorders>
          </w:tcPr>
          <w:p>
            <w:pPr>
              <w:spacing w:after="0"/>
              <w:rPr>
                <w:sz w:val="11"/>
                <w:szCs w:val="11"/>
                <w:color w:val="auto"/>
              </w:rPr>
            </w:pPr>
          </w:p>
        </w:tc>
      </w:tr>
      <w:tr>
        <w:trPr>
          <w:trHeight w:val="279"/>
        </w:trPr>
        <w:tc>
          <w:tcPr>
            <w:tcW w:w="2580" w:type="dxa"/>
            <w:vAlign w:val="bottom"/>
          </w:tcPr>
          <w:p>
            <w:pPr>
              <w:spacing w:after="0"/>
              <w:rPr>
                <w:sz w:val="24"/>
                <w:szCs w:val="24"/>
                <w:color w:val="auto"/>
              </w:rPr>
            </w:pPr>
          </w:p>
        </w:tc>
        <w:tc>
          <w:tcPr>
            <w:tcW w:w="60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10159"/>
          </w:cols>
          <w:pgMar w:left="300" w:top="386" w:right="144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173355</wp:posOffset>
            </wp:positionV>
            <wp:extent cx="5457825" cy="4282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7825" cy="4282440"/>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3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The Nasdaq Global Market Symbol for our ADSs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“ABVX”</w:t>
      </w:r>
    </w:p>
    <w:p>
      <w:pPr>
        <w:spacing w:after="0" w:line="200" w:lineRule="exact"/>
        <w:rPr>
          <w:sz w:val="20"/>
          <w:szCs w:val="20"/>
          <w:color w:val="auto"/>
        </w:rPr>
      </w:pPr>
    </w:p>
    <w:p>
      <w:pPr>
        <w:sectPr>
          <w:pgSz w:w="11900" w:h="16838" w:orient="portrait"/>
          <w:cols w:equalWidth="0" w:num="2">
            <w:col w:w="4460" w:space="180"/>
            <w:col w:w="5519"/>
          </w:cols>
          <w:pgMar w:left="300" w:top="386" w:right="1440" w:bottom="1440" w:gutter="0" w:footer="0" w:header="0"/>
          <w:type w:val="continuous"/>
        </w:sectPr>
      </w:pPr>
    </w:p>
    <w:p>
      <w:pPr>
        <w:spacing w:after="0" w:line="17" w:lineRule="exact"/>
        <w:rPr>
          <w:sz w:val="20"/>
          <w:szCs w:val="20"/>
          <w:color w:val="auto"/>
        </w:rPr>
      </w:pPr>
    </w:p>
    <w:p>
      <w:pPr>
        <w:ind w:left="1560" w:hanging="61"/>
        <w:spacing w:after="0" w:line="286" w:lineRule="auto"/>
        <w:rPr>
          <w:sz w:val="20"/>
          <w:szCs w:val="20"/>
          <w:color w:val="auto"/>
        </w:rPr>
      </w:pPr>
      <w:r>
        <w:rPr>
          <w:rFonts w:ascii="Times New Roman" w:cs="Times New Roman" w:eastAsia="Times New Roman" w:hAnsi="Times New Roman"/>
          <w:sz w:val="14"/>
          <w:szCs w:val="14"/>
          <w:b w:val="1"/>
          <w:bCs w:val="1"/>
          <w:color w:val="auto"/>
        </w:rPr>
        <w:t>Regulated Market of Euronext in Paris Trading Symbol for our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“ABVX”</w:t>
      </w:r>
    </w:p>
    <w:p>
      <w:pPr>
        <w:spacing w:after="0" w:line="385" w:lineRule="exact"/>
        <w:rPr>
          <w:sz w:val="20"/>
          <w:szCs w:val="20"/>
          <w:color w:val="auto"/>
        </w:rPr>
      </w:pPr>
    </w:p>
    <w:p>
      <w:pPr>
        <w:sectPr>
          <w:pgSz w:w="11900" w:h="16838" w:orient="portrait"/>
          <w:cols w:equalWidth="0" w:num="2">
            <w:col w:w="4340" w:space="30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20" w:lineRule="exact"/>
        <w:rPr>
          <w:sz w:val="20"/>
          <w:szCs w:val="20"/>
          <w:color w:val="auto"/>
        </w:rPr>
      </w:pPr>
      <w:r>
        <w:rPr>
          <w:sz w:val="20"/>
          <w:szCs w:val="20"/>
          <w:color w:val="auto"/>
        </w:rPr>
        <w:br w:type="column"/>
      </w:r>
    </w:p>
    <w:p>
      <w:pPr>
        <w:ind w:right="419"/>
        <w:spacing w:after="0" w:line="255" w:lineRule="auto"/>
        <w:rPr>
          <w:sz w:val="20"/>
          <w:szCs w:val="20"/>
          <w:color w:val="auto"/>
        </w:rPr>
      </w:pPr>
      <w:r>
        <w:rPr>
          <w:rFonts w:ascii="Times New Roman" w:cs="Times New Roman" w:eastAsia="Times New Roman" w:hAnsi="Times New Roman"/>
          <w:sz w:val="14"/>
          <w:szCs w:val="14"/>
          <w:color w:val="auto"/>
        </w:rPr>
        <w:t>We expect to deliver the ADSs on or about the date of delivery specified on the cover page of this prospectus supplement, which will be the second business day following the trade date for the ADSs (this settlement cycle being referred to as “T+2”). Under Rule 15c6-1 of the Exchange Act, trades in the secondary market generally are required to settle in one business day unless the parties to any such trade expressly agree otherwise. Accordingly, purchasers who wish to trade the ADSs prior to the business day preceding the date of delivery will be required, by virtue of the fact that the ADSs initially will settle in T+2, to specify an alternate settlement cycle at the time of any such trade to prevent a failed settlement and should consult their own advisors.</w:t>
      </w:r>
    </w:p>
    <w:p>
      <w:pPr>
        <w:spacing w:after="0" w:line="163"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479"/>
        <w:spacing w:after="0" w:line="259" w:lineRule="auto"/>
        <w:rPr>
          <w:sz w:val="20"/>
          <w:szCs w:val="20"/>
          <w:color w:val="auto"/>
        </w:rPr>
      </w:pPr>
      <w:r>
        <w:rPr>
          <w:rFonts w:ascii="Times New Roman" w:cs="Times New Roman" w:eastAsia="Times New Roman" w:hAnsi="Times New Roman"/>
          <w:sz w:val="14"/>
          <w:szCs w:val="14"/>
          <w:color w:val="auto"/>
        </w:rPr>
        <w:t>Before deciding whether to invest in our ordinary shares (including in the form of ADSs), you should carefully consider the risks described under “Risk Factors” beginning on page S-9 of this prospectus supplement, as well as the other information included or incorporated by reference into this prospectus supplement and the accompanying prospectus, including our financial statements and the notes thereto.</w:t>
      </w:r>
    </w:p>
    <w:p>
      <w:pPr>
        <w:spacing w:after="0" w:line="141"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right="379" w:firstLine="332"/>
        <w:spacing w:after="0" w:line="267" w:lineRule="auto"/>
        <w:rPr>
          <w:sz w:val="20"/>
          <w:szCs w:val="20"/>
          <w:color w:val="auto"/>
        </w:rPr>
      </w:pPr>
      <w:r>
        <w:rPr>
          <w:rFonts w:ascii="Times New Roman" w:cs="Times New Roman" w:eastAsia="Times New Roman" w:hAnsi="Times New Roman"/>
          <w:sz w:val="14"/>
          <w:szCs w:val="14"/>
          <w:color w:val="auto"/>
        </w:rPr>
        <w:t>Except as otherwise noted in this prospectus supplement, the number of ordinary shares (including in the form of ADSs) that will be outstanding after this offering is based on 79,694,535 ordinary shares outstanding as of March 31, 2026 (as adjusted to give effect to the issuance of 403,347 ADSs in the Royalty Certificate Repurchase), and excludes:</w:t>
      </w:r>
    </w:p>
    <w:p>
      <w:pPr>
        <w:spacing w:after="0" w:line="62" w:lineRule="exact"/>
        <w:rPr>
          <w:sz w:val="20"/>
          <w:szCs w:val="20"/>
          <w:color w:val="auto"/>
        </w:rPr>
      </w:pPr>
    </w:p>
    <w:p>
      <w:pPr>
        <w:ind w:left="2220" w:right="499" w:hanging="316"/>
        <w:spacing w:after="0" w:line="283"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277,204 ordinary shares issuable upon the exercise of share warrants (BSA) outstanding as of March 31, 2026 at a weighted-average exercise price of €16.26 per ordinary share (or $18.70 based on the exchange rate in effect as of March 31, 2026);</w:t>
      </w:r>
    </w:p>
    <w:p>
      <w:pPr>
        <w:spacing w:after="0" w:line="51" w:lineRule="exact"/>
        <w:rPr>
          <w:rFonts w:ascii="Times New Roman" w:cs="Times New Roman" w:eastAsia="Times New Roman" w:hAnsi="Times New Roman"/>
          <w:sz w:val="14"/>
          <w:szCs w:val="14"/>
          <w:color w:val="auto"/>
        </w:rPr>
      </w:pPr>
    </w:p>
    <w:p>
      <w:pPr>
        <w:ind w:left="2220" w:right="539" w:hanging="316"/>
        <w:spacing w:after="0" w:line="267"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205,139 ordinary shares issuable upon the exercise of founder’s share warrants (BCE) outstanding as of March 31, 2026 at a weighted-average exercise price of €10.20 per ordinary share (or $11.73 based on the exchange rate in effect as of March 31, 2026); and</w:t>
      </w:r>
    </w:p>
    <w:p>
      <w:pPr>
        <w:spacing w:after="0" w:line="6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8,083,287 ordinary shares issuable upon vesting of free shares (AGAs) outstanding as of March 31, 2026.</w:t>
      </w:r>
    </w:p>
    <w:p>
      <w:pPr>
        <w:spacing w:after="0" w:line="1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Except as otherwise noted, the information in this prospectus supplement assumes:</w:t>
      </w:r>
    </w:p>
    <w:p>
      <w:pPr>
        <w:spacing w:after="0" w:line="102" w:lineRule="exact"/>
        <w:rPr>
          <w:sz w:val="20"/>
          <w:szCs w:val="20"/>
          <w:color w:val="auto"/>
        </w:rPr>
      </w:pPr>
    </w:p>
    <w:p>
      <w:pPr>
        <w:ind w:left="2220" w:hanging="316"/>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BSA and BCE or vesting of the AGAs listed above; and</w:t>
      </w:r>
    </w:p>
    <w:p>
      <w:pPr>
        <w:spacing w:after="0" w:line="102" w:lineRule="exact"/>
        <w:rPr>
          <w:rFonts w:ascii="Times New Roman" w:cs="Times New Roman" w:eastAsia="Times New Roman" w:hAnsi="Times New Roman"/>
          <w:sz w:val="14"/>
          <w:szCs w:val="14"/>
          <w:color w:val="auto"/>
        </w:rPr>
      </w:pPr>
    </w:p>
    <w:p>
      <w:pPr>
        <w:ind w:left="2220" w:right="479" w:hanging="316"/>
        <w:spacing w:after="0" w:line="283"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issuance by us of additional ADSs pursuant to the exercise of the underwriters’ option to purchase up to 960,000 additional ADSs in this offering.</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Investing in our ordinary shares (including ordinary shares in the form of ADSs) involves a high degree of risk. You should carefully consider the risks and uncertainties described below, as well as general economic and business risks, including those set forth in the section titled “Risk Factors” included in our Annual Report on Form 20-F for the year ended December 31, 2025 incorporated by reference herein, together with all of the other information in this prospectus supplement, the accompanying prospectus, and the documents incorporated by reference herein,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 Additional risks not presently known to us or that we currently believe are immaterial may also significantly impair our business operations. Please also read carefully the section above titled “Special Note Regarding Forward-Looking Statements.”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2" w:lineRule="exact"/>
        <w:rPr>
          <w:sz w:val="20"/>
          <w:szCs w:val="20"/>
          <w:color w:val="auto"/>
        </w:rPr>
      </w:pPr>
    </w:p>
    <w:p>
      <w:pPr>
        <w:ind w:left="1360" w:right="5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over the use of the proceeds from this offering and may apply these proceeds in ways that may not increase the value of your investment.</w:t>
      </w:r>
    </w:p>
    <w:p>
      <w:pPr>
        <w:spacing w:after="0" w:line="39" w:lineRule="exact"/>
        <w:rPr>
          <w:sz w:val="20"/>
          <w:szCs w:val="20"/>
          <w:color w:val="auto"/>
        </w:rPr>
      </w:pPr>
    </w:p>
    <w:p>
      <w:pPr>
        <w:ind w:left="1360" w:right="259" w:firstLine="343"/>
        <w:spacing w:after="0" w:line="288" w:lineRule="auto"/>
        <w:rPr>
          <w:sz w:val="20"/>
          <w:szCs w:val="20"/>
          <w:color w:val="auto"/>
        </w:rPr>
      </w:pPr>
      <w:r>
        <w:rPr>
          <w:rFonts w:ascii="Times New Roman" w:cs="Times New Roman" w:eastAsia="Times New Roman" w:hAnsi="Times New Roman"/>
          <w:sz w:val="13"/>
          <w:szCs w:val="13"/>
          <w:color w:val="auto"/>
        </w:rPr>
        <w:t>Our management will have broad discretion to use the net proceeds we receive from this offering, and you will be relying on its judgment regarding the application of these proceeds. We may spend or invest these proceeds in a way with which our shareholders disagree. The failure by our management to apply these funds effectively could harm our business and financial condition. We expect to use the net proceeds from this offering as described under the heading “Use of Proceeds.” However, management may not apply such proceeds in ways that increase the value of your investment.</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ADSs in the offering, you will experience substantial and immediate dilution.</w:t>
      </w:r>
    </w:p>
    <w:p>
      <w:pPr>
        <w:spacing w:after="0" w:line="94"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If you purchase ADSs in the offering, you will experience substantial and immediate dilution of $110.78 per ADS (€97.27 per ordinary share) in as adjusted net tangible book value after giving effect to the Royalty Certificate Repurchase and this offering at the public offering price of $125.00 per ADS in the offering, because the price that you pay will be substantially greater than the as adjusted net tangible book value per ADS that you acquire. This dilution is due in large part to the fact that our earlier investors paid substantially less than the public offering price when they purchased their ADSs or ordinary shares, as applicable. You will experience additional dilution at the end of the vesting period for our free shares that we have granted, and upon exercise of any outstanding share warrants to purchase ordinary shares, or if we otherwise issue additional ordinary shares or ADSs below the public offering price. For a further description of the dilution that you will experience immediately after the offering, see “Dilution.”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Concurrent or future sales of ordinary shares or ADSs by existing shareholders could depress the market price of the ADSs and ordinary shares.</w:t>
      </w:r>
    </w:p>
    <w:p>
      <w:pPr>
        <w:spacing w:after="0" w:line="94"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We believe that additional capital will be needed to continue our planned operations, including conducting our planned clinical trials, manufacturing and commercialization efforts, expanded research and development activities and costs associated with operating as a public company. Additional financing may be obtained through additional equity offerings, which may include underwritten offerings, private placement financing or the initiation of an at-the-market program. Sales of additional ordinary shares or ADSs by us, or the perception that these sales could occur, could cause the market price of our ADSs to decline.</w:t>
      </w:r>
    </w:p>
    <w:p>
      <w:pPr>
        <w:spacing w:after="0" w:line="141"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If existing shareholders sell, or indicate an intent to sell, substantial amounts of ordinary shares or ADSs in the public market after the 60-day contractual lock-up and other legal restrictions on resale discussed in this prospectus supplement lapse, the trading price of the ADSs and ordinary shares could decline significantly and could decline below the public offering price. Upon completion of this offering and based on the number of</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ordinary shares (including ordinary shares in the form of ADSs) outstanding as of March 31, 2026, after giving effect to the Royalty Certificate Repurchase, we will have outstanding 86,094,535 ordinary shares (including ordinary shares in the form of ADSs) assuming no issuance by us of additional ADSs pursuant to the exercise of the underwriters’ option, approximately 1,182,661 of which will be subject to a contractual restriction on selling for up to 60 days, subject to certain exceptions. The underwriters may permit our executive officers and directors to sell ADSs or ordinary shares prior to the expiration of the lock-up agreements. See “Underwriting.”</w:t>
      </w:r>
    </w:p>
    <w:p>
      <w:pPr>
        <w:spacing w:after="0" w:line="141"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After the 60-day lock-up agreements with our executive officers and board members expire, additional ordinary shares (including in the form of ADSs) will be eligible for sale by such executive officers and board members in the public market, subject to compliance with applicable requirements under Rule 144 or Regulation S. In addition, the ordinary shares subject to outstanding warrants and outstanding free shares will become eligible for sale in the public market in the future, subject to certain legal and contractual limitations. We have filed a registration statement on Form S-8 with the SEC covering the ordinary shares issuable upon exercise of outstanding share warrants and vesting of outstanding free shares. Sales of a large number of ordinary shares or ADSs in the public market by our officers or board members or by significant shareholders upon the exercise of share warrants or vesting of free shares, in future public offerings by us or otherwise could have an adverse effect on the market price of the ADSs or ordinary shares. If these additional ordinary shares are sold, or if it is perceived that they will be sold, in the public market, the trading price of the ADSs and ordinary shares could decline substantially.</w:t>
      </w:r>
    </w:p>
    <w:p>
      <w:pPr>
        <w:spacing w:after="0" w:line="226"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including as a result of this offering, may cause dilution to our shareholders, restrict our operations or require us to relinquish rights to our product candidates.</w:t>
      </w:r>
    </w:p>
    <w:p>
      <w:pPr>
        <w:spacing w:after="0" w:line="3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Until such time, if ever, as we can generate substantial revenue from the sale of our product candidates, we expect to finance our cash needs through a combination of equity offerings, debt financing, collaborations, strategic alliances and licensing arrangements. To the extent that we raise additional capital through the sale of equity securities, or convertible debt securities, your ownership interest will be diluted, and the terms of these securities may include liquidation or other preferences that adversely affect your rights as a shareholder.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drug development or future commercialization efforts or grant rights to third parties to develop and market product candidates that we would otherwise prefer to develop and market ourselves.</w:t>
      </w:r>
    </w:p>
    <w:p>
      <w:pPr>
        <w:spacing w:after="0" w:line="230"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biotechnology industry has been included in the list of critical technologies subject to foreign investment control procedure in France, which may limit the ability to certain non-French investors to participate in this or any other offering of our securities.</w:t>
      </w:r>
    </w:p>
    <w:p>
      <w:pPr>
        <w:spacing w:after="0" w:line="39"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The completion of any investment (i) by (a) an individual of foreign nationality, (b) any individual of French nationality not domiciled in France within the meaning of Article 4B of the French General Tax Code (</w:t>
      </w:r>
      <w:r>
        <w:rPr>
          <w:rFonts w:ascii="Times New Roman" w:cs="Times New Roman" w:eastAsia="Times New Roman" w:hAnsi="Times New Roman"/>
          <w:sz w:val="14"/>
          <w:szCs w:val="14"/>
          <w:i w:val="1"/>
          <w:iCs w:val="1"/>
          <w:color w:val="auto"/>
        </w:rPr>
        <w:t>Code général des impôts</w:t>
      </w:r>
      <w:r>
        <w:rPr>
          <w:rFonts w:ascii="Times New Roman" w:cs="Times New Roman" w:eastAsia="Times New Roman" w:hAnsi="Times New Roman"/>
          <w:sz w:val="14"/>
          <w:szCs w:val="14"/>
          <w:color w:val="auto"/>
        </w:rPr>
        <w:t>), (c) any entity governed by foreign law, and (d) any entity governed by French law controlled by one or more of the individuals or entities referred to in (a) to (c), (ii) which would result in (a) the acquisition of control-within the meaning of Article L. 233-3 of the French Commercial Code (Code de commerce)-of a French company, (b) the acquisition of all or part of an activity of a French company, or (c) for individuals who are not nationals of a Member State of the European Union or of a State party to the agreement on the European Economic Area that has entered into an administrative assistance agreement with France and/or are not domiciled in one of these States, or for legal entities of which at least one of the members of the control chain is not governed by the law of one of these States or is not a national and/or is not domiciled there, to cross</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the threshold of 25% of the voting rights of a French company, or (d) for individuals who are not nationals of a Member State of the EU or of a State party to the agreement on the EEA that has entered into an administrative assistance agreement with France and/or are not domiciled in one of these State, or for legal entities of which at least one of the members of the control chain is not governed by the law of one of these States or is not a national and/or is not domiciled there, to cross the threshold of 10% of the voting rights of a French company whose shares are admitted to trading on a regulated market and (iii) whose activities concern, even occasionally, the research and development of so-called critical technologies, such as biotechnologies, and considered essential to the protection of public health, is subject to prior authorization by the French Minister of the Economy (</w:t>
      </w:r>
      <w:r>
        <w:rPr>
          <w:rFonts w:ascii="Times New Roman" w:cs="Times New Roman" w:eastAsia="Times New Roman" w:hAnsi="Times New Roman"/>
          <w:sz w:val="14"/>
          <w:szCs w:val="14"/>
          <w:i w:val="1"/>
          <w:iCs w:val="1"/>
          <w:color w:val="auto"/>
        </w:rPr>
        <w:t>ministère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l’Économie</w:t>
      </w:r>
      <w:r>
        <w:rPr>
          <w:rFonts w:ascii="Times New Roman" w:cs="Times New Roman" w:eastAsia="Times New Roman" w:hAnsi="Times New Roman"/>
          <w:sz w:val="14"/>
          <w:szCs w:val="14"/>
          <w:color w:val="auto"/>
        </w:rPr>
        <w:t>). The French Decree No. 2023-1293 of December 28, 2023 has made permanent the temporary regime under French Decree No. 2022-1622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December 23, 2022, which expired on December 31, 2023.</w:t>
      </w:r>
    </w:p>
    <w:p>
      <w:pPr>
        <w:spacing w:after="0" w:line="147"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The crossing of the threshold of 10% of the voting rights of French companies whose shares are admitted to trading on a regulated market is subject to a fast track review procedure (filing of a simplified form, delay for the Minister to respond limited to 10 business days, transaction deemed authorized in the absence of a response at the end of the delay).</w:t>
      </w:r>
    </w:p>
    <w:p>
      <w:pPr>
        <w:spacing w:after="0" w:line="136"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If an investment in the Company requiring the prior authorization of the Minister of the Economy is made without such authorization having been granted, the Minister of the Economy may cancel the transaction or order (possibly under financial penalty) the investor concerned (i) to submit an application for authorization, (ii) to have the previous situation restored at its own expense or (iii) to modify the investment. In addition, the Minister may impose undertakings and conditions on the investor (including regular reporting commitments). The investor concerned could also be declared criminally liable and be sanctioned, in particular, by exclusion from any public contract or by a fine which may not exceed the highest of the following three amounts: (i) twice the amount of the investment concerned, (ii) 10% of our annual pre-tax revenues and (iii) €5 million (for a company) or</w:t>
      </w:r>
    </w:p>
    <w:p>
      <w:pPr>
        <w:spacing w:after="0" w:line="2"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€1 million (for an individual). The application of these regulations is likely to constitute a potential barrier to investments made by investors located outside the European Economic Area and could therefore limit our access to sources of financing.</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 $759.8 (€666.8) million based on the public offering price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$125.00 per ADS, after deducting underwriting discounts and commissions and estimated offering expenses payable by us, and assuming no issuance by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us of additional ADSs pursuant to the exercise of the underwriters’ option to purchase up to 960,000 additional ADSs in this offering. If we issue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960,000 additional ADSs pursuant to the exercise in full of the underwriters’ option in the offering, we estimate that we will receive net proceeds from</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offering of approximately $874.1 (€767.1) million.</w:t>
      </w:r>
    </w:p>
    <w:p>
      <w:pPr>
        <w:spacing w:after="0" w:line="161"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color w:val="auto"/>
        </w:rPr>
        <w:t>We intend to use the net proceeds from this offering for expenses relating to potential commercialization of our lead drug candidate, obefazimod, in the United States; clinical research and development expenses, primarily related to ulcerative colitis and Crohn’s disease; and the remainder, if any, for general corporate purposes. We may also use a portion of the net proceeds to in-license, invest in or acquire businesses, technologies, products or assets that we believe are complementary to our own, although we have no current plans, commitments or agreements with respect to any such transactions as of the date of this prospectus supplement.</w:t>
      </w:r>
    </w:p>
    <w:p>
      <w:pPr>
        <w:spacing w:after="0" w:line="141"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color w:val="auto"/>
        </w:rPr>
        <w:t>We believe that the net proceeds from the offering, together with our existing cash, cash equivalents and other short-term investments will be sufficient to meet our working capital requirements into the second quarter of 2029, assuming no exercise of the underwriters’ option to purchase additional ADSs. Our estimates of the period of time through which our financial resources are expected to be adequate to meet our working capital requirements are forward-looking statements and involve risks and uncertainties, and actual results could vary materially and negatively as a result of a number of factors, as described under “Special Note Regarding Forward-Looking Statements.”</w:t>
      </w:r>
    </w:p>
    <w:p>
      <w:pPr>
        <w:spacing w:after="0" w:line="141"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This expected use of proceeds from the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research and development efforts, the timing and success of preclinical studies, our ongoing clinical trials or clinical trials we may commence in the future, as well as any collaborations that we may enter into with third parties for our drug candidates, the timing of regulatory submissions and any unforeseen cash needs. As a result, our management retains broad discretion over the allocation of the net proceeds from the offering.</w:t>
      </w:r>
    </w:p>
    <w:p>
      <w:pPr>
        <w:spacing w:after="0" w:line="144"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Pending our use of the net proceeds from the offering, we intend to invest the net proceeds in a variety of capital preservation investments, including short-term, investment-grade, interest-bearing instruments.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our cash, cash equivalents and other short-term investments and capitalization in euros and U.S. dollars as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March 31, 2026 on:</w:t>
      </w:r>
    </w:p>
    <w:p>
      <w:pPr>
        <w:spacing w:after="0" w:line="87" w:lineRule="exact"/>
        <w:rPr>
          <w:sz w:val="20"/>
          <w:szCs w:val="20"/>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actual basis;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 adjusted basis to give effect to the Royalty Certificate Repurchase; and</w:t>
      </w:r>
    </w:p>
    <w:p>
      <w:pPr>
        <w:spacing w:after="0" w:line="102" w:lineRule="exact"/>
        <w:rPr>
          <w:rFonts w:ascii="Times New Roman" w:cs="Times New Roman" w:eastAsia="Times New Roman" w:hAnsi="Times New Roman"/>
          <w:sz w:val="14"/>
          <w:szCs w:val="14"/>
          <w:color w:val="auto"/>
        </w:rPr>
      </w:pPr>
    </w:p>
    <w:p>
      <w:pPr>
        <w:jc w:val="both"/>
        <w:ind w:left="2100" w:right="299" w:hanging="328"/>
        <w:spacing w:after="0" w:line="267"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 forma as adjusted basis to give further effect to the issuances of our ADSs in this offering (assuming no exercise of the option of the underwriters in this offering to purchase additional ADSs), after deducting the underwriting discounts and commissions and our estimated offering expenses.</w:t>
      </w:r>
    </w:p>
    <w:p>
      <w:pPr>
        <w:spacing w:after="0" w:line="136"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The information in the table below is illustrative only, and our capitalization following the completion of this offering, if it is completed, will depend on the final terms of the offering.</w:t>
      </w:r>
    </w:p>
    <w:p>
      <w:pPr>
        <w:spacing w:after="0" w:line="12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The information set forth in the following table should be read in conjunction with and is qualified in its entirety by our financial statements and notes thereto incorporated by reference in this prospectus supplement and the accompanying prospectus.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9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1560" w:type="dxa"/>
            <w:vAlign w:val="bottom"/>
            <w:gridSpan w:val="3"/>
          </w:tcPr>
          <w:p>
            <w:pPr>
              <w:jc w:val="right"/>
              <w:ind w:right="453"/>
              <w:spacing w:after="0" w:line="87"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4"/>
            <w:vMerge w:val="continue"/>
          </w:tcPr>
          <w:p>
            <w:pPr>
              <w:spacing w:after="0"/>
              <w:rPr>
                <w:sz w:val="11"/>
                <w:szCs w:val="11"/>
                <w:color w:val="auto"/>
              </w:rPr>
            </w:pPr>
          </w:p>
        </w:tc>
        <w:tc>
          <w:tcPr>
            <w:tcW w:w="1660" w:type="dxa"/>
            <w:vAlign w:val="bottom"/>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940" w:type="dxa"/>
            <w:vAlign w:val="bottom"/>
            <w:tcBorders>
              <w:top w:val="single" w:sz="8" w:color="auto"/>
            </w:tcBorders>
            <w:gridSpan w:val="3"/>
          </w:tcPr>
          <w:p>
            <w:pPr>
              <w:ind w:left="32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(1)</w:t>
            </w:r>
          </w:p>
        </w:tc>
        <w:tc>
          <w:tcPr>
            <w:tcW w:w="180" w:type="dxa"/>
            <w:vAlign w:val="bottom"/>
          </w:tcPr>
          <w:p>
            <w:pPr>
              <w:spacing w:after="0"/>
              <w:rPr>
                <w:sz w:val="9"/>
                <w:szCs w:val="9"/>
                <w:color w:val="auto"/>
              </w:rPr>
            </w:pPr>
          </w:p>
        </w:tc>
        <w:tc>
          <w:tcPr>
            <w:tcW w:w="860" w:type="dxa"/>
            <w:vAlign w:val="bottom"/>
            <w:tcBorders>
              <w:top w:val="single" w:sz="8" w:color="auto"/>
            </w:tcBorders>
            <w:gridSpan w:val="2"/>
          </w:tcPr>
          <w:p>
            <w:pPr>
              <w:jc w:val="right"/>
              <w:ind w:right="50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(1)</w:t>
            </w:r>
          </w:p>
        </w:tc>
        <w:tc>
          <w:tcPr>
            <w:tcW w:w="180" w:type="dxa"/>
            <w:vAlign w:val="bottom"/>
          </w:tcPr>
          <w:p>
            <w:pPr>
              <w:spacing w:after="0"/>
              <w:rPr>
                <w:sz w:val="9"/>
                <w:szCs w:val="9"/>
                <w:color w:val="auto"/>
              </w:rPr>
            </w:pPr>
          </w:p>
        </w:tc>
        <w:tc>
          <w:tcPr>
            <w:tcW w:w="860" w:type="dxa"/>
            <w:vAlign w:val="bottom"/>
            <w:tcBorders>
              <w:top w:val="single" w:sz="8" w:color="auto"/>
            </w:tcBorders>
            <w:gridSpan w:val="2"/>
          </w:tcPr>
          <w:p>
            <w:pPr>
              <w:jc w:val="right"/>
              <w:ind w:right="50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tcBorders>
          </w:tcPr>
          <w:p>
            <w:pPr>
              <w:jc w:val="right"/>
              <w:ind w:right="213"/>
              <w:spacing w:after="0" w:line="106"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other short-term investments(1)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477,423</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548,941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438,286</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503,941</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1,105,109</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1,263,720</w:t>
            </w:r>
          </w:p>
        </w:tc>
        <w:tc>
          <w:tcPr>
            <w:tcW w:w="0" w:type="dxa"/>
            <w:vAlign w:val="bottom"/>
          </w:tcPr>
          <w:p>
            <w:pPr>
              <w:spacing w:after="0"/>
              <w:rPr>
                <w:sz w:val="1"/>
                <w:szCs w:val="1"/>
                <w:color w:val="auto"/>
              </w:rPr>
            </w:pPr>
          </w:p>
        </w:tc>
      </w:tr>
      <w:tr>
        <w:trPr>
          <w:trHeight w:val="168"/>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Financial liabilities – current portion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1,266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68"/>
        </w:trPr>
        <w:tc>
          <w:tcPr>
            <w:tcW w:w="3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Financial liabilities – non-current portion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33,110</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38,070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34,211</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39,336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68"/>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attributable to shareholders: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Ordinary shares(2)(3)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912</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797</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916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861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168"/>
        </w:trPr>
        <w:tc>
          <w:tcPr>
            <w:tcW w:w="3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Premiums related to share capital</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1,191,083</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1,369,507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1,230,216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1,414,502</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1,896,975</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2,174,208</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Translation reserves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2,333</w:t>
            </w:r>
          </w:p>
        </w:tc>
        <w:tc>
          <w:tcPr>
            <w:tcW w:w="0" w:type="dxa"/>
            <w:vAlign w:val="bottom"/>
          </w:tcPr>
          <w:p>
            <w:pPr>
              <w:spacing w:after="0"/>
              <w:rPr>
                <w:sz w:val="1"/>
                <w:szCs w:val="1"/>
                <w:color w:val="auto"/>
              </w:rPr>
            </w:pPr>
          </w:p>
        </w:tc>
      </w:tr>
      <w:tr>
        <w:trPr>
          <w:trHeight w:val="168"/>
        </w:trPr>
        <w:tc>
          <w:tcPr>
            <w:tcW w:w="3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(715,843)</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(823,076)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(715,843)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(823,076)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(715,843)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(823,076)</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(48,468)</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(55,729)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(87,903)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(101,071)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(87,903)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(101,071)</w:t>
            </w:r>
          </w:p>
        </w:tc>
        <w:tc>
          <w:tcPr>
            <w:tcW w:w="0" w:type="dxa"/>
            <w:vAlign w:val="bottom"/>
          </w:tcPr>
          <w:p>
            <w:pPr>
              <w:spacing w:after="0"/>
              <w:rPr>
                <w:sz w:val="1"/>
                <w:szCs w:val="1"/>
                <w:color w:val="auto"/>
              </w:rPr>
            </w:pPr>
          </w:p>
        </w:tc>
      </w:tr>
      <w:tr>
        <w:trPr>
          <w:trHeight w:val="170"/>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429,594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493,947</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429,296</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493,605</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1,096,119</w:t>
            </w:r>
          </w:p>
        </w:tc>
        <w:tc>
          <w:tcPr>
            <w:tcW w:w="1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1,253,383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463,805</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533,283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430,744</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495,269</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1,097,567</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1,255,048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2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680" w:right="379" w:hanging="329"/>
        <w:spacing w:after="0" w:line="256"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Translated solely for convenience at an exchange rate of €1.00 = $1.1498, the exchange rate as reported by the European Central Bank on March 31, 2026, except for the net proceeds of the offering, which has been based on an exchange rate of €1.00 = $1.1394 on June 30, 2026. As adjusted and pro forma as adjusted cash, cash equivalents and other short-term investments reflect $45.0 million in cash payments related to the Royalty Certificate Repurchase.</w:t>
      </w:r>
    </w:p>
    <w:p>
      <w:pPr>
        <w:spacing w:after="0" w:line="1" w:lineRule="exact"/>
        <w:rPr>
          <w:rFonts w:ascii="Times New Roman" w:cs="Times New Roman" w:eastAsia="Times New Roman" w:hAnsi="Times New Roman"/>
          <w:sz w:val="14"/>
          <w:szCs w:val="14"/>
          <w:color w:val="auto"/>
        </w:rPr>
      </w:pPr>
    </w:p>
    <w:p>
      <w:pPr>
        <w:ind w:left="1680" w:right="379" w:hanging="329"/>
        <w:spacing w:after="0" w:line="250"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as of March 31, 2026, our outstanding share capital consisted of a total of 79,291,188 ordinary shares, with nominal value of €0.01 per share, all issued and outstanding.</w:t>
      </w:r>
    </w:p>
    <w:p>
      <w:pPr>
        <w:spacing w:after="0" w:line="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share information set forth above is as of March 31, 2026, and excludes, as of that date:</w:t>
      </w:r>
    </w:p>
    <w:p>
      <w:pPr>
        <w:spacing w:after="0" w:line="87"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277,204 ordinary shares issuable upon the exercise of share warrants (BSA) outstanding as of March 31, 2026 at a weighted-average exercise price of €16.26 per ordinary share (or $18.70 based on the exchange rate in effect as of March 31, 2026);</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479" w:hanging="328"/>
        <w:spacing w:after="0" w:line="283"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205,139 ordinary shares issuable upon the exercise of founder’s share warrants (BCE) outstanding as of March 31, 2026 at a weighted-average exercise price of €10.20 per ordinary share (or $11.73 based on the exchange rate in effect as of March 31, 2026);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8,083,287 ordinary shares issuable upon vesting of free shares (AGAs) outstanding as of March 31, 2026.</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8"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If you invest in our ADSs in this offering, your ownership interest will be diluted to the extent of the difference between the public offering price per ADS paid by you and our as adjusted net tangible book value (deficit) per ADS after completion of this offering.</w:t>
      </w:r>
    </w:p>
    <w:p>
      <w:pPr>
        <w:spacing w:after="0" w:line="125"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Our net tangible book value as of March 31, 2026 was €404.6 million ($465.2 million), or €5.10 ($5.87) per ADS, based on an exchange rate of €1.00 = $1.1498, the exchange rate as reported by the European Central Bank on March 31, 2026. Net tangible book value per ADS is determined by dividing (1) our total assets less our intangible assets (including goodwill) and our total liabilities by (2) the number of ordinary shares outstanding as of March 31, 2026, or 79,291,188 ordinary shares. For the purposes of this “Dilution” section, we assume all outstanding ordinary shares are held in the form of ADSs for the purpose of per ADS calculations.</w:t>
      </w:r>
    </w:p>
    <w:p>
      <w:pPr>
        <w:spacing w:after="0" w:line="141"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Our as adjusted net tangible book value as of March 31, 2026 was €404.3 million ($464.8 million), or €5.07 ($5.83) per ADS, based on an exchange rate of €1.00 = $1.1498, the exchange rate as reported by the European Central Bank on March 31, 2026. Our as adjusted net tangible book value per ADS is our net tangible book value as of March 31, 2026, after giving effect to the issuance of 403,347 ADSs in the Royalty Certificate Repurchase.</w:t>
      </w:r>
    </w:p>
    <w:p>
      <w:pPr>
        <w:spacing w:after="0" w:line="141"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After giving effect to our sale of 6,400,000 ADSs in this offering, assuming all ADSs in the offering are sold at the public offering price of $125.00 per ADS, and after deducting underwriting discounts and commissions and estimated offering expenses payable by us, our pro forma as adjusted net tangible book value as of March 31, 2026 would have been €1,071.1 ($1,224.6) million, or €12.44 ($14.22) per ADS. This represents an immediate increase in as adjusted net tangible book value of €7.37 ($8.39) per ADS to existing shareholders and an immediate dilution in as adjusted net tangible book value of €97.27 ($110.78) per ADS to new investors.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illustrates this dilution on a per ADS basis:</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7"/>
          </w:tcPr>
          <w:p>
            <w:pPr>
              <w:jc w:val="right"/>
              <w:ind w:right="1000"/>
              <w:spacing w:after="0"/>
              <w:rPr>
                <w:sz w:val="20"/>
                <w:szCs w:val="20"/>
                <w:color w:val="auto"/>
              </w:rPr>
            </w:pPr>
            <w:r>
              <w:rPr>
                <w:rFonts w:ascii="Times New Roman" w:cs="Times New Roman" w:eastAsia="Times New Roman" w:hAnsi="Times New Roman"/>
                <w:sz w:val="11"/>
                <w:szCs w:val="11"/>
                <w:b w:val="1"/>
                <w:bCs w:val="1"/>
                <w:color w:val="auto"/>
              </w:rPr>
              <w:t>Per ADS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w w:val="98"/>
              </w:rPr>
              <w:t>109.71</w:t>
            </w:r>
          </w:p>
        </w:tc>
        <w:tc>
          <w:tcPr>
            <w:tcW w:w="1160" w:type="dxa"/>
            <w:vAlign w:val="bottom"/>
            <w:tcBorders>
              <w:top w:val="single" w:sz="8" w:color="auto"/>
            </w:tcBorders>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$125.00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Historical net tangible book value per ADS as of March 31, 2026</w:t>
            </w:r>
          </w:p>
        </w:tc>
        <w:tc>
          <w:tcPr>
            <w:tcW w:w="780" w:type="dxa"/>
            <w:vAlign w:val="bottom"/>
            <w:gridSpan w:val="4"/>
          </w:tcPr>
          <w:p>
            <w:pPr>
              <w:jc w:val="right"/>
              <w:ind w:right="265"/>
              <w:spacing w:after="0"/>
              <w:rPr>
                <w:sz w:val="20"/>
                <w:szCs w:val="20"/>
                <w:color w:val="auto"/>
              </w:rPr>
            </w:pPr>
            <w:r>
              <w:rPr>
                <w:rFonts w:ascii="Times New Roman" w:cs="Times New Roman" w:eastAsia="Times New Roman" w:hAnsi="Times New Roman"/>
                <w:sz w:val="14"/>
                <w:szCs w:val="14"/>
                <w:color w:val="auto"/>
              </w:rPr>
              <w:t>€ 5.10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$ 5.87</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80" w:type="dxa"/>
            <w:vAlign w:val="bottom"/>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Decrease in net tangible book value per ADS attributable to the Royalty Certificate</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Repurchase</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(0.03)</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(0.03)</w:t>
            </w: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 adjusted net tangible book value per ADS as of March 31, 2026</w:t>
            </w: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80" w:type="dxa"/>
            <w:vAlign w:val="bottom"/>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Increase in as adjusted net tangible book value per ADS attributable to new investors</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participating in this offering</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7.37</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8.39</w:t>
            </w: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Pro forma as adjusted net tangible book value per ADS as of March 31, 2026 after giving</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effect to this offering</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5"/>
                <w:szCs w:val="15"/>
                <w:color w:val="auto"/>
              </w:rPr>
            </w:pPr>
          </w:p>
        </w:tc>
        <w:tc>
          <w:tcPr>
            <w:tcW w:w="700" w:type="dxa"/>
            <w:vAlign w:val="bottom"/>
            <w:gridSpan w:val="3"/>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ADS to investors participating in this offering</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97.27</w:t>
            </w: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If we issue 960,000 additional ADSs pursuant to the exercise in full of the underwriters’ option, the pro forma as adjusted net tangible book value after this offering would be €13.46 ($15.38) per ADS, the increase in the as adjusted net tangible book value to existing shareholders would be €8.38 ($9.55) per ADS, and the dilution to investors participating in this offering would be €96.25 ($109.62) per ADS.</w:t>
      </w:r>
    </w:p>
    <w:p>
      <w:pPr>
        <w:spacing w:after="0" w:line="136"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securityholders. To the extent that we issue additional ordinary shares under</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our equity incentive plans, pursuant to draws under our existing equity line facility, through the establishment of an at-the-market program, or upon the exercise of share warrants, there will be further dilution to investors in this offering.</w:t>
      </w:r>
    </w:p>
    <w:p>
      <w:pPr>
        <w:spacing w:after="0" w:line="125"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Except as otherwise noted in this prospectus supplement, the number of ordinary shares (including in the form of ADSs) that will be outstanding after this offering is based on 79,291,188 ordinary shares outstanding as of March 31, 2026, and excludes:</w:t>
      </w:r>
    </w:p>
    <w:p>
      <w:pPr>
        <w:spacing w:after="0" w:line="52" w:lineRule="exact"/>
        <w:rPr>
          <w:sz w:val="20"/>
          <w:szCs w:val="20"/>
          <w:color w:val="auto"/>
        </w:rPr>
      </w:pPr>
    </w:p>
    <w:p>
      <w:pPr>
        <w:ind w:left="2100" w:right="599" w:hanging="328"/>
        <w:spacing w:after="0" w:line="283"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277,204 ordinary shares issuable upon the exercise of share warrants (BSA) outstanding as of March 31, 2026 at a weighted-average exercise price of €16.26 per ordinary share (or $18.70 based on the exchange rate in effect as of March 31, 2026);</w:t>
      </w:r>
    </w:p>
    <w:p>
      <w:pPr>
        <w:spacing w:after="0" w:line="51"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205,139 ordinary shares issuable upon the exercise of founder’s share warrants (BCE) outstanding as of March 31, 2026 at a weighted-average exercise price of €10.20 per ordinary share (or $11.73 based on the exchange rate in effect as of March 31, 2026);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8,083,287 ordinary shares issuable upon vesting of free shares (AGAs) outstanding as of March 31, 2026.</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Except as otherwise noted, the information in this prospectus supplement assumes:</w:t>
      </w:r>
    </w:p>
    <w:p>
      <w:pPr>
        <w:spacing w:after="0" w:line="102" w:lineRule="exact"/>
        <w:rPr>
          <w:sz w:val="20"/>
          <w:szCs w:val="20"/>
          <w:color w:val="auto"/>
        </w:rPr>
      </w:pPr>
    </w:p>
    <w:p>
      <w:pPr>
        <w:ind w:left="2100" w:hanging="328"/>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BSA and BCE or vesting of the AGAs listed above; and</w:t>
      </w:r>
    </w:p>
    <w:p>
      <w:pPr>
        <w:spacing w:after="0" w:line="102" w:lineRule="exact"/>
        <w:rPr>
          <w:rFonts w:ascii="Times New Roman" w:cs="Times New Roman" w:eastAsia="Times New Roman" w:hAnsi="Times New Roman"/>
          <w:sz w:val="14"/>
          <w:szCs w:val="14"/>
          <w:color w:val="auto"/>
        </w:rPr>
      </w:pPr>
    </w:p>
    <w:p>
      <w:pPr>
        <w:ind w:left="5520" w:right="499" w:hanging="3748"/>
        <w:spacing w:after="0" w:line="456" w:lineRule="auto"/>
        <w:tabs>
          <w:tab w:leader="none" w:pos="211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issuance by us of additional ADSs pursuant to the exercise of the underwriters’ option to purchase additional ADSs in this offering. S-16</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9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following is a description of the material U.S. federal income tax consequences to the U.S. Holders described below of acquiring, owning and disposing of the ADSs acquired pursuant to this offering. It is not a comprehensive description of all tax considerations that may be relevant to a particular person’s decision to acquire securities. This discussion applies only to U.S. Holders that hold ADSs as “capital assets” (generally, property held for investment) under the U.S. Internal Revenue Code of 1986, as amended (the “Code”). In addition, it does not describe all of the tax considerations that may be relevant in light of a U.S. Holder’s particular circumstances, including U.S. federal estate and gift taxes, the Medicare contribution tax on net investment income, alternative minimum tax considerations, the special tax accounting rules under Section 451(b) of the Code, any state, local, or non-U.S. tax considerations, and tax considerations applicable to U.S. Holders subject to special rules, including, without limitation:</w:t>
      </w:r>
    </w:p>
    <w:p>
      <w:pPr>
        <w:spacing w:after="0" w:line="71" w:lineRule="exact"/>
        <w:rPr>
          <w:sz w:val="20"/>
          <w:szCs w:val="20"/>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financial institutions;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who use a mark-to-market method of tax accounting;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 or currencies;</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ADSs as part of a hedging transaction, “straddle,” wash sale, conversion transaction or integrated transaction or persons entering into a constructive sale with respect to the ADSs;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 grantor trusts or other trusts;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for U.S. federal income tax purposes is not the U.S. dollar;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expatriates of the United States;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exempt entities, including “individual retirement accounts” and “Roth IRAs”;</w:t>
      </w:r>
    </w:p>
    <w:p>
      <w:pPr>
        <w:spacing w:after="0" w:line="102" w:lineRule="exact"/>
        <w:rPr>
          <w:rFonts w:ascii="Times New Roman" w:cs="Times New Roman" w:eastAsia="Times New Roman" w:hAnsi="Times New Roman"/>
          <w:sz w:val="14"/>
          <w:szCs w:val="14"/>
          <w:color w:val="auto"/>
        </w:rPr>
      </w:pPr>
    </w:p>
    <w:p>
      <w:pPr>
        <w:ind w:left="2100" w:right="679" w:hanging="328"/>
        <w:spacing w:after="0" w:line="283"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classified as partnerships or other pass-through entities for U.S. federal income tax purposes (and investors therein);</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received ADSs as compensation for the performance of services;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ten percent or more of our shares (by vote or value);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ADSs in connection with a trade or business, permanent establishment, or fixed base outside the United States.</w:t>
      </w:r>
    </w:p>
    <w:p>
      <w:pPr>
        <w:spacing w:after="0" w:line="176"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If an entity or arrangement that is classified as a partnership for U.S. federal income tax purposes holds the ADSs, the U.S. federal income tax treatment of a partner in that partnership will generally depend on the status of the partner and the activities of the partnership. Entities or arrangements treated as partnerships holding the ADSs and partners in such partnerships are encouraged to consult their own tax advisers as to the particular U.S. federal income tax consequences of acquiring, owning, and disposing of the ADSs.</w:t>
      </w:r>
    </w:p>
    <w:p>
      <w:pPr>
        <w:spacing w:after="0" w:line="141"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This description is based on the Code, existing, proposed and temporary U.S. Treasury Regulations promulgated thereunder and administrative and judicial interpretations thereof, in each case as in effect and available on the date hereof. All of the foregoing is subject to change, which change could apply retroactively, and to differing interpretations, all of which could affect the tax considerations described below. No rulings have been sought from the U.S. Internal Revenue Service (the “IRS”) regarding the matters discussed herein and there can be no assurance that the IRS will not take a contrary position concerning the tax consequences of the acquisition, ownership and disposition of the ADSs or that such a position will not be sustained. U.S. Holders should consult their own tax advisers concerning the U.S. federal, state, local and non-U.S. tax consequences of acquiring, owning, and disposing of the ADSs in their particular circumstances.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As used for purposes of this section “—Material U.S. Federal Income Tax Considerations,” a “U.S. Holder” is a holder who, for U.S. federal income tax purposes, is a beneficial owner of the ADSs that is an initial purchaser of the ADSs sold in this offering of our ADSs in the United States and is:</w:t>
      </w:r>
    </w:p>
    <w:p>
      <w:pPr>
        <w:spacing w:after="0" w:line="62" w:lineRule="exact"/>
        <w:rPr>
          <w:sz w:val="20"/>
          <w:szCs w:val="20"/>
          <w:color w:val="auto"/>
        </w:rPr>
      </w:pPr>
    </w:p>
    <w:p>
      <w:pPr>
        <w:ind w:left="2100" w:hanging="328"/>
        <w:spacing w:after="0"/>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in or under the laws of the United States, any state therein or the District of Columbia;</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whose income is eligible for inclusion in gross income for U.S. federal income tax purposes, regardless of its source; or</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a U.S. court is able to exercise primary supervision over the trust’s administration and one or more United States persons (as such term is defined under the Code) have authority to control all substantial decisions of the trust, or (B) the trust has a valid election in place under applicable U.S. Treasury Regulations to treat the trust as a United States person.</w:t>
      </w:r>
    </w:p>
    <w:p>
      <w:pPr>
        <w:spacing w:after="0" w:line="136"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The discussion below assumes that the representations contained in the depositary agreement are true and that the obligations in the depositary agreement and any related agreement will be complied with in accordance with its terms. For U.S. federal income tax purposes, it is generally expected that a U.S. Holder of ADSs will be treated as the beneficial owner of the underlying ordinary shares represented by the ADSs. The remainder of this discussion assumes that a U.S. Holder of our ADSs will be treated in this manner. Accordingly, deposits or withdrawals of ADSs for ordinary shares will generally not be subject to U.S. federal income tax.</w:t>
      </w:r>
    </w:p>
    <w:p>
      <w:pPr>
        <w:spacing w:after="0" w:line="139" w:lineRule="exact"/>
        <w:rPr>
          <w:sz w:val="20"/>
          <w:szCs w:val="20"/>
          <w:color w:val="auto"/>
        </w:rPr>
      </w:pPr>
    </w:p>
    <w:p>
      <w:pPr>
        <w:ind w:left="1360" w:right="4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U.S. Holders are encouraged to consult their own tax advisers concerning the U.S. federal, state, local and foreign tax consequences of acquiring, owning and disposing of the ADSs in their particular circumstances.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Taxation of Distributions</w:t>
      </w:r>
    </w:p>
    <w:p>
      <w:pPr>
        <w:spacing w:after="0" w:line="9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Subject to the passive foreign investment company (“PFIC”) rules described below, distributions paid on the ADSs, other than certain pro rata distributions of the ADSs, will generally be treated as dividends to the extent paid out of our current or accumulated earnings and profits (as determined under U.S. federal income tax principles). We do not maintain calculations of our earnings and profits under U.S. federal income tax principles, and so we expect that distributions generally will be reported to U.S. Holders as dividends. Subject to applicable limitations, dividends paid by a “qualified foreign corporation” are eligible for taxation at a preferential capital gains rate rather than the marginal tax rates generally applicable to ordinary income provided that certain requirements are met. However, if we are a PFIC (or treated as a PFIC with respect to the U.S. Holder) for the taxable year in which the dividend is paid or the preceding taxable year (see discussion below under “Passive Foreign Investment Company Rules”), we will not be treated as a qualified foreign corporation, and therefore the preferential capital gains tax rate described above will not apply. Each U.S. Holder is advised to consult its tax advisors regarding the availability of the preferential tax rate on dividends with regard to its particular circumstances.</w:t>
      </w:r>
    </w:p>
    <w:p>
      <w:pPr>
        <w:spacing w:after="0" w:line="144"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A non-U.S. corporation (other than a corporation classified as a PFIC for the taxable year in which the dividend is paid or the preceding taxable year) generally will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provision; or (ii) with respect to any dividend it pays on shares that are readily tradable on an established securities market in the United States. We believe that we qualify as a resident of France for the purposes of, and are eligible for the benefits of, the income tax treaty between France and the United States, which the IRS has determined is satisfactory for purposes of the qualified dividend rules, and that it includes an exchange of information provision, although there can be no assurance in this regard. Further, our ADSs will generally be considered to be readily tradable on an established securities market in the United States, including the Nasdaq Global Market. Therefore, subject to the discussion below under “Passive Foreign Investment</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Company Rules,” if the income tax treaty between France and the United States is applicable, or if the ADSs are readily tradable on an established securities market in the United States, dividends paid on the ADSs will generally be “qualified dividend income” subject to lower applicable long-term capital gain rate in the hands of certain non-corporate U.S. Holders including individuals, provided that certain conditions are met, including conditions relating to the holding period and the absence of certain risk reduction transactions.</w:t>
      </w:r>
    </w:p>
    <w:p>
      <w:pPr>
        <w:spacing w:after="0" w:line="141"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A U.S. Holder must include the gross amount of a dividend without reduction for amounts withheld by us in respect of French income taxes (see “—Material French Income Tax Considerations”), even though the U.S. Holder did not in fact receive the amount associated with the withheld French tax. The amount of the dividend will be treated as foreign-source dividend income to U.S. Holders and will not be eligible for the dividends-received deduction generally available to U.S. corporations under the Code. Dividends generally will be included in a U.S. Holder’s income on the date of the U.S. Holder’s receipt (or deemed receipt) of the dividend. The amount of any distribution of property other than cash (excluding certain pro rata distributions of ADSs or rights to acquire ADSs) will be the fair market value of such property on the date of the distribution. The amount of any dividend income paid in euros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48"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Subject to applicable limitations, some of which vary depending upon the U.S. Holder’s particular circumstances, French income taxes withheld from dividends on the ADSs at a rate not exceeding the rate provided by the income tax treaty between France and the United States generally will be creditable against the U.S. Holder’s U.S. federal income tax liability. Dividend distributions with respect to the ADSs generally will be treated as “passive category” income from sources outside the United States for purposes of determining a U.S. Holder’s U.S. foreign tax credit limitation.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French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 of the ADSs</w:t>
      </w:r>
    </w:p>
    <w:p>
      <w:pPr>
        <w:spacing w:after="0" w:line="94" w:lineRule="exact"/>
        <w:rPr>
          <w:sz w:val="20"/>
          <w:szCs w:val="20"/>
          <w:color w:val="auto"/>
        </w:rPr>
      </w:pPr>
    </w:p>
    <w:p>
      <w:pPr>
        <w:jc w:val="both"/>
        <w:ind w:left="1360" w:right="299" w:firstLine="343"/>
        <w:spacing w:after="0" w:line="274" w:lineRule="auto"/>
        <w:rPr>
          <w:sz w:val="20"/>
          <w:szCs w:val="20"/>
          <w:color w:val="auto"/>
        </w:rPr>
      </w:pPr>
      <w:r>
        <w:rPr>
          <w:rFonts w:ascii="Times New Roman" w:cs="Times New Roman" w:eastAsia="Times New Roman" w:hAnsi="Times New Roman"/>
          <w:sz w:val="13"/>
          <w:szCs w:val="13"/>
          <w:color w:val="auto"/>
        </w:rPr>
        <w:t>Subject to the PFIC rules described below, a U.S. Holder generally will recognize gain or loss for U.S. federal income tax purposes upon the sale, exchange or other taxable disposition of the ADSs in an amount equal to the difference between the U.S. dollar value of the amount realized from such sale or exchange and the U.S. Holder’s tax basis for those ADSs. Subject to the PFIC rules described below, this gain or loss generally will be a capital gain or loss. The tax basis in an ADS generally will be equal to the cost of such ADS. Capital gain from the sale, exchange or other taxable disposition of ADSs of a non-corporate U.S. Holder is generally eligible for a preferential rate of taxation applicable to capital gains, if the non-corporate U.S.</w:t>
      </w:r>
    </w:p>
    <w:p>
      <w:pPr>
        <w:spacing w:after="0" w:line="3" w:lineRule="exact"/>
        <w:rPr>
          <w:sz w:val="20"/>
          <w:szCs w:val="20"/>
          <w:color w:val="auto"/>
        </w:rPr>
      </w:pPr>
    </w:p>
    <w:p>
      <w:pPr>
        <w:jc w:val="both"/>
        <w:ind w:left="1360" w:right="459"/>
        <w:spacing w:after="0" w:line="256" w:lineRule="auto"/>
        <w:rPr>
          <w:sz w:val="20"/>
          <w:szCs w:val="20"/>
          <w:color w:val="auto"/>
        </w:rPr>
      </w:pPr>
      <w:r>
        <w:rPr>
          <w:rFonts w:ascii="Times New Roman" w:cs="Times New Roman" w:eastAsia="Times New Roman" w:hAnsi="Times New Roman"/>
          <w:sz w:val="14"/>
          <w:szCs w:val="14"/>
          <w:color w:val="auto"/>
        </w:rPr>
        <w:t>Holder’s holding period determined at the time of such sale, exchange or other taxable disposition for such ADSs exceeds one year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such gain is long-term taxable gain). The deductibility of capital losses is subject to limitations for U.S. federal income tax purposes. Any such gain or loss that a U.S. Holder recognizes generally will be treated as U.S. source income or loss for foreign tax credit limitation purposes.</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ADSs that are traded on an established securities market, provided the election is applied consistently from year to year. Such election may not be changed without the consent of the IRS. For an accrual basis taxpayer who does not make such an election, units of foreign currency paid or received are</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Rules</w:t>
      </w:r>
    </w:p>
    <w:p>
      <w:pPr>
        <w:spacing w:after="0" w:line="94"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(generally determined on the basis of a weighted quarterly average) consist of assets that produce, or are held for the production of, “passive income.” Passive income generally includes dividends, interest, gains from the sale or exchange of investment property and rents or royalties other than rents or royalties which are received from unrelated parties in connection with the active conduct of a trade or business. Passive assets include, among others, cash and assets readily convertible into cash, while our goodwill and other unbooked intangibles associated with active business activities may generally be treated as non-passive assets. In addition, for purposes of the above calculations, a non-U.S. corporation that owns, directly or indirectly, at least 25% by value of the equity interests of another corporation is treated as if it held its proportionate share of the assets of the other corporation, and received directly its proportionate share of the income of the other corporation. If a corporation is treated as a PFIC with respect to a U.S. Holder for any taxable year, the corporation will continue to be treated as a PFIC with respect to that U.S. Holder in all succeeding taxable years during which the U.S. Holder holds the ADSs, regardless of whether the corporation continues to meet the PFIC requirements in such years, unless certain elections are made.</w:t>
      </w:r>
    </w:p>
    <w:p>
      <w:pPr>
        <w:spacing w:after="0" w:line="146"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Based on our analysis of our financial statements, activities and relevant market and shareholder data, we do not believe that we were a PFIC for the taxable year ended December 31, 2025. The determination of whether we are a PFIC is a fact-intensive determination made on an annual basis and the applicable law is subject to varying interpretation. Whether we are a PFIC for any taxable year will depend on the composition of our income and the composition, nature and value of our assets from time to time (including the value of our goodwill, which may be determined by reference to the value of our ADSs, which could fluctuate considerably). We currently do not generate product revenues and therefore we may be a PFIC for any taxable year in which we do not generate sufficient amounts of other non-passive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or that the IRS will not successfully challenge our position.</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If we are a PFIC for any taxable year during which a U.S. Holder holds the ADSs, the U.S. Holder may be subject to adverse tax consequences, regardless of whether we remain a PFIC. Generally, gain recognized upon a disposition (including, under certain circumstances, a pledge) of the ADSs by the U.S. Holder would be allocated ratably over the U.S. Holder’s holding period for such ADSs.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would be subject to an interest charge on the resulting tax deemed deferred with respect to each such other taxable year. Further, to the extent that any distribution received by a U.S. Holder on its ADSs exceeds 125% of the average of the annual distributions on such ADSs received by the U.S. Holder during the (i) preceding three years or (ii) the U.S. Holder’s holding period, whichever is shorter, that distribution would be subject to taxation in the same manner described immediately above with respect to gain on disposition.</w:t>
      </w:r>
    </w:p>
    <w:p>
      <w:pPr>
        <w:spacing w:after="0" w:line="144"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Alternatively, if we are a PFIC and if the ADSs are “regularly traded” on a “qualified exchange,” a U.S. Holder could make a mark-to-market election that would result in tax treatment different from the general tax treatment described in the preceding paragraph. The ADSs would be treated as “regularly traded” in any calendar</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99"/>
        <w:spacing w:after="0" w:line="262" w:lineRule="auto"/>
        <w:rPr>
          <w:sz w:val="20"/>
          <w:szCs w:val="20"/>
          <w:color w:val="auto"/>
        </w:rPr>
      </w:pPr>
      <w:r>
        <w:rPr>
          <w:rFonts w:ascii="Times New Roman" w:cs="Times New Roman" w:eastAsia="Times New Roman" w:hAnsi="Times New Roman"/>
          <w:sz w:val="14"/>
          <w:szCs w:val="14"/>
          <w:color w:val="auto"/>
        </w:rPr>
        <w:t xml:space="preserve">year in which more than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quantity of the ADSs are traded on a qualified exchange, including the Nasdaq Global Market, on at least 15 days during each calendar quarter. The ADSs are listed on the Nasdaq Global Market, and we expect, although no assurance can be given, that they will be regularly traded on the Nasdaq Global Market. U.S. Holders should consult with their own tax advisors regarding potential availability of the mark-to-market election.</w:t>
      </w:r>
    </w:p>
    <w:p>
      <w:pPr>
        <w:spacing w:after="0" w:line="14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these income or loss amounts.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w:t>
      </w:r>
    </w:p>
    <w:p>
      <w:pPr>
        <w:spacing w:after="0" w:line="144"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A timely election to treat a PFIC as a qualified electing fund under Section 1295 of the Code (“QEF Election”) would result in alternative treatment. If a U.S. Holder makes a QEF Election for the first tax year of such U.S. Holder’s holding period in which we are classified as a PFIC, then such U.S. Holder generally would not be subject to the PFIC rules described above. Instead, a U.S. Holder that makes a timely and effective QEF Election will currently include in gross income such U.S. Holder’s (i) pro rata share of our ordinary earnings as ordinary income and (ii) pro rata share of our net capital gain as long-term capital gain, regardless of whether we have made any distributions of such earnings or gain. The U.S. Holder’s basis in its ADSs would be increased to reflect the amount of such income inclusions. Generally, for this purpose, “ordinary earnings” are the excess of our (a) “earnings and profits” over (b) net capital gain, and “net capital gain” is the excess of our (a) net long-term capital gain over (b) net short-term capital loss.</w:t>
      </w:r>
    </w:p>
    <w:p>
      <w:pPr>
        <w:spacing w:after="0" w:line="147"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A U.S. Holder that has made such a timely and effective QEF Election generally may receive a distribution tax-free as a return of capital to the extent that such distribution represents “earnings and profits” that were previously included in income by the U.S. Holder because of such QEF Election and such distribution will reduce such U.S. holder’s adjusted tax basis in our ADSs to reflect the amount allowed as a tax-free distribution because of such QEF Election. A U.S. Holder that makes a QEF Election would generally recognize capital gain or loss on the sale, exchange or other taxable disposition of its ADSs</w:t>
      </w:r>
      <w:r>
        <w:rPr>
          <w:rFonts w:ascii="Times New Roman" w:cs="Times New Roman" w:eastAsia="Times New Roman" w:hAnsi="Times New Roman"/>
          <w:sz w:val="14"/>
          <w:szCs w:val="14"/>
          <w:b w:val="1"/>
          <w:bCs w:val="1"/>
          <w:color w:val="auto"/>
        </w:rPr>
        <w:t>.</w:t>
      </w:r>
    </w:p>
    <w:p>
      <w:pPr>
        <w:spacing w:after="0" w:line="141"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However, a U.S. Holder will only be able to make a QEF Election if we provide such U.S. Holder with certain tax information annually, and we may determine not to provide such information. Furthermore, if the IRS determines that we were a PFIC for a year with respect to which we had determined that we were not (or believed we were not) a PFIC, it might be too late for a U.S. Holder to make a timely QEF Election, unless the U.S. Holder qualifies under applicable U.S. Treasury Regulations to make a retroactive (late) election. U.S. Holders should consult their own tax advisors regarding the making of any such QEF Election.</w:t>
      </w:r>
    </w:p>
    <w:p>
      <w:pPr>
        <w:spacing w:after="0" w:line="141" w:lineRule="exact"/>
        <w:rPr>
          <w:sz w:val="20"/>
          <w:szCs w:val="20"/>
          <w:color w:val="auto"/>
        </w:rPr>
      </w:pPr>
    </w:p>
    <w:p>
      <w:pPr>
        <w:ind w:left="1360" w:right="359" w:firstLine="343"/>
        <w:spacing w:after="0" w:line="324" w:lineRule="auto"/>
        <w:rPr>
          <w:sz w:val="20"/>
          <w:szCs w:val="20"/>
          <w:color w:val="auto"/>
        </w:rPr>
      </w:pPr>
      <w:r>
        <w:rPr>
          <w:rFonts w:ascii="Times New Roman" w:cs="Times New Roman" w:eastAsia="Times New Roman" w:hAnsi="Times New Roman"/>
          <w:sz w:val="13"/>
          <w:szCs w:val="13"/>
          <w:color w:val="auto"/>
        </w:rPr>
        <w:t>In addition, if we are a PFIC or, with respect to particular U.S. Holders, are treated as a PFIC for the taxable year in which we paid a dividend or for the prior taxable year, the preferential rates discussed above with respect to dividends paid to certain non-corporate U.S. Holders would not apply.</w:t>
      </w:r>
    </w:p>
    <w:p>
      <w:pPr>
        <w:spacing w:after="0" w:line="101"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If a U.S. Holder owns ADSs during any year in which we are a PFIC, the holder generally must file an IRS Form 8621, or such other form as is required by the U.S. Treasury Department, generally with the holder’s federal income tax return for that year.</w:t>
      </w:r>
    </w:p>
    <w:p>
      <w:pPr>
        <w:spacing w:after="0" w:line="125"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4"/>
          <w:szCs w:val="14"/>
          <w:color w:val="auto"/>
        </w:rPr>
        <w:t>U.S. Holders should consult their tax advisers regarding whether we are or may become a PFIC and the potential application of the PFIC rules.</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Payments of distributions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1" w:lineRule="exact"/>
        <w:rPr>
          <w:sz w:val="20"/>
          <w:szCs w:val="20"/>
          <w:color w:val="auto"/>
        </w:rPr>
      </w:pPr>
    </w:p>
    <w:p>
      <w:pPr>
        <w:ind w:left="1360" w:right="279" w:firstLine="343"/>
        <w:spacing w:after="0" w:line="324" w:lineRule="auto"/>
        <w:rPr>
          <w:sz w:val="20"/>
          <w:szCs w:val="20"/>
          <w:color w:val="auto"/>
        </w:rPr>
      </w:pPr>
      <w:r>
        <w:rPr>
          <w:rFonts w:ascii="Times New Roman" w:cs="Times New Roman" w:eastAsia="Times New Roman" w:hAnsi="Times New Roman"/>
          <w:sz w:val="13"/>
          <w:szCs w:val="13"/>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With Respect to Foreign Financial Assets</w:t>
      </w:r>
    </w:p>
    <w:p>
      <w:pPr>
        <w:spacing w:after="0" w:line="94" w:lineRule="exact"/>
        <w:rPr>
          <w:sz w:val="20"/>
          <w:szCs w:val="20"/>
          <w:color w:val="auto"/>
        </w:rPr>
      </w:pPr>
    </w:p>
    <w:p>
      <w:pPr>
        <w:ind w:left="1360" w:right="499" w:firstLine="343"/>
        <w:spacing w:after="0" w:line="259" w:lineRule="auto"/>
        <w:rPr>
          <w:sz w:val="20"/>
          <w:szCs w:val="20"/>
          <w:color w:val="auto"/>
        </w:rPr>
      </w:pPr>
      <w:r>
        <w:rPr>
          <w:rFonts w:ascii="Times New Roman" w:cs="Times New Roman" w:eastAsia="Times New Roman" w:hAnsi="Times New Roman"/>
          <w:sz w:val="14"/>
          <w:szCs w:val="14"/>
          <w:color w:val="auto"/>
        </w:rPr>
        <w:t>Certain U.S. Holders who are individuals may be required to report information relating to their ownership of an interest in certain foreign financial assets, including stock of a non-U.S. person, generally on an IRS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ADSs. U.S. Holders should consult their tax advisers regarding their reporting obligations with respect to the ADSs.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French Income Tax Considerations</w:t>
      </w:r>
    </w:p>
    <w:p>
      <w:pPr>
        <w:spacing w:after="0" w:line="94"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following describes the material French income tax consequences to U.S. Holders (as defined below for the purposes of this section) of purchasing, owning and disposing of the ADSs and, unless otherwise noted, this discussion is the opinion of Orrick, our French tax counsel, insofar as it relates to matters of French tax law and legal conclusions with respect to those matters.</w:t>
      </w:r>
    </w:p>
    <w:p>
      <w:pPr>
        <w:spacing w:after="0" w:line="136"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All of the following is subject to change. Such changes could apply retroactively and could affect the consequences described below.</w:t>
      </w:r>
    </w:p>
    <w:p>
      <w:pPr>
        <w:spacing w:after="0" w:line="176"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tax guidelines issued by the French tax authorities in force as of the date hereof (the “Treaty”).</w:t>
      </w:r>
    </w:p>
    <w:p>
      <w:pPr>
        <w:spacing w:after="0" w:line="1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For the purposes of this discussion of French income tax consequences, the term “U.S. Holder” is a holder who, for U.S. federal income tax purposes, is a beneficial owner of the ADSs that is an initial purchaser of the ADSs sold in this offering of our ADSs in the United States and is: (i) an individual who is a citizen or resident of the United States, (ii) a corporation or other entity taxable as a corporation, created or organized in or under the laws of the United States, any state therein or the District of Columbia, (iii) an estate whose income is eligible for inclusion in gross income for U.S. federal income tax purposes, regardless of its source, or (iv) a trust, if (a) a U.S. court is able to exercise primary supervision over the trust’s administration and one or more U.S. persons have the authority to control all substantial decisions of the trust or (b) the trust has a valid election in effect under applicable U.S. Treasury Regulations to treat the trust as a United States person.</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If a partnership (or any other entity treated as partnership for U.S. federal income tax purposes) holds ADSs, the tax treatment of the partnership and a partner in such partnership generally will depend upon the status of the partner and the activities of the partnership. If a U.S. Holder is a partnership or a partner in a partnership that holds ADSs, such holder is urged to consult its own tax adviser regarding the specific tax consequences of acquiring, owning and disposing of securities.</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w:t>
      </w:r>
    </w:p>
    <w:p>
      <w:pPr>
        <w:spacing w:after="0" w:line="136"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warrants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spacing w:after="0" w:line="144"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U.S. Holders are urged to consult their own tax advisors regarding the tax consequences of the purchase, ownership and disposition of securities in light of their particular circumstances, especially with regard to the “Limitations on Benefits” provision.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Assets held through a Trust</w:t>
      </w:r>
    </w:p>
    <w:p>
      <w:pPr>
        <w:spacing w:after="0" w:line="94"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France introduced a comprehensive set of tax rules applicable to French assets that are held by or in foreign trusts. These rules, among other things, provide for the inclusion of trust assets in the settlor’s net assets for purpose of applying the French real estate wealth tax for the application of French gift and inheritance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ADSs held in trusts. If ADSs are held in trust, the settlor, trustee and beneficiary are urged to consult their own tax adviser regarding the specific tax consequences of acquiring, owning and disposing of ADSs through a trust.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Estate and Gift Taxes</w:t>
      </w:r>
    </w:p>
    <w:p>
      <w:pPr>
        <w:spacing w:after="0" w:line="94"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In general, a transfer of securities by gift or by reason of death of a U.S. Holder that would otherwise be subject to French gift or inheritance tax, respectively, will not be subject to such French tax based on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from December 8, 2004), unless the donor or the transferor is domiciled in France at the time of making the gift or at the time of his or her death, or the securities were used in, or held for use in, the conduct of a business through a permanent establishment or a fixed base in France.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Financial Transactions Tax</w:t>
      </w:r>
    </w:p>
    <w:p>
      <w:pPr>
        <w:spacing w:after="0" w:line="92" w:lineRule="exact"/>
        <w:rPr>
          <w:sz w:val="20"/>
          <w:szCs w:val="20"/>
          <w:color w:val="auto"/>
        </w:rPr>
      </w:pPr>
    </w:p>
    <w:p>
      <w:pPr>
        <w:ind w:left="1360" w:right="259" w:firstLine="343"/>
        <w:spacing w:after="0" w:line="228" w:lineRule="auto"/>
        <w:rPr>
          <w:sz w:val="20"/>
          <w:szCs w:val="20"/>
          <w:color w:val="auto"/>
        </w:rPr>
      </w:pPr>
      <w:r>
        <w:rPr>
          <w:rFonts w:ascii="Times New Roman" w:cs="Times New Roman" w:eastAsia="Times New Roman" w:hAnsi="Times New Roman"/>
          <w:sz w:val="14"/>
          <w:szCs w:val="14"/>
          <w:color w:val="auto"/>
        </w:rPr>
        <w:t xml:space="preserve">Under Article 235 </w:t>
      </w:r>
      <w:r>
        <w:rPr>
          <w:rFonts w:ascii="Times New Roman" w:cs="Times New Roman" w:eastAsia="Times New Roman" w:hAnsi="Times New Roman"/>
          <w:sz w:val="14"/>
          <w:szCs w:val="14"/>
          <w:i w:val="1"/>
          <w:iCs w:val="1"/>
          <w:color w:val="auto"/>
        </w:rPr>
        <w:t>ter</w:t>
      </w:r>
      <w:r>
        <w:rPr>
          <w:rFonts w:ascii="Times New Roman" w:cs="Times New Roman" w:eastAsia="Times New Roman" w:hAnsi="Times New Roman"/>
          <w:sz w:val="14"/>
          <w:szCs w:val="14"/>
          <w:color w:val="auto"/>
        </w:rPr>
        <w:t xml:space="preserve"> ZD of the French Tax Code (“FTC”) (</w:t>
      </w:r>
      <w:r>
        <w:rPr>
          <w:rFonts w:ascii="Times New Roman" w:cs="Times New Roman" w:eastAsia="Times New Roman" w:hAnsi="Times New Roman"/>
          <w:sz w:val="14"/>
          <w:szCs w:val="14"/>
          <w:i w:val="1"/>
          <w:iCs w:val="1"/>
          <w:color w:val="auto"/>
        </w:rPr>
        <w:t>Code général des impôts</w:t>
      </w:r>
      <w:r>
        <w:rPr>
          <w:rFonts w:ascii="Times New Roman" w:cs="Times New Roman" w:eastAsia="Times New Roman" w:hAnsi="Times New Roman"/>
          <w:sz w:val="14"/>
          <w:szCs w:val="14"/>
          <w:color w:val="auto"/>
        </w:rPr>
        <w:t>), a financial transaction tax (“FTT”) (</w:t>
      </w:r>
      <w:r>
        <w:rPr>
          <w:rFonts w:ascii="Times New Roman" w:cs="Times New Roman" w:eastAsia="Times New Roman" w:hAnsi="Times New Roman"/>
          <w:sz w:val="14"/>
          <w:szCs w:val="14"/>
          <w:i w:val="1"/>
          <w:iCs w:val="1"/>
          <w:color w:val="auto"/>
        </w:rPr>
        <w:t>taxe sur 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transactions financières</w:t>
      </w:r>
      <w:r>
        <w:rPr>
          <w:rFonts w:ascii="Times New Roman" w:cs="Times New Roman" w:eastAsia="Times New Roman" w:hAnsi="Times New Roman"/>
          <w:sz w:val="14"/>
          <w:szCs w:val="14"/>
          <w:color w:val="auto"/>
        </w:rPr>
        <w:t>) applies, subject to certain conditions and exemptions, to certain acquisitions of equity securities or equivalent instruments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French companies, including ordinary shares (which may be in the form of ADSs), whose market capitalization exceeds €1 billion as of December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of the year preceding the year during which the taxable acquisition takes place, and whose shares</w:t>
      </w:r>
    </w:p>
    <w:p>
      <w:pPr>
        <w:spacing w:after="0" w:line="1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 xml:space="preserve">are admitted to trading on a regulated market within the European Union, the European Economic Area or a foreign regulated market formally recognized as such by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xml:space="preserve"> (“AMF”) (in each case within the meaning of the French Monetary and Financial Code, or the “FMFC”). The tax is currently levied at a rate of 0.4% of the acquisition price of the shares.</w:t>
      </w:r>
    </w:p>
    <w:p>
      <w:pPr>
        <w:spacing w:after="0" w:line="136" w:lineRule="exact"/>
        <w:rPr>
          <w:sz w:val="20"/>
          <w:szCs w:val="20"/>
          <w:color w:val="auto"/>
        </w:rPr>
      </w:pPr>
    </w:p>
    <w:p>
      <w:pPr>
        <w:jc w:val="both"/>
        <w:ind w:left="1360" w:right="339" w:firstLine="343"/>
        <w:spacing w:after="0" w:line="221" w:lineRule="auto"/>
        <w:rPr>
          <w:sz w:val="20"/>
          <w:szCs w:val="20"/>
          <w:color w:val="auto"/>
        </w:rPr>
      </w:pPr>
      <w:r>
        <w:rPr>
          <w:rFonts w:ascii="Times New Roman" w:cs="Times New Roman" w:eastAsia="Times New Roman" w:hAnsi="Times New Roman"/>
          <w:sz w:val="14"/>
          <w:szCs w:val="14"/>
          <w:color w:val="auto"/>
        </w:rPr>
        <w:t>A list of French relevant companies whose market capitalization exceeds €1 billion as of December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of the year preceding the taxation year is published annually by the French tax authorities. The last version of such list was dated December 17, 2025 (BOI-ANNX-000467). It included Abivax SA as its market capitalization exceeded €1.0 billion.</w:t>
      </w:r>
    </w:p>
    <w:p>
      <w:pPr>
        <w:spacing w:after="0" w:line="155"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In addition, according to the French tax authorities’ guidelines, depositary receipts (including ADSs) representing shares issued by a French company are within the scope of the FTT where the underlying shares are admitted to trading on a regulated or recognized market, irrespective of the place where such depositary receipts are issued or traded. Although the Nasdaq Global Market, on which the ADSs are listed, is not currently recognized by the AMF, the ordinary shares represented by the ADSs are themselves admitted to trading on Euronext Paris, which is a recognized regulated market.</w:t>
      </w:r>
    </w:p>
    <w:p>
      <w:pPr>
        <w:spacing w:after="0" w:line="14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Accordingly, acquisitions for consideration of ADSs representing ordinary shares of Abivax should in principle fall within the scope of the FTT, subject to the application of any available exemptions, including notably the primary market transaction exemption.</w:t>
      </w:r>
    </w:p>
    <w:p>
      <w:pPr>
        <w:spacing w:after="0" w:line="12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It is being further noted that concerning ADSs creation, the French tax authorities’ guidelines provide that the acquisition of a share falling within the scope of the French FTT and the subsequent creation and acquisition of an ADSs representing this share, constitute a single transaction, which is subject to French FTT. The French FTT is payable, subject to any applicable exceptions, only when the ADS is acquired.</w:t>
      </w:r>
    </w:p>
    <w:p>
      <w:pPr>
        <w:spacing w:after="0" w:line="136"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If the ADS is created not through the acquisition of an existing share but through the issue of a new share, the acquisition of the ADS could benefit from the primary market exemption.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Registration Duties</w:t>
      </w:r>
    </w:p>
    <w:p>
      <w:pPr>
        <w:spacing w:after="0" w:line="94"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Acquisition of equity or similar securities subject to the abovementioned FTT are exempt from registration taxes provided for by Article 726 of the FTC.</w:t>
      </w:r>
    </w:p>
    <w:p>
      <w:pPr>
        <w:spacing w:after="0" w:line="125"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In the case where the FTT is not applicable, (1) transfers of shares issued by a French company which are listed on a regulated or organized market within the meaning of the FMFC are subject to uncapped registration duties at the rate of 0.1% if the transfer is evidenced by a written statement (“</w:t>
      </w:r>
      <w:r>
        <w:rPr>
          <w:rFonts w:ascii="Times New Roman" w:cs="Times New Roman" w:eastAsia="Times New Roman" w:hAnsi="Times New Roman"/>
          <w:sz w:val="14"/>
          <w:szCs w:val="14"/>
          <w:i w:val="1"/>
          <w:iCs w:val="1"/>
          <w:color w:val="auto"/>
        </w:rPr>
        <w:t>acte</w:t>
      </w:r>
      <w:r>
        <w:rPr>
          <w:rFonts w:ascii="Times New Roman" w:cs="Times New Roman" w:eastAsia="Times New Roman" w:hAnsi="Times New Roman"/>
          <w:sz w:val="14"/>
          <w:szCs w:val="14"/>
          <w:color w:val="auto"/>
        </w:rPr>
        <w:t>”)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As our ordinary shares are listed on Euronext Paris, which is a regulated market within the meaning of the FMFC, their transfer should be subject to uncapped registration duties at the rate of 0.1% only if such transfer is evidenced by a written agreement.</w:t>
      </w:r>
    </w:p>
    <w:p>
      <w:pPr>
        <w:spacing w:after="0" w:line="125"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Although French tax law and the official guidelines published by the French tax authorities are silent regarding the treatment of ADS representing listed shares of a French issuer for registration duties purposes (BOI-ENR-DMTOM-40-10-10-24/04/2024), ADSs should remain outside of the scope of the aforementioned 0.1% registration duties if the transfer is not evidenced by a written agreement. Furthermore, if the transactions in ADSs do not imply a transfer of ownership of the underlying shares they should be outside the scope of the registration duties. In case the transactions in the ADSs imply such a transfer, the 0.1% duty should not apply if the transfer is not evidenced by a written agreement.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Real Estate Wealth Tax</w:t>
      </w:r>
    </w:p>
    <w:p>
      <w:pPr>
        <w:spacing w:after="0" w:line="92" w:lineRule="exact"/>
        <w:rPr>
          <w:sz w:val="20"/>
          <w:szCs w:val="20"/>
          <w:color w:val="auto"/>
        </w:rPr>
      </w:pPr>
    </w:p>
    <w:p>
      <w:pPr>
        <w:jc w:val="both"/>
        <w:ind w:left="1360" w:right="359" w:firstLine="343"/>
        <w:spacing w:after="0" w:line="268" w:lineRule="auto"/>
        <w:rPr>
          <w:sz w:val="20"/>
          <w:szCs w:val="20"/>
          <w:color w:val="auto"/>
        </w:rPr>
      </w:pPr>
      <w:r>
        <w:rPr>
          <w:rFonts w:ascii="Times New Roman" w:cs="Times New Roman" w:eastAsia="Times New Roman" w:hAnsi="Times New Roman"/>
          <w:sz w:val="14"/>
          <w:szCs w:val="14"/>
          <w:color w:val="auto"/>
        </w:rPr>
        <w:t>Since January 1, 2018, the French wealth tax (</w:t>
      </w:r>
      <w:r>
        <w:rPr>
          <w:rFonts w:ascii="Times New Roman" w:cs="Times New Roman" w:eastAsia="Times New Roman" w:hAnsi="Times New Roman"/>
          <w:sz w:val="14"/>
          <w:szCs w:val="14"/>
          <w:i w:val="1"/>
          <w:iCs w:val="1"/>
          <w:color w:val="auto"/>
        </w:rPr>
        <w:t>impôt de solidarité sur la fortune</w:t>
      </w:r>
      <w:r>
        <w:rPr>
          <w:rFonts w:ascii="Times New Roman" w:cs="Times New Roman" w:eastAsia="Times New Roman" w:hAnsi="Times New Roman"/>
          <w:sz w:val="14"/>
          <w:szCs w:val="14"/>
          <w:color w:val="auto"/>
        </w:rPr>
        <w:t>) has been repealed and replaced by the French real estate wealth tax (</w:t>
      </w:r>
      <w:r>
        <w:rPr>
          <w:rFonts w:ascii="Times New Roman" w:cs="Times New Roman" w:eastAsia="Times New Roman" w:hAnsi="Times New Roman"/>
          <w:sz w:val="14"/>
          <w:szCs w:val="14"/>
          <w:i w:val="1"/>
          <w:iCs w:val="1"/>
          <w:color w:val="auto"/>
        </w:rPr>
        <w:t>impôt sur la fortune immobilière</w:t>
      </w:r>
      <w:r>
        <w:rPr>
          <w:rFonts w:ascii="Times New Roman" w:cs="Times New Roman" w:eastAsia="Times New Roman" w:hAnsi="Times New Roman"/>
          <w:sz w:val="14"/>
          <w:szCs w:val="14"/>
          <w:color w:val="auto"/>
        </w:rPr>
        <w:t>). The scope of the French real estate wealth tax is narrowed to real estate assets (and certain assets deemed to be real estate assets) or rights, held directly or indirectly through one or more legal entities and whose net taxable assets amount at least to €1,300,000.</w:t>
      </w:r>
    </w:p>
    <w:p>
      <w:pPr>
        <w:spacing w:after="0" w:line="136"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Broadly, subject to provisions of double tax treaties and to certain exceptions, individuals who are not residents of France for tax purposes within the meaning of Article 4 B of the FTC, are subject to real estate wealth tax in France in respect of the portion of the value of their shares of our Company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Under the Treaty (the provisions of which should be applicable to the real estate wealth tax in France), the French real estate wealth tax will however generally not apply to securities held by an eligible U.S. Holder who is a U.S. resident, as defined above and pursuant to the provisions of the Treaty, provided that such (i) U.S. Holder (a) does not own directly or indirectly more than 25% of the issuer’s financial rights and (b) that the ADSs do not form part of the 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w:t>
      </w:r>
    </w:p>
    <w:p>
      <w:pPr>
        <w:spacing w:after="0" w:line="148"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U.S. Holders are advised to consult their own tax advisor regarding the specific tax consequences which may apply to their particular situation with respect to such French real estate wealth tax.</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Taxation of Dividends</w:t>
      </w:r>
    </w:p>
    <w:p>
      <w:pPr>
        <w:spacing w:after="0" w:line="9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Dividends paid by a French corporation, when their beneficial owners are not French tax residents are generally subject to French withholding tax at a rate of currently (i) 25% for dividends the beneficial owners of which are legal persons which are not French tax residents, and (ii) 12.8% for dividends the beneficial owners of which are individuals who are not French tax residents. Dividends paid by a French corporation in a non-cooperative State or territory, as defined in Article 238-0 A of the FTC, other than those states or territories mentioned in 2° of 2 bis of the same Article, will generally be subject to French withholding tax at a rate of 75% (unless the safeguard clause provided for by Article 187, 2 of the FTC were to apply).</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However, eligible U.S. Holders entitled to Treaty benefits under the “Limitation on Benefits” provision contained in the Treaty who are U.S. residents, as defined pursuant to the provisions of the Treaty, may not be subject to this 12.8%, 25% or 75% withholding tax rate, but may be subject to the withholding tax at a reduced rate (as described below).</w:t>
      </w:r>
    </w:p>
    <w:p>
      <w:pPr>
        <w:spacing w:after="0" w:line="136"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Under the Treaty, the rate of French withholding tax on dividends paid to an eligible U.S. Holder who is a U.S. resident as defined pursuant to the provisions of the Treaty and the beneficial owner of these dividends, whose ownership of the ordinary shares (which may be in the form of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under certain conditions claim a refund from the French tax authorities of the amount withheld in excess of the Treaty rates of 15% or 5%, if any.</w:t>
      </w:r>
    </w:p>
    <w:p>
      <w:pPr>
        <w:spacing w:after="0" w:line="14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advisers regarding their eligibility for Treaty benefits in light of their own particular circumstances.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Dividends paid to an eligible U.S. Holder may immediately be subject to the reduced rates of 5% or 15% provided that:</w:t>
      </w:r>
    </w:p>
    <w:p>
      <w:pPr>
        <w:spacing w:after="0" w:line="102" w:lineRule="exact"/>
        <w:rPr>
          <w:sz w:val="20"/>
          <w:szCs w:val="20"/>
          <w:color w:val="auto"/>
        </w:rPr>
      </w:pPr>
    </w:p>
    <w:p>
      <w:pPr>
        <w:ind w:left="2100" w:right="739" w:hanging="328"/>
        <w:spacing w:after="0" w:line="283" w:lineRule="auto"/>
        <w:tabs>
          <w:tab w:leader="none" w:pos="21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U.S. Holder establishes before the date of payment that it is a U.S. resident under the Treaty by completing and providing the depositary with a treaty form (Form 5000) in accordance with French guidelines (BOI-INT-DG-20-20-20-20-12/09/2012); or</w:t>
      </w:r>
    </w:p>
    <w:p>
      <w:pPr>
        <w:spacing w:after="0" w:line="51" w:lineRule="exact"/>
        <w:rPr>
          <w:rFonts w:ascii="Times New Roman" w:cs="Times New Roman" w:eastAsia="Times New Roman" w:hAnsi="Times New Roman"/>
          <w:sz w:val="14"/>
          <w:szCs w:val="14"/>
          <w:color w:val="auto"/>
        </w:rPr>
      </w:pPr>
    </w:p>
    <w:p>
      <w:pPr>
        <w:ind w:left="2100" w:right="359" w:hanging="328"/>
        <w:spacing w:after="0" w:line="261" w:lineRule="auto"/>
        <w:tabs>
          <w:tab w:leader="none" w:pos="21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or other financial institution managing the securities account in the United States of such U.S. Holder provides the French paying agent, with a document listing certain information about the U.S. Holder and its ordinary shares or ADSs and a certificate (BOI-LETTRE-000138-28/07/2014) whereby the financial institution managing the U.S. Holder’s securities account in the United States takes full responsibility for the accuracy of the information provided in the document.</w:t>
      </w:r>
    </w:p>
    <w:p>
      <w:pPr>
        <w:spacing w:after="0" w:line="141"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Otherwise, dividends paid to a U.S. Holder, if such U.S. Holder is a legal person, will be subject to French withholding tax at the rate of 25%, or 75% if paid to an account situated in a non-cooperative State or territory (as defined in Article 238-0 A of the FTC, but other than those states or territories mentioned in 2° of 2 bis of the same Article 238-0 A of the FTC, unless the safeguard clause provided for by Article 187, 2 of the FTC were to apply), and then reduced at a later date to 5% or 15%, provided that such holder duly completes and provides the French tax authorities with the treaty forms Form 5000 and Form 5001 before December 31 of the year following the year during which the dividend is paid (due to recent case law regarding the statute of limitation for filing a withholding tax claim: U.S. Holders are advised to consult their own tax advisor in this respect).</w:t>
      </w:r>
    </w:p>
    <w:p>
      <w:pPr>
        <w:spacing w:after="0" w:line="14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2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Since the withholding tax rate applicable under French domestic law to U.S. Holders who are individuals does not exceed the cap provided in the Treaty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15%), the 12.8% rate shall apply, without any reduction provided under the Treaty.</w:t>
      </w:r>
    </w:p>
    <w:p>
      <w:pPr>
        <w:spacing w:after="0" w:line="12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 xml:space="preserve">Besides, please note that pursuant to Article 235 </w:t>
      </w:r>
      <w:r>
        <w:rPr>
          <w:rFonts w:ascii="Times New Roman" w:cs="Times New Roman" w:eastAsia="Times New Roman" w:hAnsi="Times New Roman"/>
          <w:sz w:val="14"/>
          <w:szCs w:val="14"/>
          <w:i w:val="1"/>
          <w:iCs w:val="1"/>
          <w:color w:val="auto"/>
        </w:rPr>
        <w:t>quater</w:t>
      </w:r>
      <w:r>
        <w:rPr>
          <w:rFonts w:ascii="Times New Roman" w:cs="Times New Roman" w:eastAsia="Times New Roman" w:hAnsi="Times New Roman"/>
          <w:sz w:val="14"/>
          <w:szCs w:val="14"/>
          <w:color w:val="auto"/>
        </w:rPr>
        <w:t xml:space="preserve"> of the FTC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profit-making position, as well as in the cases set out in Article 235 </w:t>
      </w:r>
      <w:r>
        <w:rPr>
          <w:rFonts w:ascii="Times New Roman" w:cs="Times New Roman" w:eastAsia="Times New Roman" w:hAnsi="Times New Roman"/>
          <w:sz w:val="14"/>
          <w:szCs w:val="14"/>
          <w:i w:val="1"/>
          <w:iCs w:val="1"/>
          <w:color w:val="auto"/>
        </w:rPr>
        <w:t>quater</w:t>
      </w:r>
      <w:r>
        <w:rPr>
          <w:rFonts w:ascii="Times New Roman" w:cs="Times New Roman" w:eastAsia="Times New Roman" w:hAnsi="Times New Roman"/>
          <w:sz w:val="14"/>
          <w:szCs w:val="14"/>
          <w:color w:val="auto"/>
        </w:rPr>
        <w:t xml:space="preserve"> of the FTC. Finance Bill for 2022 extended the deadline to claim the refund (December 31 of the second year following the year of payment instead of three months after the end of the fiscal year following the payment of the income) and clarified the order in which the deferred taxes become due (the forfeiture of the deferral applies in priority to the oldest withholding taxes). Also, pursuant to Article 235 </w:t>
      </w:r>
      <w:r>
        <w:rPr>
          <w:rFonts w:ascii="Times New Roman" w:cs="Times New Roman" w:eastAsia="Times New Roman" w:hAnsi="Times New Roman"/>
          <w:sz w:val="14"/>
          <w:szCs w:val="14"/>
          <w:i w:val="1"/>
          <w:iCs w:val="1"/>
          <w:color w:val="auto"/>
        </w:rPr>
        <w:t>quinquies</w:t>
      </w:r>
      <w:r>
        <w:rPr>
          <w:rFonts w:ascii="Times New Roman" w:cs="Times New Roman" w:eastAsia="Times New Roman" w:hAnsi="Times New Roman"/>
          <w:sz w:val="14"/>
          <w:szCs w:val="14"/>
          <w:color w:val="auto"/>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 on Sale or Other Disposition</w:t>
      </w:r>
    </w:p>
    <w:p>
      <w:pPr>
        <w:spacing w:after="0" w:line="9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As a matter of principle, under French tax law, and provided that Abivax SA is not a real estate company within the meaning of Article 244 bis A of the FTC, a U.S. Holder should not be subject to any French tax on any capital gain from the sale, exchange, repurchase or redemption by us of ADSs, provided such U.S. Holder is not a French tax resident for French tax purposes and has not held more than 25% of our dividend rights, known as “</w:t>
      </w:r>
      <w:r>
        <w:rPr>
          <w:rFonts w:ascii="Times New Roman" w:cs="Times New Roman" w:eastAsia="Times New Roman" w:hAnsi="Times New Roman"/>
          <w:sz w:val="14"/>
          <w:szCs w:val="14"/>
          <w:i w:val="1"/>
          <w:iCs w:val="1"/>
          <w:color w:val="auto"/>
        </w:rPr>
        <w:t>droits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aux bénéfices sociaux</w:t>
      </w:r>
      <w:r>
        <w:rPr>
          <w:rFonts w:ascii="Times New Roman" w:cs="Times New Roman" w:eastAsia="Times New Roman" w:hAnsi="Times New Roman"/>
          <w:sz w:val="14"/>
          <w:szCs w:val="14"/>
          <w:color w:val="auto"/>
        </w:rPr>
        <w:t>” at any time during the preceding five years, either directly or indirectly, and, as relates to individuals, alone or with relatives.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case of redemptions, all or part of the proceeds may, under certain circumstances, be partially or fully qualified as dividends for French domestic tax purposes and therefore be subject to French dividend withholding tax subject to the application of the Treaty.</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As an exception, a U.S. Holder resident, domiciled, established or incorporated in a non-cooperative State or territory as set out in the list referred to in Article 238-0 A of the FTC other than those mentioned in 2° of 2 bis of the same Article should be subject to a 75% withholding tax in France on any such capital gain, regardless of the fraction of the dividend rights it holds, unless the safeguard clause provided by the second paragraph of Article 244 bis B of the FTC were to apply. This list of non-cooperative States or territories was last updated on April 15, 2026, and currently includes Anguilla, Antigua and Barbuda, Guam, US Virgin Islands, Palau, Panama, Russia, American Samoa, Vietnam, Turk and Caicos Islands and Vanuatu. States and territories referred to in Article 238-0 A 2 bis 2° of the FTC, and thus outside of the scope of the provisions of Article 244 bis B of the FTC mentioned in this paragraph, are currently Guam, US Virgin Islands, Palau, Panama, Russia, American Samoa and Vietnam.</w:t>
      </w:r>
    </w:p>
    <w:p>
      <w:pPr>
        <w:spacing w:after="0" w:line="14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In general, 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and subject to the application of the Treaty) of ADSs unless such ADSs form part of the business property of a permanent establishment or fixed base that the U.S. Holder has in France. U.S. Holders who own ADSs through U.S. partnerships that are not resident for Treaty purposes are advised to consult their own tax advisors regarding their French tax treatment and their eligibility for Treaty benefits in light of their own particular circumstances.</w:t>
      </w:r>
    </w:p>
    <w:p>
      <w:pPr>
        <w:spacing w:after="0" w:line="144"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A holder that is not a U.S. resident for Treaty purposes or is not entitled to Treaty benefit (and in both cases is not resident, established or incorporated in a non-cooperative State or territory as set out in the list referred to in Article other than those States or territories mentioned in 2° of 2 bis of the same Article 238-0 A of the FTC, unless the above mentioned safeguard clause were to apply) and has held more than 25% of our dividend rights, known as “</w:t>
      </w:r>
      <w:r>
        <w:rPr>
          <w:rFonts w:ascii="Times New Roman" w:cs="Times New Roman" w:eastAsia="Times New Roman" w:hAnsi="Times New Roman"/>
          <w:sz w:val="14"/>
          <w:szCs w:val="14"/>
          <w:i w:val="1"/>
          <w:iCs w:val="1"/>
          <w:color w:val="auto"/>
        </w:rPr>
        <w:t>droits aux bénéfices sociaux</w:t>
      </w:r>
      <w:r>
        <w:rPr>
          <w:rFonts w:ascii="Times New Roman" w:cs="Times New Roman" w:eastAsia="Times New Roman" w:hAnsi="Times New Roman"/>
          <w:sz w:val="14"/>
          <w:szCs w:val="14"/>
          <w:color w:val="auto"/>
        </w:rPr>
        <w:t>” at any time during the preceding five years, either directly or indirectly, and, as relates to individuals, alone or with relatives, will be subject to a levy in France at the rate of the standard corporate income tax (currently 25%), if such holder is a legal person, or 12.8%, if such holder is an individual subject to the application of any relevant tax treaty.</w:t>
      </w:r>
    </w:p>
    <w:p>
      <w:pPr>
        <w:spacing w:after="0" w:line="144"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For a non-French resident entity that holds more than 25% of our dividend rights and may be subject to French tax on capital gains, Article 244 bis B of the FTC provides under certain conditions for a refund mechanism, allowing an eligible non-French resident corporate investor to claim a refund of the non-resident French capital gains tax to the extent such tax exceeds the amount of the French corporate income tax it would have borne if it had been a French resident. This refund mechanism is available to entities established in (i) an EU Member State or a Member State of the European Economic Area (EEA), other than a non-cooperative State or territory within the meaning of Article 238-0 A of the FTC that has concluded a tax treaty with France that includes an administrative assistance provision to combat tax fraud and tax evasion (an “EU/EEA State”) or (ii) a State, other than a non-cooperative State or territory that has concluded a tax treaty with France that includes an administrative assistance clause regarding the exchange of information aimed at combating tax fraud and tax evasion (a “Treaty State”), provided that the transferor is not effectively involved in the management or control of the entity whose shares are disposed of or redeemed. In addition, Article 244 bis B of the FTC also provides that specific collective investment funds established in EU/EEA States or Treaty States are excluded from the scope of the non-resident capital gain tax mentioned above under certain conditions.</w:t>
      </w:r>
    </w:p>
    <w:p>
      <w:pPr>
        <w:spacing w:after="0" w:line="146"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addition, Article 16 of the Finance Act for 2025 amended the provisions of Article 244 bis B of the FTC as to align with EU law, by allowing non-resident individuals to obtain, upon request to the French tax authorities, the reimbursement of the portion of the tax levy that exceeds the personal income tax they would have been liable for if they had been domiciled in France and had opted for the taxation of their securities income pursuant to the progressive income tax rates (benefiting, where applicable under certain conditions and limitations, from holding period allowances).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Special rules apply to U.S. Holders who are residents of more than one country.</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The discussion above is a summary of the material French tax consequences of an investment in our ADSs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ADSs in light of the investor’s own circumstances.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8"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Leerink Partners LLC, Morgan Stanley &amp; Co. LLC, Piper Sandler &amp; Co.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ADSs (including underlying ordinary shares) set forth opposite its name below.</w:t>
      </w:r>
    </w:p>
    <w:p>
      <w:pPr>
        <w:spacing w:after="0" w:line="147"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50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35"/>
        </w:trPr>
        <w:tc>
          <w:tcPr>
            <w:tcW w:w="5020" w:type="dxa"/>
            <w:vAlign w:val="bottom"/>
            <w:vMerge w:val="continue"/>
          </w:tcPr>
          <w:p>
            <w:pPr>
              <w:spacing w:after="0"/>
              <w:rPr>
                <w:sz w:val="11"/>
                <w:szCs w:val="11"/>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ADSs</w:t>
            </w:r>
          </w:p>
        </w:tc>
        <w:tc>
          <w:tcPr>
            <w:tcW w:w="0" w:type="dxa"/>
            <w:vAlign w:val="bottom"/>
          </w:tcPr>
          <w:p>
            <w:pPr>
              <w:spacing w:after="0"/>
              <w:rPr>
                <w:sz w:val="1"/>
                <w:szCs w:val="1"/>
                <w:color w:val="auto"/>
              </w:rPr>
            </w:pPr>
          </w:p>
        </w:tc>
      </w:tr>
      <w:tr>
        <w:trPr>
          <w:trHeight w:val="159"/>
        </w:trPr>
        <w:tc>
          <w:tcPr>
            <w:tcW w:w="5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Leerink Partners LLC</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2,080,000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Piper Sandler &amp; Co.</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Guggenheim Securities, LLC</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768,000</w:t>
            </w: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LifeSci Capital LLC</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448,000</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Van Lanschot Kempen (USA) Inc.</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288,000</w:t>
            </w: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the underwriters have agreed, severally and not jointly, to purchase all of the ADSs sold under the underwriting agreement if any of the ADSs are purchased. If an underwriter defaults, the underwriting agreement provides that the purchase commitments of the non-defaulting underwriters may be increased or the underwriting agreement may be terminated. The underwriters may provide their services in this offering through or in conjunction with one or more of their respective affiliates.</w:t>
      </w:r>
    </w:p>
    <w:p>
      <w:pPr>
        <w:spacing w:after="0" w:line="141"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2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underwriters are offering the ADSs, subject to prior sale, when, as and if issued to and accepted by them, subject to approval of legal matters by their counsel, including the validity of the ordinary shares, including ordinary shares represented by the ADSs,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Discounts and Commissions</w:t>
      </w:r>
    </w:p>
    <w:p>
      <w:pPr>
        <w:spacing w:after="0" w:line="94"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representatives have advised us that the underwriters propose initially to offer the ADSs to the public at the public offering price set forth on the cover page of this prospectus supplement and to dealers at that price less a concession not in excess of $3.5625 per ADS. After the initial offering of the ADSs, the public offering price, concession or any other term of this offering may be changed by the representatives.</w:t>
      </w:r>
    </w:p>
    <w:p>
      <w:pPr>
        <w:spacing w:after="0" w:line="136" w:lineRule="exact"/>
        <w:rPr>
          <w:sz w:val="20"/>
          <w:szCs w:val="20"/>
          <w:color w:val="auto"/>
        </w:rPr>
      </w:pPr>
    </w:p>
    <w:p>
      <w:pPr>
        <w:jc w:val="both"/>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shows the per ADS public offering price, underwriting discounts and commissions, and proceeds, before expenses, to us. The total amount is shown assuming both no exercise and full exercise of the underwriters’ option to purchase up to an additional 960,000 ADSs.</w:t>
      </w:r>
    </w:p>
    <w:p>
      <w:pPr>
        <w:spacing w:after="0" w:line="14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Per ADS</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36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No Exercise</w:t>
            </w:r>
          </w:p>
        </w:tc>
        <w:tc>
          <w:tcPr>
            <w:tcW w:w="3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Full Exercise</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125.0000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800,000,000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920,000,000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 to be paid by us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119.0625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762,000,000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360" w:type="dxa"/>
            <w:vAlign w:val="bottom"/>
          </w:tcPr>
          <w:p>
            <w:pPr>
              <w:spacing w:after="0"/>
              <w:rPr>
                <w:sz w:val="24"/>
                <w:szCs w:val="24"/>
                <w:color w:val="auto"/>
              </w:rPr>
            </w:pPr>
          </w:p>
        </w:tc>
        <w:tc>
          <w:tcPr>
            <w:tcW w:w="780" w:type="dxa"/>
            <w:vAlign w:val="bottom"/>
            <w:gridSpan w:val="2"/>
          </w:tcPr>
          <w:p>
            <w:pPr>
              <w:jc w:val="right"/>
              <w:ind w:right="345"/>
              <w:spacing w:after="0"/>
              <w:rPr>
                <w:sz w:val="20"/>
                <w:szCs w:val="20"/>
                <w:color w:val="auto"/>
              </w:rPr>
            </w:pPr>
            <w:r>
              <w:rPr>
                <w:rFonts w:ascii="Times New Roman" w:cs="Times New Roman" w:eastAsia="Times New Roman" w:hAnsi="Times New Roman"/>
                <w:sz w:val="14"/>
                <w:szCs w:val="14"/>
                <w:color w:val="auto"/>
              </w:rPr>
              <w:t>S-29</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We estimate expenses payable by us in connection with this offering, other than the underwriting discounts and commissions referred to above, will be approximately $2.2 million. We have also agreed to reimburse the underwriters for certain of their expenses in an amount up to $30,000. The underwriters have also agreed to reimburse us for certain of our expenses incurred in connection with this offering.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Option to Purchase Additional ADSs</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have granted an option to the underwriters, exercisable on or before the initial settlement date, to purchase up to an aggregate of 960,000 additional ADSs at the public offering price set forth on the cover page of this prospectus supplement. If the underwriters exercise this option, each underwriter will be obligated, subject to the conditions contained in the underwriting agreement, to purchase a number of additional ADSs proportionate to that underwriter’s initial amount reflected in the above table.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94"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We and all directors and executive officers and certain of our shareholders have agreed that, without the prior written consent of Leerink Partners LLC, Morgan Stanley &amp; Co. LLC, Piper Sandler &amp; Co. and Guggenheim Securities, LLC on behalf of the underwriters, we and they will not, and will not publicly disclose an intention to, during the period ending 60 days after the date of this prospectus supplement (the “restricted period”):</w:t>
      </w:r>
    </w:p>
    <w:p>
      <w:pPr>
        <w:spacing w:after="0" w:line="136" w:lineRule="exact"/>
        <w:rPr>
          <w:sz w:val="20"/>
          <w:szCs w:val="20"/>
          <w:color w:val="auto"/>
        </w:rPr>
      </w:pPr>
    </w:p>
    <w:p>
      <w:pPr>
        <w:jc w:val="both"/>
        <w:ind w:left="1360" w:right="459" w:firstLine="334"/>
        <w:spacing w:after="0" w:line="261" w:lineRule="auto"/>
        <w:tabs>
          <w:tab w:leader="none" w:pos="187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directly or indirectly, any ADSs, ordinary shares, or any securities convertible into or exercisable or exchangeable for ADSs or ordinary shares (such other securities, including any received upon grant or vesting pursuant to a free share plan, “derivative securities”); or</w:t>
      </w:r>
    </w:p>
    <w:p>
      <w:pPr>
        <w:spacing w:after="0" w:line="141" w:lineRule="exact"/>
        <w:rPr>
          <w:rFonts w:ascii="Times New Roman" w:cs="Times New Roman" w:eastAsia="Times New Roman" w:hAnsi="Times New Roman"/>
          <w:sz w:val="14"/>
          <w:szCs w:val="14"/>
          <w:color w:val="auto"/>
        </w:rPr>
      </w:pPr>
    </w:p>
    <w:p>
      <w:pPr>
        <w:ind w:left="1900" w:hanging="206"/>
        <w:spacing w:after="0"/>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hedging, swap or other arrangement that transfers to another, in whole or in part, any of the economic consequences of</w:t>
      </w:r>
    </w:p>
    <w:p>
      <w:pPr>
        <w:spacing w:after="0" w:line="21" w:lineRule="exact"/>
        <w:rPr>
          <w:rFonts w:ascii="Times New Roman" w:cs="Times New Roman" w:eastAsia="Times New Roman" w:hAnsi="Times New Roman"/>
          <w:sz w:val="14"/>
          <w:szCs w:val="14"/>
          <w:color w:val="auto"/>
        </w:rPr>
      </w:pPr>
    </w:p>
    <w:p>
      <w:pPr>
        <w:ind w:left="1360" w:right="2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ADSs, ordinary shares or derivative securities, whether any such transaction described above is to be settled by delivery of ADSs, ordinary shares or derivative securities, in cash or otherwise; or</w:t>
      </w:r>
    </w:p>
    <w:p>
      <w:pPr>
        <w:spacing w:after="0" w:line="140" w:lineRule="exact"/>
        <w:rPr>
          <w:rFonts w:ascii="Times New Roman" w:cs="Times New Roman" w:eastAsia="Times New Roman" w:hAnsi="Times New Roman"/>
          <w:sz w:val="14"/>
          <w:szCs w:val="14"/>
          <w:color w:val="auto"/>
        </w:rPr>
      </w:pPr>
    </w:p>
    <w:p>
      <w:pPr>
        <w:ind w:left="1940" w:hanging="246"/>
        <w:spacing w:after="0"/>
        <w:tabs>
          <w:tab w:leader="none" w:pos="1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registration statement with the SEC relating to the offering of any ADSs, ordinary shares or derivative securities.</w:t>
      </w:r>
    </w:p>
    <w:p>
      <w:pPr>
        <w:spacing w:after="0" w:line="176"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In addition, we and each such person agrees that, without the prior written consent of Leerink Partners LLC, Morgan Stanley &amp; Co. LLC, Piper Sandler &amp; Co. and Guggenheim Securities, LLC on behalf of the underwriters, we or such other person will not, during the restricted period, make any demand for, or exercise any right with respect to, the registration of any ADSs, ordinary shares or derivative securities.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respect to us, the restrictions described above do not apply to:</w:t>
      </w:r>
    </w:p>
    <w:p>
      <w:pPr>
        <w:spacing w:after="0" w:line="176" w:lineRule="exact"/>
        <w:rPr>
          <w:sz w:val="20"/>
          <w:szCs w:val="20"/>
          <w:color w:val="auto"/>
        </w:rPr>
      </w:pPr>
    </w:p>
    <w:p>
      <w:pPr>
        <w:ind w:left="1880" w:hanging="186"/>
        <w:spacing w:after="0"/>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the ADSs offered by this prospectus supplement to the underwriters;</w:t>
      </w:r>
    </w:p>
    <w:p>
      <w:pPr>
        <w:spacing w:after="0" w:line="175" w:lineRule="exact"/>
        <w:rPr>
          <w:rFonts w:ascii="Times New Roman" w:cs="Times New Roman" w:eastAsia="Times New Roman" w:hAnsi="Times New Roman"/>
          <w:sz w:val="14"/>
          <w:szCs w:val="14"/>
          <w:color w:val="auto"/>
        </w:rPr>
      </w:pPr>
    </w:p>
    <w:p>
      <w:pPr>
        <w:ind w:left="1360" w:right="439" w:firstLine="334"/>
        <w:spacing w:after="0" w:line="283" w:lineRule="auto"/>
        <w:tabs>
          <w:tab w:leader="none" w:pos="190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ADSs or ordinary shares upon the exercise of an option or warrant or the conversion of a security outstanding on the date of this prospectus supplement and described herein;</w:t>
      </w:r>
    </w:p>
    <w:p>
      <w:pPr>
        <w:spacing w:after="0" w:line="125" w:lineRule="exact"/>
        <w:rPr>
          <w:rFonts w:ascii="Times New Roman" w:cs="Times New Roman" w:eastAsia="Times New Roman" w:hAnsi="Times New Roman"/>
          <w:sz w:val="14"/>
          <w:szCs w:val="14"/>
          <w:color w:val="auto"/>
        </w:rPr>
      </w:pPr>
    </w:p>
    <w:p>
      <w:pPr>
        <w:ind w:left="1360" w:right="799" w:firstLine="334"/>
        <w:spacing w:after="0" w:line="283" w:lineRule="auto"/>
        <w:tabs>
          <w:tab w:leader="none" w:pos="189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ADSs, ordinary shares, share options, free shares or warrants (including share warrants (BSA) and founder’s warrants (BSPCE)) pursuant to existing shareholder authorizations described in this prospectus supplement;</w:t>
      </w:r>
    </w:p>
    <w:p>
      <w:pPr>
        <w:spacing w:after="0" w:line="125" w:lineRule="exact"/>
        <w:rPr>
          <w:rFonts w:ascii="Times New Roman" w:cs="Times New Roman" w:eastAsia="Times New Roman" w:hAnsi="Times New Roman"/>
          <w:sz w:val="14"/>
          <w:szCs w:val="14"/>
          <w:color w:val="auto"/>
        </w:rPr>
      </w:pPr>
    </w:p>
    <w:p>
      <w:pPr>
        <w:ind w:left="1360" w:right="339" w:firstLine="334"/>
        <w:spacing w:after="0" w:line="283" w:lineRule="auto"/>
        <w:tabs>
          <w:tab w:leader="none" w:pos="190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facilitating of the establishment of a trading plan on behalf of any of our shareholders, officers or directors pursuant to Rule 10b5-1 under the Exchange Act (“10b5-1 trading plan”) for the transfer of ADSs or</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ordinary shares or of the amendment of an existing 10b5-1 trading plan, provided that (i) such 10b5-1 trading plan does not provide for the transfer of ADSs or ordinary shares during the restricted period and (ii) no public announcement or filing under the Exchange Act or otherwise is required of or voluntarily made by or on behalf of the applicable individual or us regarding the establishment or amendment of such 10b5-1 trading plan;</w:t>
      </w:r>
    </w:p>
    <w:p>
      <w:pPr>
        <w:spacing w:after="0" w:line="136" w:lineRule="exact"/>
        <w:rPr>
          <w:sz w:val="20"/>
          <w:szCs w:val="20"/>
          <w:color w:val="auto"/>
        </w:rPr>
      </w:pPr>
    </w:p>
    <w:p>
      <w:pPr>
        <w:ind w:left="1360" w:right="439" w:firstLine="334"/>
        <w:spacing w:after="0" w:line="283" w:lineRule="auto"/>
        <w:tabs>
          <w:tab w:leader="none" w:pos="187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and sale of ADSs pursuant to our existing equity distribution agreement with Piper Sandler &amp; Co., provided that any such sales may only occur at least 30 days after the date of this prospectus supplement;</w:t>
      </w:r>
    </w:p>
    <w:p>
      <w:pPr>
        <w:spacing w:after="0" w:line="125" w:lineRule="exact"/>
        <w:rPr>
          <w:rFonts w:ascii="Times New Roman" w:cs="Times New Roman" w:eastAsia="Times New Roman" w:hAnsi="Times New Roman"/>
          <w:sz w:val="14"/>
          <w:szCs w:val="14"/>
          <w:color w:val="auto"/>
        </w:rPr>
      </w:pPr>
    </w:p>
    <w:p>
      <w:pPr>
        <w:ind w:left="1360" w:right="259" w:firstLine="334"/>
        <w:spacing w:after="0" w:line="255" w:lineRule="auto"/>
        <w:tabs>
          <w:tab w:leader="none" w:pos="190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any agreement providing for the issuance by us of ADSs, ordinary shares or derivative securities in connection with (i) the acquisition by us of the securities, business, technology, property or other assets of another person or entity, or pursuant to an employee benefit plan assumed by us in connection with such acquisition, or (ii) joint ventures, commercial relationships or other strategic transactions, and in each case, the issuance of any such securities pursuant to any such agreement; provided, however, that the aggregate number of ADSs, ordinary shares or derivative securities that we may sell or issue or agree to sell or issue shall not exceed 5% of the total number of ordinary shares (including in the form of ADSs) issued and outstanding immediately following the completion of this offering; and provided, further, that we must cause each recipient of such securities to execute and deliver to the representatives, on or prior to the issuance of such securities, a lock-up agreement substantially in the form attached to the underwriting agreement with respect to the remainder of the restricted period and enter stop transfer instructions with our transfer agent and registrar for such securities; or</w:t>
      </w:r>
    </w:p>
    <w:p>
      <w:pPr>
        <w:spacing w:after="0" w:line="144" w:lineRule="exact"/>
        <w:rPr>
          <w:rFonts w:ascii="Times New Roman" w:cs="Times New Roman" w:eastAsia="Times New Roman" w:hAnsi="Times New Roman"/>
          <w:sz w:val="14"/>
          <w:szCs w:val="14"/>
          <w:color w:val="auto"/>
        </w:rPr>
      </w:pPr>
    </w:p>
    <w:p>
      <w:pPr>
        <w:ind w:left="1360" w:right="379" w:firstLine="334"/>
        <w:spacing w:after="0" w:line="283" w:lineRule="auto"/>
        <w:tabs>
          <w:tab w:leader="none" w:pos="190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after the completion of this offering, of a registration statement on Form F-6 relating to the ADSs, provided, however, that we will furnish to the representatives a copy of the proposed registration statement prior to any such filing.</w:t>
      </w:r>
    </w:p>
    <w:p>
      <w:pPr>
        <w:spacing w:after="0" w:line="125"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In addition, with respect to our directors and executive officers and certain of our shareholders, the restrictions described above are subject to specified exceptions, including, without limitation and subject in certain cases to various conditions:</w:t>
      </w:r>
    </w:p>
    <w:p>
      <w:pPr>
        <w:spacing w:after="0" w:line="125" w:lineRule="exact"/>
        <w:rPr>
          <w:sz w:val="20"/>
          <w:szCs w:val="20"/>
          <w:color w:val="auto"/>
        </w:rPr>
      </w:pPr>
    </w:p>
    <w:p>
      <w:pPr>
        <w:ind w:left="1360" w:right="759" w:firstLine="334"/>
        <w:spacing w:after="0" w:line="283" w:lineRule="auto"/>
        <w:tabs>
          <w:tab w:leader="none" w:pos="18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relating to ADSs, ordinary shares or derivative securities acquired in this offering or in open market transactions after the completion of this offering;</w:t>
      </w:r>
    </w:p>
    <w:p>
      <w:pPr>
        <w:spacing w:after="0" w:line="123" w:lineRule="exact"/>
        <w:rPr>
          <w:rFonts w:ascii="Times New Roman" w:cs="Times New Roman" w:eastAsia="Times New Roman" w:hAnsi="Times New Roman"/>
          <w:sz w:val="14"/>
          <w:szCs w:val="14"/>
          <w:color w:val="auto"/>
        </w:rPr>
      </w:pPr>
    </w:p>
    <w:p>
      <w:pPr>
        <w:ind w:left="1360" w:right="279" w:firstLine="334"/>
        <w:spacing w:after="0" w:line="258" w:lineRule="auto"/>
        <w:tabs>
          <w:tab w:leader="none" w:pos="190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transfers of ADSs, ordinary shares or derivative securities (i) as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gift or gifts; (ii) to any trust for the direct or indirect benefit of such person or their immediate family; (iii) as a distribution or other transfer by a partnership to its partners or former partners, by a limited liability company to its members or retired members, or by a corporation to its shareholders or former shareholders or to any wholly-owned subsidiary of such corporation; (iv) to such person’s affiliates or to any investment fund or other entity controlled or managed by such person; (v) pursuant to a qualified domestic relations order or in connection with a divorce settlement; or (vi) by will or intestate succession or intestate distribution upon the death of such person;</w:t>
      </w:r>
    </w:p>
    <w:p>
      <w:pPr>
        <w:spacing w:after="0" w:line="142" w:lineRule="exact"/>
        <w:rPr>
          <w:rFonts w:ascii="Times New Roman" w:cs="Times New Roman" w:eastAsia="Times New Roman" w:hAnsi="Times New Roman"/>
          <w:sz w:val="14"/>
          <w:szCs w:val="14"/>
          <w:color w:val="auto"/>
        </w:rPr>
      </w:pPr>
    </w:p>
    <w:p>
      <w:pPr>
        <w:ind w:left="1360" w:right="339" w:firstLine="334"/>
        <w:spacing w:after="0" w:line="283" w:lineRule="auto"/>
        <w:tabs>
          <w:tab w:leader="none" w:pos="18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 of ordinary shares to the depositary or the depositary’s custodian for the purpose of receiving an equivalent number of ADSs in lieu of such ordinary shares;</w:t>
      </w:r>
    </w:p>
    <w:p>
      <w:pPr>
        <w:spacing w:after="0" w:line="125" w:lineRule="exact"/>
        <w:rPr>
          <w:rFonts w:ascii="Times New Roman" w:cs="Times New Roman" w:eastAsia="Times New Roman" w:hAnsi="Times New Roman"/>
          <w:sz w:val="14"/>
          <w:szCs w:val="14"/>
          <w:color w:val="auto"/>
        </w:rPr>
      </w:pPr>
    </w:p>
    <w:p>
      <w:pPr>
        <w:ind w:left="1900" w:hanging="206"/>
        <w:spacing w:after="0"/>
        <w:tabs>
          <w:tab w:leader="none" w:pos="1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ADSs, ordinary shares or derivative securities to the company in satisfaction of any tax withholding obligation;</w:t>
      </w:r>
    </w:p>
    <w:p>
      <w:pPr>
        <w:spacing w:after="0" w:line="175" w:lineRule="exact"/>
        <w:rPr>
          <w:rFonts w:ascii="Times New Roman" w:cs="Times New Roman" w:eastAsia="Times New Roman" w:hAnsi="Times New Roman"/>
          <w:sz w:val="14"/>
          <w:szCs w:val="14"/>
          <w:color w:val="auto"/>
        </w:rPr>
      </w:pPr>
    </w:p>
    <w:p>
      <w:pPr>
        <w:ind w:left="1360" w:right="279" w:firstLine="334"/>
        <w:spacing w:after="0" w:line="267" w:lineRule="auto"/>
        <w:tabs>
          <w:tab w:leader="none" w:pos="18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or sales of up to 1,000,000 ADSs or ordinary shares (in the aggregate for all of our directors, officers and affiliates) used for the primary purpose of satisfying any withholding tax or other governmental withholding or payment obligations pursuant to equity awards granted under a share incentive plan or other equity award plan that is described in this prospectus supplement;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34"/>
        <w:spacing w:after="0" w:line="267" w:lineRule="auto"/>
        <w:tabs>
          <w:tab w:leader="none" w:pos="187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ADSs, ordinary shares or derivative securities to us pursuant to any contractual arrangement that provides for the repurchase of the ADSs, ordinary shares or derivative securities held by such person in connection with the termination of such person’s services to us or such person’s failure to meet certain conditions set out upon receipt of such ADSs, ordinary shares or derivative securities;</w:t>
      </w:r>
    </w:p>
    <w:p>
      <w:pPr>
        <w:spacing w:after="0" w:line="136" w:lineRule="exact"/>
        <w:rPr>
          <w:rFonts w:ascii="Times New Roman" w:cs="Times New Roman" w:eastAsia="Times New Roman" w:hAnsi="Times New Roman"/>
          <w:sz w:val="14"/>
          <w:szCs w:val="14"/>
          <w:color w:val="auto"/>
        </w:rPr>
      </w:pPr>
    </w:p>
    <w:p>
      <w:pPr>
        <w:ind w:left="1360" w:right="559" w:firstLine="334"/>
        <w:spacing w:after="0" w:line="267" w:lineRule="auto"/>
        <w:tabs>
          <w:tab w:leader="none" w:pos="190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or exchange by such person of any option or warrant to acquire any ADSs or ordinary shares or options to purchase ADSs or ordinary shares, in each case for cash or on a “cashless” or “net exercise” basis, pursuant to any share option, share bonus or other share plan or arrangement;</w:t>
      </w:r>
    </w:p>
    <w:p>
      <w:pPr>
        <w:spacing w:after="0" w:line="134" w:lineRule="exact"/>
        <w:rPr>
          <w:rFonts w:ascii="Times New Roman" w:cs="Times New Roman" w:eastAsia="Times New Roman" w:hAnsi="Times New Roman"/>
          <w:sz w:val="14"/>
          <w:szCs w:val="14"/>
          <w:color w:val="auto"/>
        </w:rPr>
      </w:pPr>
    </w:p>
    <w:p>
      <w:pPr>
        <w:ind w:left="1360" w:right="259" w:firstLine="334"/>
        <w:spacing w:after="0" w:line="286" w:lineRule="auto"/>
        <w:tabs>
          <w:tab w:leader="none" w:pos="190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transfer of ADSs, ordinary shares or derivative securities upon the completion of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third-party tender offer, merger, consolidation or other similar transaction that is approved by our Board, made to all holders of our securities and involves a change of control of us; or</w:t>
      </w:r>
    </w:p>
    <w:p>
      <w:pPr>
        <w:spacing w:after="0" w:line="123" w:lineRule="exact"/>
        <w:rPr>
          <w:rFonts w:ascii="Times New Roman" w:cs="Times New Roman" w:eastAsia="Times New Roman" w:hAnsi="Times New Roman"/>
          <w:sz w:val="14"/>
          <w:szCs w:val="14"/>
          <w:color w:val="auto"/>
        </w:rPr>
      </w:pPr>
    </w:p>
    <w:p>
      <w:pPr>
        <w:ind w:left="1360" w:right="479" w:firstLine="334"/>
        <w:spacing w:after="0" w:line="283" w:lineRule="auto"/>
        <w:tabs>
          <w:tab w:leader="none" w:pos="187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 10b5-1 trading plan for the transfer of ADSs or ordinary shares or the amendment of an existing 10b5-1 trading plan, provided that such 10b5-1 trading plan does not provide for the transfer of ADSs or ordinary shares during the restricted period.</w:t>
      </w:r>
    </w:p>
    <w:p>
      <w:pPr>
        <w:spacing w:after="0" w:line="12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Leerink Partners LLC, Morgan Stanley &amp; Co. LLC, Piper Sandler &amp; Co. and Guggenheim Securities, LLC, in their sole discretion, may release the ADSs, ordinary shares and derivative securities subject to the lock-up agreements described above in whole or in part at any time.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Listings</w:t>
      </w:r>
    </w:p>
    <w:p>
      <w:pPr>
        <w:spacing w:after="0" w:line="9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Our ADSs are listed on the Nasdaq Global Market under the symbol “ABVX.” Our ordinary shares are listed on Euronext Paris under the symbol “ABVX.”</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Price Stabilization, Short Positions and Penalty Bids</w:t>
      </w:r>
    </w:p>
    <w:p>
      <w:pPr>
        <w:spacing w:after="0" w:line="9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Until the distribution of the ADSs is completed, SEC rules may limit underwriters and selling group members from bidding for and purchasing our ADSs. However, the representatives may engage in transactions that stabilize the price of our ADSs, such as bids or purchases to peg, fix or maintain that price.</w:t>
      </w:r>
    </w:p>
    <w:p>
      <w:pPr>
        <w:spacing w:after="0" w:line="136"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In connection with this offering, the underwriters may purchase and sell our ADSs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this offering. “Covered” short sales are sales made in an amount not greater than the underwriters’ option to purchase additional ADSs described above.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 granted to them under the underwriting agreement described above. “Naked” short sales are sales in excess of such option.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 Stabilizing transactions consist of various bids for or purchases of ADSs made by the underwriters in the open market prior to the closing of this offering. Such stabilization transactions will need to comply with European Union laws and notably Regulation n°596/2014 on market abuse, as amended.</w:t>
      </w:r>
    </w:p>
    <w:p>
      <w:pPr>
        <w:spacing w:after="0" w:line="152"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The underwriters may conduct these transactions on the Nasdaq Global Market, in the over-the-counter market or otherwise.</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Neither we nor any of the underwriters make any representation or prediction as to the direction or magnitude of any effect that the transactions described above may have on the price of our ADSs. In addition, neither we nor any of the underwriters make any representation that the representatives will engage in these transactions or that these transactions, once commenced, will not be discontinued without notice.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Electronic Distribution</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connection with this offering, certain of the underwriters or securities dealers may distribute prospectuses by electronic means, such as e-mail.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94" w:lineRule="exact"/>
        <w:rPr>
          <w:sz w:val="20"/>
          <w:szCs w:val="20"/>
          <w:color w:val="auto"/>
        </w:rPr>
      </w:pPr>
    </w:p>
    <w:p>
      <w:pPr>
        <w:ind w:left="1360" w:right="379" w:firstLine="343"/>
        <w:spacing w:after="0" w:line="257" w:lineRule="auto"/>
        <w:rPr>
          <w:sz w:val="20"/>
          <w:szCs w:val="20"/>
          <w:color w:val="auto"/>
        </w:rPr>
      </w:pPr>
      <w:r>
        <w:rPr>
          <w:rFonts w:ascii="Times New Roman" w:cs="Times New Roman" w:eastAsia="Times New Roman" w:hAnsi="Times New Roman"/>
          <w:sz w:val="14"/>
          <w:szCs w:val="14"/>
          <w:color w:val="auto"/>
        </w:rPr>
        <w:t>We expect to deliver the ADSs on or about the date of delivery specified on the cover page of this prospectus supplement, which will be the second business day following the trade date for the ADSs (this settlement cycle being referred to as “T+2”). Under Rule 15c6-1 of the Exchange Act, trades in the secondary market generally are required to settle in one business day unless the parties to any such trade expressly agree otherwise. Accordingly, purchasers who wish to trade the ADSs prior to the business day preceding the date of delivery will be required, by virtue of the fact that the ADSs initially will settle in T+2, to specify an alternate settlement cycle at the time of any such trade to prevent a failed settlement and should consult their own advisors.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4"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41"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 example, Piper Sandler &amp; Co. is the sales agent under our Equity Distribution Agreement, dated November 19, 2024, in connection with our at-the-market program.</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9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Corporations Act 2001, or the Corporations Act, and does not purport to include the information required for a prospectus, product disclosure statement or other disclosure document under the Corporations Act.</w:t>
      </w:r>
    </w:p>
    <w:p>
      <w:pPr>
        <w:spacing w:after="0" w:line="125" w:lineRule="exact"/>
        <w:rPr>
          <w:sz w:val="20"/>
          <w:szCs w:val="20"/>
          <w:color w:val="auto"/>
        </w:rPr>
      </w:pPr>
    </w:p>
    <w:p>
      <w:pPr>
        <w:ind w:left="1360" w:right="619" w:firstLine="343"/>
        <w:spacing w:after="0" w:line="261" w:lineRule="auto"/>
        <w:rPr>
          <w:sz w:val="20"/>
          <w:szCs w:val="20"/>
          <w:color w:val="auto"/>
        </w:rPr>
      </w:pPr>
      <w:r>
        <w:rPr>
          <w:rFonts w:ascii="Times New Roman" w:cs="Times New Roman" w:eastAsia="Times New Roman" w:hAnsi="Times New Roman"/>
          <w:sz w:val="14"/>
          <w:szCs w:val="14"/>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41"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4"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the securities may be made to the public in that Relevant State at any time under the following exemptions under the Prospectus Regulation:</w:t>
      </w:r>
    </w:p>
    <w:p>
      <w:pPr>
        <w:spacing w:after="0" w:line="141" w:lineRule="exact"/>
        <w:rPr>
          <w:sz w:val="20"/>
          <w:szCs w:val="20"/>
          <w:color w:val="auto"/>
        </w:rPr>
      </w:pPr>
    </w:p>
    <w:p>
      <w:pPr>
        <w:ind w:left="1880" w:hanging="186"/>
        <w:spacing w:after="0"/>
        <w:tabs>
          <w:tab w:leader="none" w:pos="18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Prospectus Regulation;</w:t>
      </w:r>
    </w:p>
    <w:p>
      <w:pPr>
        <w:spacing w:after="0" w:line="175" w:lineRule="exact"/>
        <w:rPr>
          <w:rFonts w:ascii="Times New Roman" w:cs="Times New Roman" w:eastAsia="Times New Roman" w:hAnsi="Times New Roman"/>
          <w:sz w:val="14"/>
          <w:szCs w:val="14"/>
          <w:color w:val="auto"/>
        </w:rPr>
      </w:pPr>
    </w:p>
    <w:p>
      <w:pPr>
        <w:ind w:left="1360" w:right="319" w:firstLine="334"/>
        <w:spacing w:after="0" w:line="283" w:lineRule="auto"/>
        <w:tabs>
          <w:tab w:leader="none" w:pos="190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Prospectus Regulation), subject to obtaining the prior consent of the representatives for any such offer; or</w:t>
      </w:r>
    </w:p>
    <w:p>
      <w:pPr>
        <w:spacing w:after="0" w:line="125" w:lineRule="exact"/>
        <w:rPr>
          <w:rFonts w:ascii="Times New Roman" w:cs="Times New Roman" w:eastAsia="Times New Roman" w:hAnsi="Times New Roman"/>
          <w:sz w:val="14"/>
          <w:szCs w:val="14"/>
          <w:color w:val="auto"/>
        </w:rPr>
      </w:pPr>
    </w:p>
    <w:p>
      <w:pPr>
        <w:ind w:left="1880" w:hanging="186"/>
        <w:spacing w:after="0"/>
        <w:tabs>
          <w:tab w:leader="none" w:pos="18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4" w:lineRule="exact"/>
        <w:rPr>
          <w:sz w:val="20"/>
          <w:szCs w:val="20"/>
          <w:color w:val="auto"/>
        </w:rPr>
      </w:pPr>
    </w:p>
    <w:p>
      <w:pPr>
        <w:ind w:left="1360" w:right="61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securities shall require us or any of our representatives to publish a prospectus pursuant to Article 3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Regulation or supplement a prospectus pursuant to Article 23 of the Prospectus Regulation.</w:t>
      </w:r>
    </w:p>
    <w:p>
      <w:pPr>
        <w:spacing w:after="0" w:line="123"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any securities, and the expression “Prospectus Regulation” means Regulation (EU) 2017/1129, as amended.</w:t>
      </w:r>
    </w:p>
    <w:p>
      <w:pPr>
        <w:spacing w:after="0" w:line="136"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Each person in a Relevant State who receives any communication in respect of, or who acquires any securities under, the offering contemplated hereby will be deemed to have represented, warranted and agreed to and with each of the underwriters and their affiliates and to us that:</w:t>
      </w:r>
    </w:p>
    <w:p>
      <w:pPr>
        <w:spacing w:after="0" w:line="125" w:lineRule="exact"/>
        <w:rPr>
          <w:sz w:val="20"/>
          <w:szCs w:val="20"/>
          <w:color w:val="auto"/>
        </w:rPr>
      </w:pPr>
    </w:p>
    <w:p>
      <w:pPr>
        <w:ind w:left="5520" w:right="3899" w:hanging="3826"/>
        <w:spacing w:after="0" w:line="456" w:lineRule="auto"/>
        <w:tabs>
          <w:tab w:leader="none" w:pos="189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 qualified investor within the meaning of the Prospectus Regulation; and S-34</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34"/>
        <w:spacing w:after="0" w:line="257" w:lineRule="auto"/>
        <w:tabs>
          <w:tab w:leader="none" w:pos="190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securities have been acquired by it on behalf of persons in any Relevant State other than qualified investors, the offer of those securities to it is not treated under the Prospectus Regulation as having been made to such persons.</w:t>
      </w:r>
    </w:p>
    <w:p>
      <w:pPr>
        <w:spacing w:after="0" w:line="144"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securities in the offering.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MiFID II Product Governance</w:t>
      </w:r>
    </w:p>
    <w:p>
      <w:pPr>
        <w:spacing w:after="0" w:line="94"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Solely for the purposes of each manufacturer’s product approval process, the target market assessment in respect of ordinary shares has led to the conclusion that: (i) the target market for the ordinary shares is eligible counterparties, professional clients and retail clients, each as defined in Directive 2014/65/EU, as amended (“MiFID II”); and (ii) all channels for distribution of the ordinary shares to eligible counterparties, professional clients and retail clients are appropriate. Any person subsequently offering, selling or recommending the ordinary shares, or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 For the avoidance of doubt, even if the target market includes retail clients, it has been decided that the ordinary shares will only be offered to persons who meet the criteria of eligible counterparties and professional clients.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UK MiFIR Product Governance</w:t>
      </w:r>
    </w:p>
    <w:p>
      <w:pPr>
        <w:spacing w:after="0" w:line="94" w:lineRule="exact"/>
        <w:rPr>
          <w:sz w:val="20"/>
          <w:szCs w:val="20"/>
          <w:color w:val="auto"/>
        </w:rPr>
      </w:pPr>
    </w:p>
    <w:p>
      <w:pPr>
        <w:ind w:left="1360" w:right="359" w:firstLine="343"/>
        <w:spacing w:after="0" w:line="254" w:lineRule="auto"/>
        <w:rPr>
          <w:sz w:val="20"/>
          <w:szCs w:val="20"/>
          <w:color w:val="auto"/>
        </w:rPr>
      </w:pPr>
      <w:r>
        <w:rPr>
          <w:rFonts w:ascii="Times New Roman" w:cs="Times New Roman" w:eastAsia="Times New Roman" w:hAnsi="Times New Roman"/>
          <w:sz w:val="14"/>
          <w:szCs w:val="14"/>
          <w:color w:val="auto"/>
        </w:rPr>
        <w:t>Solely for the purposes of each manufacturer’s product approval process, the target market assessment in respect of the securities has led to the conclusion that: (i) the target market for the securities is retail clients, as defined in point (8) of article 2 of Regulation (EU) No. 2017/565 as it forms part of domestic law by virtue of the European Union (Withdrawal) Act 2018 (“EUWA”), and eligible counterparties, as defined in the Financial Conduct Authority (“FCA”) Handbook Conduct of Business Sourcebook (“COBS”) and professional clients, as defined in Regulation (EU) No 600/2014 as it forms part of domestic law by virtue of the EUWA (“UK MiFIR”); and (ii) all channels for distribution of the securities are appropriate. Any person subsequently offering, selling or recommending the securities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securities (by either adopting or refining the manufacturer’s target market assessment) and determining appropriate distribution channels. For the avoidance of doubt, even if the target market includes retail clients, it has been decided that the securities will only be offered to persons who meet the criteria of eligible counterparties and professional clients.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4"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This prospectus and any other material in relation to the securities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securities are only available in the UK to, and any invitation, offer or agreement to purchase or otherwise acquire the securities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44"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No securities have been offered or will be offered pursuant to the offering to the public in the UK prior to the publication of a prospectus in relation to the shares (including in the form of ADSs) which has been approved by the Financial Conduct Authority in the UK in accordance with the Public Offers and Admissions to Trading Regulations 2024 (the “POATRs”) and the FSMA, except that offers of the securities may be made to the public in the UK at any time:</w:t>
      </w:r>
    </w:p>
    <w:p>
      <w:pPr>
        <w:spacing w:after="0" w:line="141" w:lineRule="exact"/>
        <w:rPr>
          <w:sz w:val="20"/>
          <w:szCs w:val="20"/>
          <w:color w:val="auto"/>
        </w:rPr>
      </w:pPr>
    </w:p>
    <w:p>
      <w:pPr>
        <w:ind w:left="1880" w:hanging="186"/>
        <w:spacing w:after="0"/>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in paragraph 15 of Schedule 1 to the POATRs;</w:t>
      </w:r>
    </w:p>
    <w:p>
      <w:pPr>
        <w:spacing w:after="0" w:line="175" w:lineRule="exact"/>
        <w:rPr>
          <w:rFonts w:ascii="Times New Roman" w:cs="Times New Roman" w:eastAsia="Times New Roman" w:hAnsi="Times New Roman"/>
          <w:sz w:val="14"/>
          <w:szCs w:val="14"/>
          <w:color w:val="auto"/>
        </w:rPr>
      </w:pPr>
    </w:p>
    <w:p>
      <w:pPr>
        <w:ind w:left="1360" w:right="339" w:firstLine="334"/>
        <w:spacing w:after="0" w:line="283" w:lineRule="auto"/>
        <w:tabs>
          <w:tab w:leader="none" w:pos="190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in paragraph 15 of Schedule 1 to the POATRs), subject to obtaining the prior consent of the underwriters for any such offer; or</w:t>
      </w:r>
    </w:p>
    <w:p>
      <w:pPr>
        <w:spacing w:after="0" w:line="125" w:lineRule="exact"/>
        <w:rPr>
          <w:rFonts w:ascii="Times New Roman" w:cs="Times New Roman" w:eastAsia="Times New Roman" w:hAnsi="Times New Roman"/>
          <w:sz w:val="14"/>
          <w:szCs w:val="14"/>
          <w:color w:val="auto"/>
        </w:rPr>
      </w:pPr>
    </w:p>
    <w:p>
      <w:pPr>
        <w:ind w:left="1880" w:hanging="186"/>
        <w:spacing w:after="0"/>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to Schedule 1 of the POATRs.</w:t>
      </w:r>
    </w:p>
    <w:p>
      <w:pPr>
        <w:spacing w:after="0" w:line="174" w:lineRule="exact"/>
        <w:rPr>
          <w:sz w:val="20"/>
          <w:szCs w:val="20"/>
          <w:color w:val="auto"/>
        </w:rPr>
      </w:pPr>
    </w:p>
    <w:p>
      <w:pPr>
        <w:ind w:left="1360" w:right="21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shares shall require the Company or any of the underwriters to publish a prospectus pursuant to the PROATRs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 a prospectus.</w:t>
      </w:r>
    </w:p>
    <w:p>
      <w:pPr>
        <w:spacing w:after="0" w:line="123"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securities in the UK means the communication in any form and by any means of sufficient information on the terms of the offer and any securities to be offered so as to enable an investor to decide to purchase or subscribe for any securities.</w:t>
      </w:r>
    </w:p>
    <w:p>
      <w:pPr>
        <w:spacing w:after="0" w:line="136"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Each person in the UK who acquires any securities in the offer or to whom any offer is made will be deemed to have represented, acknowledged and agreed to and with us, the underwriters and their affiliates that it meets the criteria outlined in this section.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France</w:t>
      </w:r>
    </w:p>
    <w:p>
      <w:pPr>
        <w:spacing w:after="0" w:line="94"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The securities have not been and will not be offered or sold to the public in the Republic of France, and no offering of this prospectus or any marketing materials relating to securities may be made available or distributed in any way that would constitute, directly or indirectly, an offer to the public in France (except for public offerings defined in Article L.411-2 1° of the French Monetary and Financial Code).</w:t>
      </w:r>
    </w:p>
    <w:p>
      <w:pPr>
        <w:spacing w:after="0" w:line="136"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securities may only be offered or sold in France pursuant to Article L. 411-2 1° of the French Monetary and Financial Code to qualified investors (</w:t>
      </w:r>
      <w:r>
        <w:rPr>
          <w:rFonts w:ascii="Times New Roman" w:cs="Times New Roman" w:eastAsia="Times New Roman" w:hAnsi="Times New Roman"/>
          <w:sz w:val="14"/>
          <w:szCs w:val="14"/>
          <w:i w:val="1"/>
          <w:iCs w:val="1"/>
          <w:color w:val="auto"/>
        </w:rPr>
        <w:t>investisseurs qualifiés</w:t>
      </w:r>
      <w:r>
        <w:rPr>
          <w:rFonts w:ascii="Times New Roman" w:cs="Times New Roman" w:eastAsia="Times New Roman" w:hAnsi="Times New Roman"/>
          <w:sz w:val="14"/>
          <w:szCs w:val="14"/>
          <w:color w:val="auto"/>
        </w:rPr>
        <w:t>) (as such term is defined in Article 2(e) of Regulation (EU) n° 2017/1129 dated 14 June 2017, as amended ) acting for their own account, and in accordance with Articles L. 411-1, L. 411-2 and D. 411-2 to D.411-4 of the French Monetary and Financial Code.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Prospective investors are informed that:</w:t>
      </w:r>
    </w:p>
    <w:p>
      <w:pPr>
        <w:spacing w:after="0" w:line="102" w:lineRule="exact"/>
        <w:rPr>
          <w:sz w:val="20"/>
          <w:szCs w:val="20"/>
          <w:color w:val="auto"/>
        </w:rPr>
      </w:pPr>
    </w:p>
    <w:p>
      <w:pPr>
        <w:ind w:left="2100" w:right="699" w:hanging="328"/>
        <w:spacing w:after="0" w:line="283" w:lineRule="auto"/>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this prospectus nor any other offering materials relating to the securities described in this prospectus has been submitted for clearance to the French financial markets authority (</w:t>
      </w:r>
      <w:r>
        <w:rPr>
          <w:rFonts w:ascii="Times New Roman" w:cs="Times New Roman" w:eastAsia="Times New Roman" w:hAnsi="Times New Roman"/>
          <w:sz w:val="14"/>
          <w:szCs w:val="14"/>
          <w:i w:val="1"/>
          <w:iCs w:val="1"/>
          <w:color w:val="auto"/>
        </w:rPr>
        <w:t>Autorité des marchés financiers);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279" w:hanging="328"/>
        <w:spacing w:after="0" w:line="261" w:lineRule="auto"/>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this prospectus, nor any offering material relating to the securities has been or will be released, issued, distributed or caused to be released, issued or distributed to the public in France or used in connection with any offer for subscription or sale of the securities to the public in France within the meaning of Article L. 411-1 of the French Monetary and Financial Code (other than public offerings defined in Article L.411-2 1° of the French Monetary and Financial Code);</w:t>
      </w:r>
    </w:p>
    <w:p>
      <w:pPr>
        <w:spacing w:after="0" w:line="67" w:lineRule="exact"/>
        <w:rPr>
          <w:rFonts w:ascii="Times New Roman" w:cs="Times New Roman" w:eastAsia="Times New Roman" w:hAnsi="Times New Roman"/>
          <w:sz w:val="14"/>
          <w:szCs w:val="14"/>
          <w:color w:val="auto"/>
        </w:rPr>
      </w:pPr>
    </w:p>
    <w:p>
      <w:pPr>
        <w:ind w:left="2100" w:right="559" w:hanging="328"/>
        <w:spacing w:after="0" w:line="283" w:lineRule="auto"/>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or entities referred to in Article L. 411-2 1° of the French Monetary and Financial Code may participate in the offering, as provided under Articles D.411-4 of the French Monetary and Financial Code; and</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 and indirect distribution or sale to the public of the securities acquired by them may only be made in compliance with Articles L. 411-1, L. 411-2 1°, L. 412-1 and L. 621-8 to L. 621-8-2 of the French Monetary and Financial Code.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41"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94" w:lineRule="exact"/>
        <w:rPr>
          <w:sz w:val="20"/>
          <w:szCs w:val="20"/>
          <w:color w:val="auto"/>
        </w:rPr>
      </w:pPr>
    </w:p>
    <w:p>
      <w:pPr>
        <w:ind w:left="1360" w:right="379" w:firstLine="343"/>
        <w:spacing w:after="0" w:line="256"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securities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spacing w:after="0" w:line="259" w:lineRule="auto"/>
        <w:rPr>
          <w:sz w:val="20"/>
          <w:szCs w:val="20"/>
          <w:color w:val="auto"/>
        </w:rPr>
      </w:pPr>
      <w:r>
        <w:rPr>
          <w:rFonts w:ascii="Times New Roman" w:cs="Times New Roman" w:eastAsia="Times New Roman" w:hAnsi="Times New Roman"/>
          <w:sz w:val="14"/>
          <w:szCs w:val="14"/>
          <w:color w:val="auto"/>
        </w:rPr>
        <w:t>Ordinance. No advertisement, invitation or document relating to our securities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94"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securities hereunder is directed only at, (i) a limited number of persons in accordance with the Israeli Securities Law and (ii) investors listed in the first addendum to the Israeli Securities Law, or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9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securities.</w:t>
      </w:r>
    </w:p>
    <w:p>
      <w:pPr>
        <w:spacing w:after="0" w:line="125"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Accordingly, the securities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 Qualified Institutional Investors, or QII</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securities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securities. The securities may only be transferred to QIIs.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 Non-QII Investors</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securities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securities. The securities may only be transferred en bloc without subdivision to a single investor.</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94"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Where the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44" w:lineRule="exact"/>
        <w:rPr>
          <w:sz w:val="20"/>
          <w:szCs w:val="20"/>
          <w:color w:val="auto"/>
        </w:rPr>
      </w:pPr>
    </w:p>
    <w:p>
      <w:pPr>
        <w:ind w:left="1360" w:right="499" w:firstLine="334"/>
        <w:spacing w:after="0" w:line="261" w:lineRule="auto"/>
        <w:tabs>
          <w:tab w:leader="none" w:pos="187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14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4"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This prospectus is not intended to constitute an offer or solicitation to purchase or invest in our securities. Our securities may not be publicly offered, directly or indirectly, in Switzerland within the meaning of the Swiss Financial Services Act, or the FinSA, and no application has or will be made to admit our securities to trading on any trading venue (exchange or multilateral trading facility) in Switzerland. Neither this prospectus nor any other offering or marketing material relating to our securities constitutes a prospectus pursuant to the FinSA, and neither this prospectus nor any other offering or marketing material relating to our securities may be publicly distributed or otherwise made publicly available in Switzerland.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MATERIAL CHANGES</w:t>
      </w:r>
    </w:p>
    <w:p>
      <w:pPr>
        <w:spacing w:after="0" w:line="178"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Except as described in this prospectus supplement or otherwise described in our Annual Report and in our reports on Form 6-K incorporated by reference into this prospectus supplement, no reportable material changes have occurred since December 31, 2025.</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6"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color w:val="auto"/>
        </w:rPr>
        <w:t xml:space="preserve">We are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organized under the laws of France. The majority of our directors and officers are residents of countries other than the United States, and the majority of our assets are located outside of the United States. We have appointed an agent for service of process in the United States.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Accordingly, U.S. investors may find it difficult and may be unable:</w:t>
      </w:r>
    </w:p>
    <w:p>
      <w:pPr>
        <w:spacing w:after="0" w:line="102" w:lineRule="exact"/>
        <w:rPr>
          <w:sz w:val="20"/>
          <w:szCs w:val="20"/>
          <w:color w:val="auto"/>
        </w:rPr>
      </w:pPr>
    </w:p>
    <w:p>
      <w:pPr>
        <w:ind w:left="2100" w:right="679" w:hanging="328"/>
        <w:spacing w:after="0" w:line="283" w:lineRule="auto"/>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obtain jurisdiction over us or our non-U.S. resident officers and directors in U.S. courts in actions predicated on the civil liability provisions of the U.S. federal securities laws;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enforce judgments obtained in such actions against us or our non-U.S. resident officers and directors;</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bring an original action in a French court to enforce liabilities based upon the U.S. federal securities laws against us or our officers or directors; and</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enforce against us or our officers or directors in non-U.S. courts, including French courts, judgments of U.S. courts predicated upon the civil liability provisions of the U.S. federal securities laws.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actions in the United States under U.S. federal securities laws could be affected under certain circumstances by French Law</w:t>
      </w:r>
    </w:p>
    <w:p>
      <w:pPr>
        <w:spacing w:after="0" w:line="22"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No. 68-678 of July 26, 1968 (relating to the communication of documents and information of an economic, commercial, industrial, financial or technical nature to foreign authorities or persons), as amended by French Law No. 80-538 of July 16, 1980, and French Ordinance No. 2000-916 of September 19, 2000, and as further specified by Decree No. 2022-707 of February 18, 2022 and Order of March 7, 2022, which may preclude or restrict the obtaining of evidence in France or from French persons in connection with those actions. As a result of the above regulations, the U.S. authorities would have to comply with applicable international treaties or agreements and laws and regulations in force (such as the 1970 Hague Convention on the Taking of Evidence Abroad).</w:t>
      </w:r>
    </w:p>
    <w:p>
      <w:pPr>
        <w:spacing w:after="0" w:line="146"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Similarly, French data protection rules (Law No. 78-17 of January 6, 1978 on data processing, data files and individual liberties, as modified) and the General Data Protection Regulation (i.e., Regulation (EU) 2016/679 of the European Parliament and of the Council of April 27, 2016) can limit under certain circumstances the possibility of obtaining information in France or from French persons in connection with a U.S. action.</w:t>
      </w:r>
    </w:p>
    <w:p>
      <w:pPr>
        <w:spacing w:after="0" w:line="136"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Nevertheless, a final judgment for the payment of money rendered by any federal or state court in the United States based on civil liability, whether or not predicated solely upon the U.S. federal securities laws, would be recognized and be enforceable in France provided that a French judge considers that this judgment meets the requirements under the French rules of international private law concerning the recognition and the enforcement of foreign judgments and is capable of being immediately enforced in the United States. A French court is therefore likely to grant the enforcement of a foreign judgment without a review of the substantive matters thereby adjudicated, only if: (1) the United States federal or state court has jurisdiction and the dispute is clearly connected to the territory of the court which rendered the judgment (2) the judgment is not tainted by fraud, (3) the judgment complies with French substantive and procedural rules of international public policy (</w:t>
      </w:r>
      <w:r>
        <w:rPr>
          <w:rFonts w:ascii="Times New Roman" w:cs="Times New Roman" w:eastAsia="Times New Roman" w:hAnsi="Times New Roman"/>
          <w:sz w:val="14"/>
          <w:szCs w:val="14"/>
          <w:i w:val="1"/>
          <w:iCs w:val="1"/>
          <w:color w:val="auto"/>
        </w:rPr>
        <w:t>ordre public international</w:t>
      </w:r>
      <w:r>
        <w:rPr>
          <w:rFonts w:ascii="Times New Roman" w:cs="Times New Roman" w:eastAsia="Times New Roman" w:hAnsi="Times New Roman"/>
          <w:sz w:val="14"/>
          <w:szCs w:val="14"/>
          <w:color w:val="auto"/>
        </w:rPr>
        <w:t>), including principles of due process (</w:t>
      </w:r>
      <w:r>
        <w:rPr>
          <w:rFonts w:ascii="Times New Roman" w:cs="Times New Roman" w:eastAsia="Times New Roman" w:hAnsi="Times New Roman"/>
          <w:sz w:val="14"/>
          <w:szCs w:val="14"/>
          <w:i w:val="1"/>
          <w:iCs w:val="1"/>
          <w:color w:val="auto"/>
        </w:rPr>
        <w:t>principe du contradictoire</w:t>
      </w:r>
      <w:r>
        <w:rPr>
          <w:rFonts w:ascii="Times New Roman" w:cs="Times New Roman" w:eastAsia="Times New Roman" w:hAnsi="Times New Roman"/>
          <w:sz w:val="14"/>
          <w:szCs w:val="14"/>
          <w:color w:val="auto"/>
        </w:rPr>
        <w:t>) and notably the right to a fair trial, and (4) the judgment is not irreconcilable with an earlier judgment rendered or recognized by a French court in the same or related matter. The French court may require all relevant supporting documents to be translated into the French language by a “sworn translator” (</w:t>
      </w:r>
      <w:r>
        <w:rPr>
          <w:rFonts w:ascii="Times New Roman" w:cs="Times New Roman" w:eastAsia="Times New Roman" w:hAnsi="Times New Roman"/>
          <w:sz w:val="14"/>
          <w:szCs w:val="14"/>
          <w:i w:val="1"/>
          <w:iCs w:val="1"/>
          <w:color w:val="auto"/>
        </w:rPr>
        <w:t>traducteur assermenté</w:t>
      </w:r>
      <w:r>
        <w:rPr>
          <w:rFonts w:ascii="Times New Roman" w:cs="Times New Roman" w:eastAsia="Times New Roman" w:hAnsi="Times New Roman"/>
          <w:sz w:val="14"/>
          <w:szCs w:val="14"/>
          <w:color w:val="auto"/>
        </w:rPr>
        <w:t>) as a condition to their admissibility into evidence or for purposes of enforcement. The decision granting exequatur is subject to appeal, with the appeal court decision also being rendered on the basis of the above-mentioned criteria.</w:t>
      </w:r>
    </w:p>
    <w:p>
      <w:pPr>
        <w:spacing w:after="0" w:line="146"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judgment awarding punitive and exemplary damages well above actual damages would be granted enforcement in France.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Finally, if an original action is brought in France, French courts may refuse to apply foreign law designated by the applicable French rules of conflict (including the law chosen by the parties to govern their contract) if the application of such law is deemed to contravene French international public policy or in case of overriding mandatory rules (as determined on a case by case basis by French courts) or, where all other elements relevant to the situation at the time of the choice are located in a country other than the country whose law has been chosen, the choice of the parties shall not prejudice the application of provisions of the law of that other country which cannot be derogated from by agreement. Furthermore, in an action brought in France on the basis of U.S. federal or state securities laws, French courts may not have the requisite power to grant all the remedies sought.</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As a result,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S-42</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Cooley LLP, New York, New York, is representing us in regards to certain matters governed by U.S. law in connection with this offering. The validity of our ordinary shares, including ordinary shares represented by the ADSs, and certain other matters governed by French law is being passed on for us by Orrick, Herrington &amp; Sutcliffe (Europe) LLP, Paris, France. Latham &amp; Watkins LLP, New York, New York, is representing the underwriters in connection with the offering with respect to U.S. federal law, and Gide Loyrette Nouel A.A.R.P.I. is representing the underwriters in connection with the offering with respect to French law.</w:t>
      </w:r>
    </w:p>
    <w:p>
      <w:pPr>
        <w:spacing w:after="0" w:line="3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supplement by reference to the Annual Report on Form 20-F for the year ended December 31, 2025 have been so incorporated in reliance on the report of PricewaterhouseCoopers Audit, an independent registered public accounting firm, given on the authority of said firm as experts in accounting and auditing.</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offices of PricewaterhouseCoopers Audit are located at 63, rue de Villiers, 92208 Neuilly-sur-Seine, France.</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S-43</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8"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F-3 under the Securities Act with respect to the securities described in this prospectus supplement. A related registration statement on Form F-6 has been filed with the SEC to register the ADSs. This prospectus supplement and the accompanying prospectus, which forms a part of the registration statement, do not contain all of the information included in the registration statement.</w:t>
      </w:r>
    </w:p>
    <w:p>
      <w:pPr>
        <w:spacing w:after="0" w:line="141"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The SEC maintains a website (http://www.sec.gov) that contains reports and other information regarding registrants, such as Abivax, that file electronically with the SEC.</w:t>
      </w:r>
    </w:p>
    <w:p>
      <w:pPr>
        <w:spacing w:after="0" w:line="125"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We are subject to the information reporting requirements of the Exchange Act applicable to foreign private issuers and under those requirements file reports with the SEC. Accordingly, we are required to file or furnish reports and other information with the SEC, including Annual Reports on Form 20-F and Reports on Form 6-K. As a foreign private issuer, we are exempt from the rules under the Exchange Act related to the furnishing and content of proxy statements, and our executive officers, board members and principal shareholders are exempt from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w:t>
      </w:r>
    </w:p>
    <w:p>
      <w:pPr>
        <w:spacing w:after="0" w:line="144"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We maintain a corporate website at www.abivax.com. Information contained on, or that can be accessed through, our website does not constitute a part of this prospectus. We have included our website address in this prospectus solely as an inactive textual reference.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S-44</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8"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Additional Information.” The documents we are incorporating by reference are:</w:t>
      </w:r>
    </w:p>
    <w:p>
      <w:pPr>
        <w:spacing w:after="0" w:line="74" w:lineRule="exact"/>
        <w:rPr>
          <w:sz w:val="20"/>
          <w:szCs w:val="20"/>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20-F for the fiscal year ended December 31, 2025, filed with the SEC on </w:t>
      </w:r>
      <w:hyperlink r:id="rId72">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auto"/>
        </w:rPr>
        <w:t>;</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29"/>
        </w:numPr>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auto"/>
          </w:rPr>
          <w:t xml:space="preserve">our Reports on Form 6-K filed with the SEC on </w:t>
        </w:r>
        <w:r>
          <w:rPr>
            <w:rFonts w:ascii="Times New Roman" w:cs="Times New Roman" w:eastAsia="Times New Roman" w:hAnsi="Times New Roman"/>
            <w:sz w:val="14"/>
            <w:szCs w:val="14"/>
            <w:u w:val="single" w:color="auto"/>
            <w:color w:val="0000EE"/>
          </w:rPr>
          <w:t>February 23,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2,</w:t>
        </w:r>
      </w:hyperlink>
      <w:r>
        <w:rPr>
          <w:rFonts w:ascii="Times New Roman" w:cs="Times New Roman" w:eastAsia="Times New Roman" w:hAnsi="Times New Roman"/>
          <w:sz w:val="14"/>
          <w:szCs w:val="14"/>
          <w:color w:val="auto"/>
        </w:rPr>
        <w:t xml:space="preserve"> </w:t>
      </w:r>
      <w:hyperlink r:id="rId73">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74">
        <w:r>
          <w:rPr>
            <w:rFonts w:ascii="Times New Roman" w:cs="Times New Roman" w:eastAsia="Times New Roman" w:hAnsi="Times New Roman"/>
            <w:sz w:val="14"/>
            <w:szCs w:val="14"/>
            <w:u w:val="single" w:color="auto"/>
            <w:color w:val="0000EE"/>
          </w:rPr>
          <w:t>June 29, 2026</w:t>
        </w:r>
      </w:hyperlink>
      <w:hyperlink r:id="rId73">
        <w:r>
          <w:rPr>
            <w:rFonts w:ascii="Times New Roman" w:cs="Times New Roman" w:eastAsia="Times New Roman" w:hAnsi="Times New Roman"/>
            <w:sz w:val="14"/>
            <w:szCs w:val="14"/>
            <w:color w:val="000000"/>
          </w:rPr>
          <w:t>, solely to the extent the information in such reports has been incorporated by reference into the registration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statement of which this prospectus supplement forms a part; and</w:t>
      </w:r>
    </w:p>
    <w:p>
      <w:pPr>
        <w:spacing w:after="0" w:line="62" w:lineRule="exact"/>
        <w:rPr>
          <w:rFonts w:ascii="Times New Roman" w:cs="Times New Roman" w:eastAsia="Times New Roman" w:hAnsi="Times New Roman"/>
          <w:sz w:val="14"/>
          <w:szCs w:val="14"/>
          <w:color w:val="0000EE"/>
        </w:rPr>
      </w:pPr>
    </w:p>
    <w:p>
      <w:pPr>
        <w:ind w:left="2100" w:right="479" w:hanging="328"/>
        <w:spacing w:after="0" w:line="267" w:lineRule="auto"/>
        <w:tabs>
          <w:tab w:leader="none" w:pos="2100" w:val="left"/>
        </w:tabs>
        <w:numPr>
          <w:ilvl w:val="0"/>
          <w:numId w:val="29"/>
        </w:numPr>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auto"/>
        </w:rPr>
        <w:t xml:space="preserve">the description of ADSs representing our ordinary shares contained in our Registration Statement on Form 8-A filed with the SEC on </w:t>
      </w:r>
      <w:hyperlink r:id="rId75">
        <w:r>
          <w:rPr>
            <w:rFonts w:ascii="Times New Roman" w:cs="Times New Roman" w:eastAsia="Times New Roman" w:hAnsi="Times New Roman"/>
            <w:sz w:val="14"/>
            <w:szCs w:val="14"/>
            <w:u w:val="single" w:color="auto"/>
            <w:color w:val="0000EE"/>
          </w:rPr>
          <w:t>October 18, 2023</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including any amendments or reports filed for the purpose of updating such description, including Exhibit 2.3 to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Annual Report on Form 20-F for the fiscal year ended December 31, 2025, filed with the SEC on </w:t>
      </w:r>
      <w:hyperlink r:id="rId72">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000000"/>
        </w:rPr>
        <w:t>.</w:t>
      </w:r>
    </w:p>
    <w:p>
      <w:pPr>
        <w:spacing w:after="0" w:line="136" w:lineRule="exact"/>
        <w:rPr>
          <w:rFonts w:ascii="Times New Roman" w:cs="Times New Roman" w:eastAsia="Times New Roman" w:hAnsi="Times New Roman"/>
          <w:sz w:val="14"/>
          <w:szCs w:val="14"/>
          <w:color w:val="auto"/>
        </w:rPr>
      </w:pPr>
    </w:p>
    <w:p>
      <w:pPr>
        <w:ind w:left="1360" w:right="359" w:firstLine="343"/>
        <w:spacing w:after="0" w:line="259" w:lineRule="auto"/>
        <w:rPr>
          <w:sz w:val="20"/>
          <w:szCs w:val="20"/>
          <w:color w:val="auto"/>
        </w:rPr>
      </w:pPr>
      <w:r>
        <w:rPr>
          <w:rFonts w:ascii="Times New Roman" w:cs="Times New Roman" w:eastAsia="Times New Roman" w:hAnsi="Times New Roman"/>
          <w:sz w:val="14"/>
          <w:szCs w:val="14"/>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prospectus. In all cases, you should rely on the later information over different information included in this prospectus or any accompanying prospectus supplement. The SEC file number for the documents incorporated by reference into this prospectus supplement is 001-41842.</w:t>
      </w:r>
    </w:p>
    <w:p>
      <w:pPr>
        <w:spacing w:after="0" w:line="141" w:lineRule="exact"/>
        <w:rPr>
          <w:rFonts w:ascii="Times New Roman" w:cs="Times New Roman" w:eastAsia="Times New Roman" w:hAnsi="Times New Roman"/>
          <w:sz w:val="14"/>
          <w:szCs w:val="14"/>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and the accompanying prospectus, other than exhibits to those documents unless such exhibits are specifically incorporated by reference in this prospectus supplement, will be provided at no cost to each person, including any beneficial owner, who receives a copy of this prospectus supplement and the accompanying prospectus on the written or oral request of that person made to:</w:t>
      </w:r>
    </w:p>
    <w:p>
      <w:pPr>
        <w:spacing w:after="0" w:line="30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Abivax SA</w:t>
      </w:r>
    </w:p>
    <w:p>
      <w:pPr>
        <w:spacing w:after="0" w:line="2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7-11 Boulevard Haussmann</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75009 Paris</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France</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 +33 1 53 83 09 63</w:t>
      </w:r>
    </w:p>
    <w:p>
      <w:pPr>
        <w:spacing w:after="0" w:line="159" w:lineRule="exact"/>
        <w:rPr>
          <w:rFonts w:ascii="Times New Roman" w:cs="Times New Roman" w:eastAsia="Times New Roman" w:hAnsi="Times New Roman"/>
          <w:sz w:val="14"/>
          <w:szCs w:val="14"/>
          <w:color w:val="auto"/>
        </w:rPr>
      </w:pPr>
    </w:p>
    <w:p>
      <w:pPr>
        <w:ind w:left="1360" w:right="639" w:firstLine="343"/>
        <w:spacing w:after="0" w:line="286" w:lineRule="auto"/>
        <w:rPr>
          <w:sz w:val="20"/>
          <w:szCs w:val="20"/>
          <w:color w:val="auto"/>
        </w:rPr>
      </w:pPr>
      <w:r>
        <w:rPr>
          <w:rFonts w:ascii="Times New Roman" w:cs="Times New Roman" w:eastAsia="Times New Roman" w:hAnsi="Times New Roman"/>
          <w:sz w:val="14"/>
          <w:szCs w:val="14"/>
          <w:color w:val="auto"/>
        </w:rPr>
        <w:t xml:space="preserve">You may also access these documents on our website, </w:t>
      </w:r>
      <w:r>
        <w:rPr>
          <w:rFonts w:ascii="Times New Roman" w:cs="Times New Roman" w:eastAsia="Times New Roman" w:hAnsi="Times New Roman"/>
          <w:sz w:val="14"/>
          <w:szCs w:val="14"/>
          <w:i w:val="1"/>
          <w:iCs w:val="1"/>
          <w:color w:val="auto"/>
        </w:rPr>
        <w:t>www.abivax.com</w:t>
      </w:r>
      <w:r>
        <w:rPr>
          <w:rFonts w:ascii="Times New Roman" w:cs="Times New Roman" w:eastAsia="Times New Roman" w:hAnsi="Times New Roman"/>
          <w:sz w:val="14"/>
          <w:szCs w:val="14"/>
          <w:color w:val="auto"/>
        </w:rPr>
        <w:t>. The information contained on, or that can be accessed through, our website is not a part of this prospectus. We have included our website address in this prospectus solely as an inactive textual reference.</w:t>
      </w:r>
    </w:p>
    <w:p>
      <w:pPr>
        <w:spacing w:after="0" w:line="71"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S-45</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S-46</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135255</wp:posOffset>
            </wp:positionV>
            <wp:extent cx="1349375" cy="200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349375" cy="20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American Depositary Shares representing Ordinary Shares</w:t>
      </w:r>
    </w:p>
    <w:p>
      <w:pPr>
        <w:jc w:val="center"/>
        <w:ind w:right="-1140"/>
        <w:spacing w:after="0" w:line="232" w:lineRule="auto"/>
        <w:rPr>
          <w:sz w:val="20"/>
          <w:szCs w:val="20"/>
          <w:color w:val="auto"/>
        </w:rPr>
      </w:pPr>
      <w:r>
        <w:rPr>
          <w:rFonts w:ascii="Times New Roman" w:cs="Times New Roman" w:eastAsia="Times New Roman" w:hAnsi="Times New Roman"/>
          <w:sz w:val="17"/>
          <w:szCs w:val="17"/>
          <w:b w:val="1"/>
          <w:bCs w:val="1"/>
          <w:color w:val="auto"/>
        </w:rPr>
        <w:t>Warrants to Purchase Ordinary Shares or American Depositary Shares</w:t>
      </w: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178435</wp:posOffset>
            </wp:positionV>
            <wp:extent cx="11493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We and/or any selling security holder may offer and sell from time to time the securities described in this prospectus, either individually or in any combination, in one or more offerings at prices and on terms that will be determined at the time of the offering.</w:t>
      </w:r>
    </w:p>
    <w:p>
      <w:pPr>
        <w:spacing w:after="0" w:line="12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This prospectus describes the general terms of these securities and the general manner in which these securities will be offered. We will provide you with the specific terms of any offering in one or more supplements to this prospectus. We and/or our selling security holders may offer these securities in amounts, at prices and on terms determined at the time of offering. We and/or our selling security holders may sell the securities through public or private transactions directly to you, through agents, or through underwriters and dealers on or off the Nasdaq Global Market.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45" w:lineRule="exact"/>
        <w:rPr>
          <w:sz w:val="20"/>
          <w:szCs w:val="20"/>
          <w:color w:val="auto"/>
        </w:rPr>
      </w:pPr>
    </w:p>
    <w:p>
      <w:pPr>
        <w:ind w:left="1360" w:right="299"/>
        <w:spacing w:after="0" w:line="279" w:lineRule="auto"/>
        <w:rPr>
          <w:sz w:val="20"/>
          <w:szCs w:val="20"/>
          <w:color w:val="auto"/>
        </w:rPr>
      </w:pPr>
      <w:r>
        <w:rPr>
          <w:rFonts w:ascii="Times New Roman" w:cs="Times New Roman" w:eastAsia="Times New Roman" w:hAnsi="Times New Roman"/>
          <w:sz w:val="13"/>
          <w:szCs w:val="13"/>
          <w:color w:val="auto"/>
        </w:rPr>
        <w:t>Our securities may be sold directly by us or any selling security holders to you,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Other than any securities sold in connection with a rights offering, we will only sell securities pursuant to this prospectus for which preferential subscription rights shall have been waived by our shareholders in accordance with French law.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w:t>
      </w:r>
    </w:p>
    <w:p>
      <w:pPr>
        <w:spacing w:after="0" w:line="130"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Our ADSs are listed on the Nasdaq Global Market under the symbol “ABVX.” On June 29, 2026, the last reported sale price of the ADSs on the Nasdaq Global Market was $96.15 per ADS. Our ordinary shares are listed on Euronext Paris under the symbol “ABVX.” On June 29, 2026, the closing price of our ordinary shares on Euronext Paris was €83.30 per ordinary share. Each ADS represents the right to receive one ordinary share, and the ADSs may be evidenced by American Depositary Receipts (“ADRs”). The applicable prospectus supplement will contain information, where applicable, as to any other listing, if any, on the Nasdaq Global Market or any securities market or other securities exchange of the securities covered by the prospectus supplement. There is currently no market through which warrants may be sold, and purchasers may not be able to resell warrants purchased under this prospectus. This may affect the pricing of any warrants in the secondary market, the transparency and availability of trading prices, the liquidity of the warrants and the extent of issuer regulation.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167640</wp:posOffset>
            </wp:positionV>
            <wp:extent cx="114935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98" w:lineRule="exact"/>
        <w:rPr>
          <w:sz w:val="20"/>
          <w:szCs w:val="20"/>
          <w:color w:val="auto"/>
        </w:rPr>
      </w:pPr>
    </w:p>
    <w:p>
      <w:pPr>
        <w:ind w:left="1360" w:right="399" w:firstLine="343"/>
        <w:spacing w:after="0" w:line="239"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deciding whether to invest in our securities, you should consider carefully the risks that we have described under the caption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6 of this prospectus and in our most recent Annual Report on Form 20-F and any other reports or documents incorporated by reference into this prospectus. We may also include specific risk factors in supplements to this prospectus under the caption “Risk Factors.” This prospectus may not be used to sell our securities unless accompanied by a prospectus supplement.</w:t>
      </w:r>
    </w:p>
    <w:p>
      <w:pPr>
        <w:spacing w:after="0" w:line="145"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b w:val="1"/>
          <w:bCs w:val="1"/>
          <w:color w:val="auto"/>
        </w:rPr>
        <w:t>Owning our securities may subject you to tax consequences both in France and in the United States. This prospectus and any applicable prospectus supplement may not describe these tax consequences fully. You should read the tax discussion in any applicable prospectus supplement. In addition, your ability to enforce civil liabilities under U.S. federal securities laws may be affected adversely by the fact that we are incorporated under the laws of France, many of the members of our board of directors and experts named in this prospectus are residents of France or elsewhere outside of the United States, and a substantial portion of our assets and the assets of such persons are located outside the United States. See “Enforcement of Civil Liabilities.”</w:t>
      </w:r>
    </w:p>
    <w:p>
      <w:pPr>
        <w:spacing w:after="0" w:line="140"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154305</wp:posOffset>
            </wp:positionV>
            <wp:extent cx="114935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30, 2026.</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822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PAGE</w:t>
            </w:r>
          </w:p>
        </w:tc>
        <w:tc>
          <w:tcPr>
            <w:tcW w:w="0" w:type="dxa"/>
            <w:vAlign w:val="bottom"/>
          </w:tcPr>
          <w:p>
            <w:pPr>
              <w:spacing w:after="0"/>
              <w:rPr>
                <w:sz w:val="1"/>
                <w:szCs w:val="1"/>
                <w:color w:val="auto"/>
              </w:rPr>
            </w:pPr>
          </w:p>
        </w:tc>
      </w:tr>
      <w:tr>
        <w:trPr>
          <w:trHeight w:val="127"/>
        </w:trPr>
        <w:tc>
          <w:tcPr>
            <w:tcW w:w="8220" w:type="dxa"/>
            <w:vAlign w:val="bottom"/>
            <w:gridSpan w:val="20"/>
            <w:vMerge w:val="continue"/>
          </w:tcPr>
          <w:p>
            <w:pPr>
              <w:spacing w:after="0"/>
              <w:rPr>
                <w:sz w:val="11"/>
                <w:szCs w:val="11"/>
                <w:color w:val="auto"/>
              </w:rPr>
            </w:pPr>
          </w:p>
        </w:tc>
        <w:tc>
          <w:tcPr>
            <w:tcW w:w="32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20" w:type="dxa"/>
            <w:vAlign w:val="bottom"/>
            <w:tcBorders>
              <w:top w:val="single" w:sz="8" w:color="0000EE"/>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100" w:type="dxa"/>
            <w:vAlign w:val="bottom"/>
            <w:tcBorders>
              <w:top w:val="single" w:sz="8" w:color="0000EE"/>
            </w:tcBorders>
          </w:tcPr>
          <w:p>
            <w:pPr>
              <w:spacing w:after="0"/>
              <w:rPr>
                <w:sz w:val="12"/>
                <w:szCs w:val="12"/>
                <w:color w:val="auto"/>
              </w:rPr>
            </w:pPr>
          </w:p>
        </w:tc>
        <w:tc>
          <w:tcPr>
            <w:tcW w:w="6500" w:type="dxa"/>
            <w:vAlign w:val="bottom"/>
            <w:gridSpan w:val="12"/>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4140" w:type="dxa"/>
            <w:vAlign w:val="bottom"/>
            <w:tcBorders>
              <w:top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4080" w:type="dxa"/>
            <w:vAlign w:val="bottom"/>
            <w:gridSpan w:val="2"/>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98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8"/>
              </w:rPr>
              <w:t>SELLING SECURITY HOLDERS</w:t>
            </w:r>
          </w:p>
        </w:tc>
        <w:tc>
          <w:tcPr>
            <w:tcW w:w="6240" w:type="dxa"/>
            <w:vAlign w:val="bottom"/>
            <w:gridSpan w:val="10"/>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PLAN OF DISTRIBUTION</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SHARE CAPITAL</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80" w:type="dxa"/>
            <w:vAlign w:val="bottom"/>
            <w:tcBorders>
              <w:bottom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w w:val="98"/>
              </w:rPr>
              <w:t>LIMITATIONS AFFECTING SHAREHOLDERS OF A FRENCH COMPANY</w:t>
            </w:r>
          </w:p>
        </w:tc>
        <w:tc>
          <w:tcPr>
            <w:tcW w:w="374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AMERICAN DEPOSITARY SHARES</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3360" w:type="dxa"/>
            <w:vAlign w:val="bottom"/>
            <w:tcBorders>
              <w:top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DESCRIPTION OF WARRANTS</w:t>
            </w:r>
          </w:p>
        </w:tc>
        <w:tc>
          <w:tcPr>
            <w:tcW w:w="4860" w:type="dxa"/>
            <w:vAlign w:val="bottom"/>
            <w:gridSpan w:val="3"/>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8"/>
        </w:trPr>
        <w:tc>
          <w:tcPr>
            <w:tcW w:w="2340" w:type="dxa"/>
            <w:vAlign w:val="bottom"/>
            <w:tcBorders>
              <w:top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rPr>
              <w:t>TAXATION</w:t>
            </w:r>
          </w:p>
        </w:tc>
        <w:tc>
          <w:tcPr>
            <w:tcW w:w="5880" w:type="dxa"/>
            <w:vAlign w:val="bottom"/>
            <w:gridSpan w:val="8"/>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60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3"/>
          </w:tcPr>
          <w:p>
            <w:pPr>
              <w:spacing w:after="0"/>
              <w:rPr>
                <w:sz w:val="12"/>
                <w:szCs w:val="12"/>
                <w:color w:val="auto"/>
              </w:rPr>
            </w:pPr>
          </w:p>
        </w:tc>
        <w:tc>
          <w:tcPr>
            <w:tcW w:w="7100" w:type="dxa"/>
            <w:vAlign w:val="bottom"/>
            <w:gridSpan w:val="16"/>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480" w:type="dxa"/>
            <w:vAlign w:val="bottom"/>
            <w:gridSpan w:val="1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2960" w:type="dxa"/>
            <w:vAlign w:val="bottom"/>
            <w:gridSpan w:val="1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320" w:type="dxa"/>
            <w:vAlign w:val="bottom"/>
            <w:tcBorders>
              <w:bottom w:val="single" w:sz="8" w:color="0000EE"/>
            </w:tcBorders>
            <w:gridSpan w:val="16"/>
          </w:tcPr>
          <w:p>
            <w:pPr>
              <w:spacing w:after="0" w:line="149" w:lineRule="exact"/>
              <w:rPr>
                <w:sz w:val="20"/>
                <w:szCs w:val="20"/>
                <w:color w:val="auto"/>
              </w:rPr>
            </w:pPr>
            <w:r>
              <w:rPr>
                <w:rFonts w:ascii="Times New Roman" w:cs="Times New Roman" w:eastAsia="Times New Roman" w:hAnsi="Times New Roman"/>
                <w:sz w:val="14"/>
                <w:szCs w:val="14"/>
                <w:color w:val="0000EE"/>
                <w:w w:val="99"/>
              </w:rPr>
              <w:t>INCORPORATION OF DOCUMENTS BY REFERENCE</w:t>
            </w:r>
          </w:p>
        </w:tc>
        <w:tc>
          <w:tcPr>
            <w:tcW w:w="4900" w:type="dxa"/>
            <w:vAlign w:val="bottom"/>
            <w:gridSpan w:val="4"/>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3020" w:type="dxa"/>
            <w:vAlign w:val="bottom"/>
            <w:tcBorders>
              <w:bottom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w w:val="98"/>
              </w:rPr>
              <w:t>EXPENSES ASSOCIATED WITH REGISTRATION</w:t>
            </w:r>
          </w:p>
        </w:tc>
        <w:tc>
          <w:tcPr>
            <w:tcW w:w="5200" w:type="dxa"/>
            <w:vAlign w:val="bottom"/>
            <w:gridSpan w:val="5"/>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8"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F-3 that we filed with the SEC using a “shelf” registration process available to us as a “well-known seasoned issuer,” as defined in Rule 405 under the Securities Act of 1933, as amended (the “Securities Act”). Under this shelf registration process, we may offer ordinary shares, including ordinary shares represented by ADSs, warrants to purchase ordinary shares or ADSs, and debt securities, either individually or in combination, in one or more offerings. No limit exists on the aggregate number or amount of securities we may sell pursuant to the registration statement of which this prospectus is a part. This prospectus provides you with a general description of the securities we may offer.</w:t>
      </w:r>
    </w:p>
    <w:p>
      <w:pPr>
        <w:spacing w:after="0" w:line="144" w:lineRule="exact"/>
        <w:rPr>
          <w:sz w:val="20"/>
          <w:szCs w:val="20"/>
          <w:color w:val="auto"/>
        </w:rPr>
      </w:pPr>
    </w:p>
    <w:p>
      <w:pPr>
        <w:jc w:val="both"/>
        <w:ind w:left="1360" w:right="499"/>
        <w:spacing w:after="0" w:line="259" w:lineRule="auto"/>
        <w:rPr>
          <w:sz w:val="20"/>
          <w:szCs w:val="20"/>
          <w:color w:val="auto"/>
        </w:rPr>
      </w:pPr>
      <w:r>
        <w:rPr>
          <w:rFonts w:ascii="Times New Roman" w:cs="Times New Roman" w:eastAsia="Times New Roman" w:hAnsi="Times New Roman"/>
          <w:sz w:val="14"/>
          <w:szCs w:val="14"/>
          <w:color w:val="auto"/>
        </w:rPr>
        <w:t>Under this shelf registration process, we and/or our selling security holders may offer the securities described in this prospectus from time to time at prices and on terms to be determined by market conditions at the time of offering. Registration of the securities covered by this prospectus does not mean that these securities will necessarily be offered or sold. This prospectus provides you with a general description of the securities we and/or our selling security holders may offer. Each time we and/or our selling security holders offer a type or series of securities, we will provide a prospectus supplement that will describe the specific amounts, prices and other important terms of the securities.</w:t>
      </w:r>
    </w:p>
    <w:p>
      <w:pPr>
        <w:spacing w:after="0" w:line="14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Each time we and/or our selling security 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Documents by Reference,” before investing in any of the securities offered.</w:t>
      </w:r>
    </w:p>
    <w:p>
      <w:pPr>
        <w:spacing w:after="0" w:line="143" w:lineRule="exact"/>
        <w:rPr>
          <w:sz w:val="20"/>
          <w:szCs w:val="20"/>
          <w:color w:val="auto"/>
        </w:rPr>
      </w:pPr>
    </w:p>
    <w:p>
      <w:pPr>
        <w:ind w:left="1360" w:right="819"/>
        <w:spacing w:after="0" w:line="286"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2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Neither we, nor any agent, underwriter or dealer, has authorized any person to give any information or to make any representation other than those contained in or incorporated by reference into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it relates,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4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4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 summaries of certain provisions contained in some of the documents described herein, but you should refer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Unless otherwise indicated in this prospectus, “Abivax,” “the Company,” “our Company,” “we,” “us” and “our” refer to Abivax SA and its consolidated subsidiary, taken as a whole.</w:t>
      </w:r>
    </w:p>
    <w:p>
      <w:pPr>
        <w:spacing w:after="0" w:line="125"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In this prospectus, references to “euro” or “€” are to the legal currency of the countries of the European Union, including the Republic of France, and references to “dollars,” “U.S. dollars” or “$” are to the legal currency of the United States of America.</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62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457825" cy="4462780"/>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6" w:lineRule="exact"/>
        <w:rPr>
          <w:sz w:val="20"/>
          <w:szCs w:val="20"/>
          <w:color w:val="auto"/>
        </w:rPr>
      </w:pPr>
    </w:p>
    <w:p>
      <w:pPr>
        <w:ind w:left="1500" w:right="379"/>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or free writing prospectus. Investing in our securities involves risks. Therefore, carefully consider the risk factors set forth in any prospectus supplements and in our most recent filings with the SEC including our Annual Reports on Form 20-F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4" w:lineRule="exact"/>
        <w:rPr>
          <w:sz w:val="20"/>
          <w:szCs w:val="20"/>
          <w:color w:val="auto"/>
        </w:rPr>
      </w:pPr>
    </w:p>
    <w:p>
      <w:pPr>
        <w:ind w:left="1500" w:right="439"/>
        <w:spacing w:after="0" w:line="259" w:lineRule="auto"/>
        <w:rPr>
          <w:sz w:val="20"/>
          <w:szCs w:val="20"/>
          <w:color w:val="auto"/>
        </w:rPr>
      </w:pPr>
      <w:r>
        <w:rPr>
          <w:rFonts w:ascii="Times New Roman" w:cs="Times New Roman" w:eastAsia="Times New Roman" w:hAnsi="Times New Roman"/>
          <w:sz w:val="14"/>
          <w:szCs w:val="14"/>
          <w:color w:val="auto"/>
        </w:rPr>
        <w:t>We are a clinical-stage biotechnology company focused on developing therapeutics that harness the body’s natural regulatory mechanisms to stabilize the immune response in patients with chronic inflammatory diseases. We focus on indications where existing treatments have left patients with significant unmet needs, and where we believe our investigational agents have the potential to be meaningfully differentiated from currently available therapies. Our initial focus is on inflammatory bowel diseases (“IBD”), chronic conditions involving inflammation of the gastrointestinal tract, of which the two most common forms are ulcerative colitis (“UC”) and Crohn’s disease (“CD”).</w:t>
      </w:r>
    </w:p>
    <w:p>
      <w:pPr>
        <w:spacing w:after="0" w:line="141" w:lineRule="exact"/>
        <w:rPr>
          <w:sz w:val="20"/>
          <w:szCs w:val="20"/>
          <w:color w:val="auto"/>
        </w:rPr>
      </w:pPr>
    </w:p>
    <w:p>
      <w:pPr>
        <w:ind w:left="1500" w:right="459"/>
        <w:spacing w:after="0" w:line="255" w:lineRule="auto"/>
        <w:rPr>
          <w:sz w:val="20"/>
          <w:szCs w:val="20"/>
          <w:color w:val="auto"/>
        </w:rPr>
      </w:pPr>
      <w:r>
        <w:rPr>
          <w:rFonts w:ascii="Times New Roman" w:cs="Times New Roman" w:eastAsia="Times New Roman" w:hAnsi="Times New Roman"/>
          <w:sz w:val="14"/>
          <w:szCs w:val="14"/>
          <w:color w:val="auto"/>
        </w:rPr>
        <w:t>We believe our lead drug candidate, obefazimod, is differentiated from competing approaches for the treatment of IBD via its novel mechanism of action. Obefazimod was demonstrated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147" w:lineRule="exact"/>
        <w:rPr>
          <w:sz w:val="20"/>
          <w:szCs w:val="20"/>
          <w:color w:val="auto"/>
        </w:rPr>
      </w:pPr>
    </w:p>
    <w:p>
      <w:pPr>
        <w:ind w:left="1500" w:right="699"/>
        <w:spacing w:after="0" w:line="297" w:lineRule="auto"/>
        <w:rPr>
          <w:sz w:val="20"/>
          <w:szCs w:val="20"/>
          <w:color w:val="auto"/>
        </w:rPr>
      </w:pPr>
      <w:r>
        <w:rPr>
          <w:rFonts w:ascii="Times New Roman" w:cs="Times New Roman" w:eastAsia="Times New Roman" w:hAnsi="Times New Roman"/>
          <w:sz w:val="13"/>
          <w:szCs w:val="13"/>
          <w:color w:val="auto"/>
        </w:rPr>
        <w:t>Our lead drug candidate, obefazimod, is currently being developed for the treatment of moderately to severely active UC and CD. We are also evaluating potential combination therapy opportunities in IBD to pursue. In parallel, we are in the process of strengthening our development portfolio by generating follow-on compounds based on our miR-124 platform and assessing external early drug candidates in IBD.</w:t>
      </w:r>
    </w:p>
    <w:p>
      <w:pPr>
        <w:spacing w:after="0" w:line="2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2" w:lineRule="exact"/>
        <w:rPr>
          <w:sz w:val="20"/>
          <w:szCs w:val="20"/>
          <w:color w:val="auto"/>
        </w:rPr>
      </w:pPr>
    </w:p>
    <w:p>
      <w:pPr>
        <w:ind w:left="1500" w:right="499"/>
        <w:spacing w:after="0" w:line="262" w:lineRule="auto"/>
        <w:rPr>
          <w:sz w:val="20"/>
          <w:szCs w:val="20"/>
          <w:color w:val="auto"/>
        </w:rPr>
      </w:pPr>
      <w:r>
        <w:rPr>
          <w:rFonts w:ascii="Times New Roman" w:cs="Times New Roman" w:eastAsia="Times New Roman" w:hAnsi="Times New Roman"/>
          <w:sz w:val="14"/>
          <w:szCs w:val="14"/>
          <w:color w:val="auto"/>
        </w:rPr>
        <w:t xml:space="preserve">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 +33 (0) 1 53 83 09 63. We have one wholly owned subsidiary, Abivax LLC, a Delaware limited liability company, formed on March 20, 2023.</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Our ADSs began trading on the Nasdaq Global Market in October 2023.</w:t>
      </w:r>
    </w:p>
    <w:p>
      <w:pPr>
        <w:spacing w:after="0" w:line="2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76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457825" cy="4476115"/>
                    </a:xfrm>
                    <a:prstGeom prst="rect">
                      <a:avLst/>
                    </a:prstGeom>
                    <a:noFill/>
                  </pic:spPr>
                </pic:pic>
              </a:graphicData>
            </a:graphic>
          </wp:anchor>
        </w:drawing>
      </w:r>
    </w:p>
    <w:p>
      <w:pPr>
        <w:spacing w:after="0" w:line="368" w:lineRule="exact"/>
        <w:rPr>
          <w:sz w:val="20"/>
          <w:szCs w:val="20"/>
          <w:color w:val="auto"/>
        </w:rPr>
      </w:pPr>
    </w:p>
    <w:p>
      <w:pPr>
        <w:ind w:left="1500" w:right="399"/>
        <w:spacing w:after="0" w:line="261" w:lineRule="auto"/>
        <w:rPr>
          <w:sz w:val="20"/>
          <w:szCs w:val="20"/>
          <w:color w:val="auto"/>
        </w:rPr>
      </w:pPr>
      <w:r>
        <w:rPr>
          <w:rFonts w:ascii="Times New Roman" w:cs="Times New Roman" w:eastAsia="Times New Roman" w:hAnsi="Times New Roman"/>
          <w:sz w:val="14"/>
          <w:szCs w:val="14"/>
          <w:color w:val="auto"/>
        </w:rPr>
        <w:t>The SEC maintains a website that contains reports, proxy information statements and other information regarding issuers that file electronically with the SEC. The address of that site is www.sec.gov. Our website address is www.abivax.com. The reference to our website is an inactive textual reference only and information contained in, or that can be accessed through, our website or any other website cited in this prospectus is not part of this prospectus.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4" w:lineRule="exact"/>
        <w:rPr>
          <w:sz w:val="20"/>
          <w:szCs w:val="20"/>
          <w:color w:val="auto"/>
        </w:rPr>
      </w:pPr>
    </w:p>
    <w:p>
      <w:pPr>
        <w:jc w:val="both"/>
        <w:ind w:left="1500" w:right="479"/>
        <w:spacing w:after="0" w:line="267"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U.S. Jumpstart Our Business Startups Act of 2012 (“JOBS Act”). As an emerging growth company, we may take advantage of specified reduced disclosure and other requirements that are otherwise applicable generally to public companies. These provisions include:</w:t>
      </w:r>
    </w:p>
    <w:p>
      <w:pPr>
        <w:spacing w:after="0" w:line="62" w:lineRule="exact"/>
        <w:rPr>
          <w:sz w:val="20"/>
          <w:szCs w:val="20"/>
          <w:color w:val="auto"/>
        </w:rPr>
      </w:pPr>
    </w:p>
    <w:p>
      <w:pPr>
        <w:ind w:left="2220" w:hanging="316"/>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auditor attestation requirements of Section 404 of the Sarbanes-Oxley Act of 2002; and</w:t>
      </w:r>
    </w:p>
    <w:p>
      <w:pPr>
        <w:spacing w:after="0" w:line="102" w:lineRule="exact"/>
        <w:rPr>
          <w:rFonts w:ascii="Times New Roman" w:cs="Times New Roman" w:eastAsia="Times New Roman" w:hAnsi="Times New Roman"/>
          <w:sz w:val="14"/>
          <w:szCs w:val="14"/>
          <w:color w:val="auto"/>
        </w:rPr>
      </w:pPr>
    </w:p>
    <w:p>
      <w:pPr>
        <w:ind w:left="2220" w:right="399" w:hanging="316"/>
        <w:spacing w:after="0" w:line="267" w:lineRule="auto"/>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36" w:lineRule="exact"/>
        <w:rPr>
          <w:sz w:val="20"/>
          <w:szCs w:val="20"/>
          <w:color w:val="auto"/>
        </w:rPr>
      </w:pPr>
    </w:p>
    <w:p>
      <w:pPr>
        <w:ind w:left="1500" w:right="459"/>
        <w:spacing w:after="0" w:line="257" w:lineRule="auto"/>
        <w:rPr>
          <w:sz w:val="20"/>
          <w:szCs w:val="20"/>
          <w:color w:val="auto"/>
        </w:rPr>
      </w:pPr>
      <w:r>
        <w:rPr>
          <w:rFonts w:ascii="Times New Roman" w:cs="Times New Roman" w:eastAsia="Times New Roman" w:hAnsi="Times New Roman"/>
          <w:sz w:val="14"/>
          <w:szCs w:val="14"/>
          <w:color w:val="auto"/>
        </w:rPr>
        <w:t>We may take advantage of these provisions until December 31, 2028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w:t>
      </w:r>
    </w:p>
    <w:p>
      <w:pPr>
        <w:spacing w:after="0" w:line="144" w:lineRule="exact"/>
        <w:rPr>
          <w:sz w:val="20"/>
          <w:szCs w:val="20"/>
          <w:color w:val="auto"/>
        </w:rPr>
      </w:pPr>
    </w:p>
    <w:p>
      <w:pPr>
        <w:ind w:left="1500" w:right="459"/>
        <w:spacing w:after="0" w:line="256" w:lineRule="auto"/>
        <w:rPr>
          <w:sz w:val="20"/>
          <w:szCs w:val="20"/>
          <w:color w:val="auto"/>
        </w:rPr>
      </w:pPr>
      <w:r>
        <w:rPr>
          <w:rFonts w:ascii="Times New Roman" w:cs="Times New Roman" w:eastAsia="Times New Roman" w:hAnsi="Times New Roman"/>
          <w:sz w:val="14"/>
          <w:szCs w:val="14"/>
          <w:color w:val="auto"/>
        </w:rPr>
        <w:t>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94" w:lineRule="exact"/>
        <w:rPr>
          <w:sz w:val="20"/>
          <w:szCs w:val="20"/>
          <w:color w:val="auto"/>
        </w:rPr>
      </w:pPr>
    </w:p>
    <w:p>
      <w:pPr>
        <w:ind w:left="1500" w:right="379"/>
        <w:spacing w:after="0" w:line="256" w:lineRule="auto"/>
        <w:rPr>
          <w:sz w:val="20"/>
          <w:szCs w:val="20"/>
          <w:color w:val="auto"/>
        </w:rPr>
      </w:pPr>
      <w:r>
        <w:rPr>
          <w:rFonts w:ascii="Times New Roman" w:cs="Times New Roman" w:eastAsia="Times New Roman" w:hAnsi="Times New Roman"/>
          <w:sz w:val="14"/>
          <w:szCs w:val="14"/>
          <w:color w:val="auto"/>
        </w:rPr>
        <w:t>We are also considered a “foreign private issuer” under U.S. securities laws. In our capacity as a foreign private issuer, we are exempt from certain rules under the U.S. Securities Exchange Act of 1934, as amended (the “Exchange Act”), that impose certain disclosure obligations and procedural requirements for proxy solicitations under Section 14 of the Exchange Act. In addition, members of our board of directors and our principal shareholders are exempt from the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257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457825" cy="5257800"/>
                    </a:xfrm>
                    <a:prstGeom prst="rect">
                      <a:avLst/>
                    </a:prstGeom>
                    <a:noFill/>
                  </pic:spPr>
                </pic:pic>
              </a:graphicData>
            </a:graphic>
          </wp:anchor>
        </w:drawing>
      </w:r>
    </w:p>
    <w:p>
      <w:pPr>
        <w:spacing w:after="0" w:line="368" w:lineRule="exact"/>
        <w:rPr>
          <w:sz w:val="20"/>
          <w:szCs w:val="20"/>
          <w:color w:val="auto"/>
        </w:rPr>
      </w:pPr>
    </w:p>
    <w:p>
      <w:pPr>
        <w:ind w:left="1500" w:right="619"/>
        <w:spacing w:after="0" w:line="261"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Securities We and/or Our Selling Security Holders May Offer</w:t>
      </w:r>
    </w:p>
    <w:p>
      <w:pPr>
        <w:spacing w:after="0" w:line="94" w:lineRule="exact"/>
        <w:rPr>
          <w:sz w:val="20"/>
          <w:szCs w:val="20"/>
          <w:color w:val="auto"/>
        </w:rPr>
      </w:pPr>
    </w:p>
    <w:p>
      <w:pPr>
        <w:ind w:left="1500" w:right="399"/>
        <w:spacing w:after="0" w:line="257" w:lineRule="auto"/>
        <w:rPr>
          <w:sz w:val="20"/>
          <w:szCs w:val="20"/>
          <w:color w:val="auto"/>
        </w:rPr>
      </w:pPr>
      <w:r>
        <w:rPr>
          <w:rFonts w:ascii="Times New Roman" w:cs="Times New Roman" w:eastAsia="Times New Roman" w:hAnsi="Times New Roman"/>
          <w:sz w:val="14"/>
          <w:szCs w:val="14"/>
          <w:color w:val="auto"/>
        </w:rPr>
        <w:t>Under this prospectus, we and/or our selling security holders may offer ordinary shares, including ADSs representing our ordinary shares, warrants to purchase ordinary shares or ADSs, and debt securities, either individually or in any combination, from time to time at prices and on terms to be determined by market conditions at the time of the offering. This prospectus provides you with a general description of the securities we and/or our selling security holders may offer. Each time we and/or our selling security holders offer a type or series of securities under this prospectus, we will provide a prospectus supplement that will describe the specific amounts, prices and other important terms of the securities, including, to the extent applicable:</w:t>
      </w:r>
    </w:p>
    <w:p>
      <w:pPr>
        <w:spacing w:after="0" w:line="70" w:lineRule="exact"/>
        <w:rPr>
          <w:sz w:val="20"/>
          <w:szCs w:val="20"/>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if applicable;</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or sinking fund terms, if any;</w:t>
      </w:r>
    </w:p>
    <w:p>
      <w:pPr>
        <w:spacing w:after="0" w:line="102" w:lineRule="exact"/>
        <w:rPr>
          <w:rFonts w:ascii="Times New Roman" w:cs="Times New Roman" w:eastAsia="Times New Roman" w:hAnsi="Times New Roman"/>
          <w:sz w:val="14"/>
          <w:szCs w:val="14"/>
          <w:color w:val="auto"/>
        </w:rPr>
      </w:pPr>
    </w:p>
    <w:p>
      <w:pPr>
        <w:ind w:left="2220" w:right="639" w:hanging="316"/>
        <w:spacing w:after="0" w:line="283" w:lineRule="auto"/>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in the securities or other property receivable upon conversion or exchange;</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if applicable;</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if any;</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exercise prices, if any.</w:t>
      </w:r>
    </w:p>
    <w:p>
      <w:pPr>
        <w:spacing w:after="0" w:line="176" w:lineRule="exact"/>
        <w:rPr>
          <w:sz w:val="20"/>
          <w:szCs w:val="20"/>
          <w:color w:val="auto"/>
        </w:rPr>
      </w:pPr>
    </w:p>
    <w:p>
      <w:pPr>
        <w:ind w:left="1500" w:right="399"/>
        <w:spacing w:after="0" w:line="267" w:lineRule="auto"/>
        <w:rPr>
          <w:sz w:val="20"/>
          <w:szCs w:val="20"/>
          <w:color w:val="auto"/>
        </w:rPr>
      </w:pPr>
      <w:r>
        <w:rPr>
          <w:rFonts w:ascii="Times New Roman" w:cs="Times New Roman" w:eastAsia="Times New Roman" w:hAnsi="Times New Roman"/>
          <w:sz w:val="14"/>
          <w:szCs w:val="14"/>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36" w:lineRule="exact"/>
        <w:rPr>
          <w:sz w:val="20"/>
          <w:szCs w:val="20"/>
          <w:color w:val="auto"/>
        </w:rPr>
      </w:pPr>
    </w:p>
    <w:p>
      <w:pPr>
        <w:ind w:left="1500" w:right="679"/>
        <w:spacing w:after="0" w:line="267" w:lineRule="auto"/>
        <w:rPr>
          <w:sz w:val="20"/>
          <w:szCs w:val="20"/>
          <w:color w:val="auto"/>
        </w:rPr>
      </w:pPr>
      <w:r>
        <w:rPr>
          <w:rFonts w:ascii="Times New Roman" w:cs="Times New Roman" w:eastAsia="Times New Roman" w:hAnsi="Times New Roman"/>
          <w:sz w:val="14"/>
          <w:szCs w:val="14"/>
          <w:color w:val="auto"/>
        </w:rPr>
        <w:t>We and/or our selling security holders may sell the securities directly to investors or to or through agents, underwriters or dealers. We, and our agents or underwriters, reserve the right to accept or reject all or part of any proposed purchase of securities. If we and/or our selling security holders offer securities through agents or underwriters, we will include in the applicable prospectus supplement:</w:t>
      </w:r>
    </w:p>
    <w:p>
      <w:pPr>
        <w:spacing w:after="0" w:line="62" w:lineRule="exact"/>
        <w:rPr>
          <w:sz w:val="20"/>
          <w:szCs w:val="20"/>
          <w:color w:val="auto"/>
        </w:rPr>
      </w:pPr>
    </w:p>
    <w:p>
      <w:pPr>
        <w:ind w:left="2220" w:hanging="316"/>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agents or underwriters;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and commissions to be paid to them;</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or our selling security holders.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it is accompanied by a prospectus supplement.</w:t>
      </w:r>
    </w:p>
    <w:p>
      <w:pPr>
        <w:spacing w:after="0" w:line="2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20-F as updated by our subsequent filings including our Reports on Form 6-K that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contain forward-looking statements within the meaning of Section 27A of the Securities Act of 1933, as amended, and Section 21E of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and the documents incorporated by reference, the words “anticipate,” “believe,” “can,” “could,” “estimate,” “expect,” “intend,” “is designed to,” “may,” “might,” “objective,” “plan,” “potential,” “predict,” “should,” “will,” “would” or the negative of these and similar expressions identify forward-looking statements. Forward-looking statements include, but are not limited to, statements about:</w:t>
      </w:r>
    </w:p>
    <w:p>
      <w:pPr>
        <w:spacing w:after="0" w:line="71" w:lineRule="exact"/>
        <w:rPr>
          <w:sz w:val="20"/>
          <w:szCs w:val="20"/>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prospects of attaining, maintaining and expanding marketing authorization for our lead drug candidate, obefazimod;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clinical advantages of obefazimod and our future drug candidates;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preclinical and clinical trials (and those conducted by third parties) and other research and development programs;</w:t>
      </w:r>
    </w:p>
    <w:p>
      <w:pPr>
        <w:spacing w:after="0" w:line="51" w:lineRule="exact"/>
        <w:rPr>
          <w:rFonts w:ascii="Times New Roman" w:cs="Times New Roman" w:eastAsia="Times New Roman" w:hAnsi="Times New Roman"/>
          <w:sz w:val="14"/>
          <w:szCs w:val="14"/>
          <w:color w:val="auto"/>
        </w:rPr>
      </w:pPr>
    </w:p>
    <w:p>
      <w:pPr>
        <w:ind w:left="2100" w:right="63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availability of data from our clinical trials, including our Phase 3 maintenance trial of obefazimod in moderately to severely active ulcerative colitis and Phase 2b trial of obefazimod in CD;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advance drug candidates through clinical development;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meetings and filings;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obtain and maintain regulatory approvals for obefazimod and any of our future drug candidates;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drug candidates from our preclinical studies;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sales and marketing capabilities and transition into a commercial-stage company;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as well as innovations by new and existing competitors in our industry;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strategic relationships or partnerships;</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revenues, capital requirements and the need for additional financing;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w:t>
      </w:r>
    </w:p>
    <w:p>
      <w:pPr>
        <w:spacing w:after="0" w:line="102"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the global economy or global supply chain, including financial and credit market fluctuations, international trade relations, political turmoil, natural catastrophes, warfare, and terrorist attacks; and</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indicated in this prospectus and the documents incorporated by reference herein, including those under the heading “Risk Factors,” and the other documents filed or to be filed with the SEC by us.</w:t>
      </w:r>
    </w:p>
    <w:p>
      <w:pPr>
        <w:spacing w:after="0" w:line="125"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You should refer to the “Risk Factors” section contained in the applicable prospectus supplement and any related free writing prospectus, and under similar headings in the other documents that are incorporated by reference into</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this prospectus, for a discussion of important factors that may cause our actual results to differ materially from those expressed or implied by our forward-looking statements. In addition, statements that “we believe” and similar statements reflect our beliefs and opinions on the relevant subject.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Except as required by law, we undertake no obligation to publicly update any forward-looking statements, whether as a result of new information, future events or otherwise.</w:t>
      </w:r>
    </w:p>
    <w:p>
      <w:pPr>
        <w:spacing w:after="0" w:line="12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as exhibits to this prospectus completely and with the understanding that our actual future results may be materially different from what we expect. We qualify all of our forward-looking statements by these cautionary statements.</w:t>
      </w:r>
    </w:p>
    <w:p>
      <w:pPr>
        <w:spacing w:after="0" w:line="13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This prospectus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is generally reliable, such information is inherently imprecise.</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we offer pursuant to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a variety of capital preservation investments, including short-term, investment-grade, interest-bearing instruments.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will not receive any proceeds from the sale by selling security holders of the securities covered by this prospectus.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SECURITY HOLDERS</w:t>
      </w:r>
    </w:p>
    <w:p>
      <w:pPr>
        <w:spacing w:after="0" w:line="178"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Selling security holders are persons or entities that, directly or indirectly, have acquired or will from time to time acquire from us, our securities. Such selling security 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security holders,” may from time to time offer and sell our securities pursuant to this prospectus and any applicable prospectus supplement.</w:t>
      </w:r>
    </w:p>
    <w:p>
      <w:pPr>
        <w:spacing w:after="0" w:line="14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applicable prospectus supplement will set forth the name of each of the selling security holders and the number of securities beneficially owned by such selling security holders that are covered by such prospectus supplement. The applicable prospectus supplement will also disclose whether any of the selling security holders has held any position or office with, has been employed by or otherwise has had a material relationship with us during the three years prior to the date of the applicable prospectus supplement.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8" w:lineRule="exact"/>
        <w:rPr>
          <w:sz w:val="20"/>
          <w:szCs w:val="20"/>
          <w:color w:val="auto"/>
        </w:rPr>
      </w:pPr>
    </w:p>
    <w:p>
      <w:pPr>
        <w:ind w:left="1360" w:right="279"/>
        <w:spacing w:after="0" w:line="288" w:lineRule="auto"/>
        <w:rPr>
          <w:sz w:val="20"/>
          <w:szCs w:val="20"/>
          <w:color w:val="auto"/>
        </w:rPr>
      </w:pPr>
      <w:r>
        <w:rPr>
          <w:rFonts w:ascii="Times New Roman" w:cs="Times New Roman" w:eastAsia="Times New Roman" w:hAnsi="Times New Roman"/>
          <w:sz w:val="13"/>
          <w:szCs w:val="13"/>
          <w:color w:val="auto"/>
        </w:rPr>
        <w:t>We and/or our selling security holders may offer securities under this prospectus from time to time pursuant to underwritten public offerings, negotiated transactions, block trades or a combination of these methods. We and/or our selling security holders may sell the securities (1) through underwriters or dealers, (2) through agents and/or (3) directly to one or more purchasers. We and/or our selling security holders may distribute the securities from time to time in one or more transactions, in accordance with applicable law and regulations and existing shareholders delegations of authority, at:</w:t>
      </w:r>
    </w:p>
    <w:p>
      <w:pPr>
        <w:spacing w:after="0" w:line="51" w:lineRule="exact"/>
        <w:rPr>
          <w:sz w:val="20"/>
          <w:szCs w:val="20"/>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 prices, which may be changed from time to time;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sale;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such prevailing market prices;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distribution of securities may be carried out, from time to time, in one or more transactions, including:</w:t>
      </w:r>
    </w:p>
    <w:p>
      <w:pPr>
        <w:spacing w:after="0" w:line="102" w:lineRule="exact"/>
        <w:rPr>
          <w:sz w:val="20"/>
          <w:szCs w:val="20"/>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transactions and transactions on the Nasdaq Global Market or any other organized market where such securities may be traded;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own account pursuant to a prospectus supplement;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a broker-dealer solicits purchasers;</w:t>
      </w:r>
    </w:p>
    <w:p>
      <w:pPr>
        <w:spacing w:after="0" w:line="10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through an “at the market offering” as defined in Rule 415(a)(4) under the Securities Act, into an existing trading market, on an exchange or otherwise; or</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in other ways not involving market makers or established trading markets, including direct sales to purchasers.</w:t>
      </w:r>
    </w:p>
    <w:p>
      <w:pPr>
        <w:spacing w:after="0" w:line="17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Each time that we and/or our selling security 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36"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We and/or our selling security holders may directly solicit offers to purchase the securities being offered by this prospectus. We and/or our selling security holders may also designate agents to solicit offers to purchase the securities from time to time. We will name in a prospectus supplement any underwriter or agent involved in the offer or sale of the securities.</w:t>
      </w:r>
    </w:p>
    <w:p>
      <w:pPr>
        <w:spacing w:after="0" w:line="136"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If we and/or our selling security holders utilize a dealer in the sale of the securities being offered by this prospectus, we and/or our selling security holders will sell the securities to the dealer, as principal. The dealer may then resell the securities to the public at varying prices to be determined by the dealer at the time of resale.</w:t>
      </w:r>
    </w:p>
    <w:p>
      <w:pPr>
        <w:spacing w:after="0" w:line="136"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If we and/or our selling security holders utilize an underwriter in the sale of the securities being offered by this prospectus, we and/or our selling security holders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the securities for whom the underwriter may act as agent, may compensate the underwriter in the form of underwriting commissions. The underwriter may sell the securities to or through dealers, and the underwriter may compensate those dealers in the form of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We will provide in the applicable prospectus supplement information regarding any compensation we pay to underwriters, dealers or agents in connection with the offering of the securities, and any concessions or commissions allowed by underwriters to participating dealers. Underwriters, dealers and agents participating in the distribution of the securities may be deemed to be underwriters within the meaning of the Securities Act of 1933, as amended, and any commissions received by them and any profit realized by them on resale of the securities may be deemed to be underwriting commissions. We may enter into agreements to indemnify underwriters, dealers and agents against civil liabilities, including liabilities under the Securities Act, or to contribute to payments they may be required to make in respect thereof.</w:t>
      </w:r>
    </w:p>
    <w:p>
      <w:pPr>
        <w:spacing w:after="0" w:line="14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ADSs are traded, in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or other securities. The terms of each such distribution agreement will be described in a prospectus supplement.</w:t>
      </w:r>
    </w:p>
    <w:p>
      <w:pPr>
        <w:spacing w:after="0" w:line="147"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47" w:lineRule="exact"/>
        <w:rPr>
          <w:sz w:val="20"/>
          <w:szCs w:val="20"/>
          <w:color w:val="auto"/>
        </w:rPr>
      </w:pPr>
    </w:p>
    <w:p>
      <w:pPr>
        <w:jc w:val="center"/>
        <w:ind w:left="1620" w:right="40"/>
        <w:spacing w:after="0" w:line="456" w:lineRule="auto"/>
        <w:rPr>
          <w:sz w:val="20"/>
          <w:szCs w:val="20"/>
          <w:color w:val="auto"/>
        </w:rPr>
      </w:pPr>
      <w:r>
        <w:rPr>
          <w:rFonts w:ascii="Times New Roman" w:cs="Times New Roman" w:eastAsia="Times New Roman" w:hAnsi="Times New Roman"/>
          <w:sz w:val="14"/>
          <w:szCs w:val="14"/>
          <w:color w:val="auto"/>
        </w:rPr>
        <w:t>The underwriters, dealers and agents may engage in other transactions with us, or perform other services for us, in the ordinary course of their business. 12</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 xml:space="preserve">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corporate purpose in France and abroad includes the research, development and marketing of therapeutic and prophylactic vaccines and small therapeutic molecules that primarily have applications in the anti-infective field, as set forth in Article 4 of our by-laws. We may participate, by any means, directly or indirectly in any operations that may be related to our purpose through the creation of new companies, contribution, subscription or purchase of company securities or rights, merger or otherwise, creation, acquisition, leasing, management lease of any businesses or establishments. Our principal executive offices are located at 7-11 boulevard Haussmann, 75009 Paris, France, and our telephone number is +33 (0) 1 53 83 09 63.</w:t>
      </w:r>
    </w:p>
    <w:p>
      <w:pPr>
        <w:spacing w:after="0" w:line="147"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following description of our by-laws and share capital does not purport to be complete and is qualified in its entirety by reference to our by-laws as of the date of this prospectus. Copies of our by-laws may be obtained from the Trade and Company Registry (</w:t>
      </w:r>
      <w:r>
        <w:rPr>
          <w:rFonts w:ascii="Times New Roman" w:cs="Times New Roman" w:eastAsia="Times New Roman" w:hAnsi="Times New Roman"/>
          <w:sz w:val="14"/>
          <w:szCs w:val="14"/>
          <w:i w:val="1"/>
          <w:iCs w:val="1"/>
          <w:color w:val="auto"/>
        </w:rPr>
        <w:t>Greffe du Registre du Commerce et des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Sociétés</w:t>
      </w:r>
      <w:r>
        <w:rPr>
          <w:rFonts w:ascii="Times New Roman" w:cs="Times New Roman" w:eastAsia="Times New Roman" w:hAnsi="Times New Roman"/>
          <w:sz w:val="14"/>
          <w:szCs w:val="14"/>
          <w:color w:val="auto"/>
        </w:rPr>
        <w:t>) of Paris, France or our corporate headquarters and are filed as an exhibit to this registration statement of which this prospectus forms a part.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Share Capital History</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As of March 31, 2026, our share capital amounted to €792,911.88 and is divided into 79,291,188 ordinary shares of €0.01 par value each after taking into account:</w:t>
      </w:r>
    </w:p>
    <w:p>
      <w:pPr>
        <w:spacing w:after="0" w:line="13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78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40" w:type="dxa"/>
            <w:vAlign w:val="bottom"/>
          </w:tcPr>
          <w:p>
            <w:pPr>
              <w:spacing w:after="0"/>
              <w:rPr>
                <w:sz w:val="11"/>
                <w:szCs w:val="11"/>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Par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Amount of</w:t>
            </w:r>
          </w:p>
        </w:tc>
        <w:tc>
          <w:tcPr>
            <w:tcW w:w="0" w:type="dxa"/>
            <w:vAlign w:val="bottom"/>
          </w:tcPr>
          <w:p>
            <w:pPr>
              <w:spacing w:after="0"/>
              <w:rPr>
                <w:sz w:val="1"/>
                <w:szCs w:val="1"/>
                <w:color w:val="auto"/>
              </w:rPr>
            </w:pPr>
          </w:p>
        </w:tc>
      </w:tr>
      <w:tr>
        <w:trPr>
          <w:trHeight w:val="116"/>
        </w:trPr>
        <w:tc>
          <w:tcPr>
            <w:tcW w:w="46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Paid</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780" w:type="dxa"/>
            <w:vAlign w:val="bottom"/>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Up Capital</w:t>
            </w:r>
          </w:p>
        </w:tc>
        <w:tc>
          <w:tcPr>
            <w:tcW w:w="0" w:type="dxa"/>
            <w:vAlign w:val="bottom"/>
          </w:tcPr>
          <w:p>
            <w:pPr>
              <w:spacing w:after="0"/>
              <w:rPr>
                <w:sz w:val="1"/>
                <w:szCs w:val="1"/>
                <w:color w:val="auto"/>
              </w:rPr>
            </w:pPr>
          </w:p>
        </w:tc>
      </w:tr>
      <w:tr>
        <w:trPr>
          <w:trHeight w:val="106"/>
        </w:trPr>
        <w:tc>
          <w:tcPr>
            <w:tcW w:w="468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79"/>
              <w:spacing w:after="0" w:line="106"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79,291,188</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9"/>
              </w:rPr>
              <w:t>0.01</w:t>
            </w:r>
          </w:p>
        </w:tc>
        <w:tc>
          <w:tcPr>
            <w:tcW w:w="3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792,911.88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79,291,188</w:t>
            </w: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89"/>
              </w:rPr>
              <w:t>0.01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792,911.88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 of the shares are fully subscribed and paid. As of the date of this prospectus, we have not issued securities that do not represent our share capital.</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table below shows the changes in our share capital over the last three years.</w:t>
      </w:r>
    </w:p>
    <w:p>
      <w:pPr>
        <w:spacing w:after="0" w:line="186"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76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number of</w:t>
            </w:r>
          </w:p>
        </w:tc>
        <w:tc>
          <w:tcPr>
            <w:tcW w:w="56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Nominal</w:t>
            </w:r>
          </w:p>
        </w:tc>
        <w:tc>
          <w:tcPr>
            <w:tcW w:w="7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6"/>
              </w:rPr>
              <w:t>capital after</w:t>
            </w:r>
          </w:p>
        </w:tc>
        <w:tc>
          <w:tcPr>
            <w:tcW w:w="66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5"/>
              </w:rPr>
              <w:t>Issue price</w:t>
            </w:r>
          </w:p>
        </w:tc>
        <w:tc>
          <w:tcPr>
            <w:tcW w:w="0" w:type="dxa"/>
            <w:vAlign w:val="bottom"/>
          </w:tcPr>
          <w:p>
            <w:pPr>
              <w:spacing w:after="0"/>
              <w:rPr>
                <w:sz w:val="1"/>
                <w:szCs w:val="1"/>
                <w:color w:val="auto"/>
              </w:rPr>
            </w:pPr>
          </w:p>
        </w:tc>
      </w:tr>
      <w:tr>
        <w:trPr>
          <w:trHeight w:val="105"/>
        </w:trPr>
        <w:tc>
          <w:tcPr>
            <w:tcW w:w="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36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0"/>
                <w:szCs w:val="10"/>
                <w:b w:val="1"/>
                <w:bCs w:val="1"/>
                <w:color w:val="auto"/>
              </w:rPr>
              <w:t>Type of operation</w:t>
            </w:r>
          </w:p>
        </w:tc>
        <w:tc>
          <w:tcPr>
            <w:tcW w:w="74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0"/>
                <w:szCs w:val="10"/>
                <w:b w:val="1"/>
                <w:bCs w:val="1"/>
                <w:color w:val="auto"/>
              </w:rPr>
              <w:t>Prior Share</w:t>
            </w:r>
          </w:p>
        </w:tc>
        <w:tc>
          <w:tcPr>
            <w:tcW w:w="820" w:type="dxa"/>
            <w:vAlign w:val="bottom"/>
            <w:gridSpan w:val="2"/>
          </w:tcPr>
          <w:p>
            <w:pPr>
              <w:jc w:val="right"/>
              <w:ind w:right="280"/>
              <w:spacing w:after="0" w:line="105" w:lineRule="exact"/>
              <w:rPr>
                <w:sz w:val="20"/>
                <w:szCs w:val="20"/>
                <w:color w:val="auto"/>
              </w:rPr>
            </w:pPr>
            <w:r>
              <w:rPr>
                <w:rFonts w:ascii="Times New Roman" w:cs="Times New Roman" w:eastAsia="Times New Roman" w:hAnsi="Times New Roman"/>
                <w:sz w:val="10"/>
                <w:szCs w:val="10"/>
                <w:b w:val="1"/>
                <w:bCs w:val="1"/>
                <w:color w:val="auto"/>
              </w:rPr>
              <w:t>Premium</w:t>
            </w:r>
          </w:p>
        </w:tc>
        <w:tc>
          <w:tcPr>
            <w:tcW w:w="76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5"/>
              </w:rPr>
              <w:t>shares</w:t>
            </w:r>
          </w:p>
        </w:tc>
        <w:tc>
          <w:tcPr>
            <w:tcW w:w="76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9"/>
              </w:rPr>
              <w:t>shares after</w:t>
            </w:r>
          </w:p>
        </w:tc>
        <w:tc>
          <w:tcPr>
            <w:tcW w:w="56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6"/>
              </w:rPr>
              <w:t>value</w:t>
            </w:r>
          </w:p>
        </w:tc>
        <w:tc>
          <w:tcPr>
            <w:tcW w:w="78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9"/>
              </w:rPr>
              <w:t>transaction</w:t>
            </w:r>
          </w:p>
        </w:tc>
        <w:tc>
          <w:tcPr>
            <w:tcW w:w="66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4"/>
              </w:rPr>
              <w:t>per share</w:t>
            </w:r>
          </w:p>
        </w:tc>
        <w:tc>
          <w:tcPr>
            <w:tcW w:w="0" w:type="dxa"/>
            <w:vAlign w:val="bottom"/>
          </w:tcPr>
          <w:p>
            <w:pPr>
              <w:spacing w:after="0"/>
              <w:rPr>
                <w:sz w:val="1"/>
                <w:szCs w:val="1"/>
                <w:color w:val="auto"/>
              </w:rPr>
            </w:pPr>
          </w:p>
        </w:tc>
      </w:tr>
      <w:tr>
        <w:trPr>
          <w:trHeight w:val="130"/>
        </w:trPr>
        <w:tc>
          <w:tcPr>
            <w:tcW w:w="200" w:type="dxa"/>
            <w:vAlign w:val="bottom"/>
            <w:tcBorders>
              <w:bottom w:val="single" w:sz="8" w:color="auto"/>
            </w:tcBorders>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gridSpan w:val="2"/>
            <w:vMerge w:val="continue"/>
          </w:tcPr>
          <w:p>
            <w:pPr>
              <w:spacing w:after="0"/>
              <w:rPr>
                <w:sz w:val="11"/>
                <w:szCs w:val="11"/>
                <w:color w:val="auto"/>
              </w:rPr>
            </w:pPr>
          </w:p>
        </w:tc>
        <w:tc>
          <w:tcPr>
            <w:tcW w:w="74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0"/>
                <w:szCs w:val="10"/>
                <w:b w:val="1"/>
                <w:bCs w:val="1"/>
                <w:color w:val="auto"/>
              </w:rPr>
              <w:t>Capital (€)</w:t>
            </w:r>
          </w:p>
        </w:tc>
        <w:tc>
          <w:tcPr>
            <w:tcW w:w="820" w:type="dxa"/>
            <w:vAlign w:val="bottom"/>
            <w:gridSpan w:val="2"/>
          </w:tcPr>
          <w:p>
            <w:pPr>
              <w:jc w:val="right"/>
              <w:ind w:right="40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rPr>
              <w:t>created</w:t>
            </w:r>
          </w:p>
        </w:tc>
        <w:tc>
          <w:tcPr>
            <w:tcW w:w="76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0"/>
                <w:szCs w:val="10"/>
                <w:b w:val="1"/>
                <w:bCs w:val="1"/>
                <w:color w:val="auto"/>
              </w:rPr>
              <w:t>issuance</w:t>
            </w:r>
          </w:p>
        </w:tc>
        <w:tc>
          <w:tcPr>
            <w:tcW w:w="56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tcPr>
          <w:p>
            <w:pPr>
              <w:jc w:val="center"/>
              <w:ind w:right="14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97"/>
        </w:trPr>
        <w:tc>
          <w:tcPr>
            <w:tcW w:w="560" w:type="dxa"/>
            <w:vAlign w:val="bottom"/>
            <w:tcBorders>
              <w:top w:val="single" w:sz="8" w:color="CCEEFF"/>
            </w:tcBorders>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20/01/2023</w:t>
            </w:r>
          </w:p>
        </w:tc>
        <w:tc>
          <w:tcPr>
            <w:tcW w:w="80" w:type="dxa"/>
            <w:vAlign w:val="bottom"/>
            <w:tcBorders>
              <w:top w:val="single" w:sz="8" w:color="CCEEFF"/>
            </w:tcBorders>
            <w:shd w:val="clear" w:color="auto" w:fill="CCEEFF"/>
          </w:tcPr>
          <w:p>
            <w:pPr>
              <w:spacing w:after="0"/>
              <w:rPr>
                <w:sz w:val="8"/>
                <w:szCs w:val="8"/>
                <w:color w:val="auto"/>
              </w:rPr>
            </w:pPr>
          </w:p>
        </w:tc>
        <w:tc>
          <w:tcPr>
            <w:tcW w:w="282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Exercise of BCE-2014-4</w:t>
            </w:r>
          </w:p>
        </w:tc>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ind w:left="120"/>
              <w:spacing w:after="0" w:line="97" w:lineRule="exact"/>
              <w:rPr>
                <w:sz w:val="20"/>
                <w:szCs w:val="20"/>
                <w:color w:val="auto"/>
              </w:rPr>
            </w:pPr>
            <w:r>
              <w:rPr>
                <w:rFonts w:ascii="Times New Roman" w:cs="Times New Roman" w:eastAsia="Times New Roman" w:hAnsi="Times New Roman"/>
                <w:sz w:val="11"/>
                <w:szCs w:val="11"/>
                <w:color w:val="auto"/>
                <w:w w:val="96"/>
              </w:rPr>
              <w:t>223,131.85</w:t>
            </w: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18,400</w:t>
            </w: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ind w:left="140"/>
              <w:spacing w:after="0" w:line="97" w:lineRule="exact"/>
              <w:rPr>
                <w:sz w:val="20"/>
                <w:szCs w:val="20"/>
                <w:color w:val="auto"/>
              </w:rPr>
            </w:pPr>
            <w:r>
              <w:rPr>
                <w:rFonts w:ascii="Times New Roman" w:cs="Times New Roman" w:eastAsia="Times New Roman" w:hAnsi="Times New Roman"/>
                <w:sz w:val="11"/>
                <w:szCs w:val="11"/>
                <w:color w:val="auto"/>
                <w:w w:val="96"/>
              </w:rPr>
              <w:t>22,331,585</w:t>
            </w: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0.01</w:t>
            </w: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223,315.85</w:t>
            </w: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0.01</w:t>
            </w: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500" w:type="dxa"/>
            <w:vAlign w:val="bottom"/>
            <w:gridSpan w:val="5"/>
          </w:tcPr>
          <w:p>
            <w:pPr>
              <w:spacing w:after="0" w:line="116" w:lineRule="exact"/>
              <w:rPr>
                <w:sz w:val="20"/>
                <w:szCs w:val="20"/>
                <w:color w:val="auto"/>
              </w:rPr>
            </w:pPr>
            <w:r>
              <w:rPr>
                <w:rFonts w:ascii="Times New Roman" w:cs="Times New Roman" w:eastAsia="Times New Roman" w:hAnsi="Times New Roman"/>
                <w:sz w:val="11"/>
                <w:szCs w:val="11"/>
                <w:color w:val="auto"/>
              </w:rPr>
              <w:t>01/03/2023  Capital increase through issue of new shares</w:t>
            </w:r>
          </w:p>
        </w:tc>
        <w:tc>
          <w:tcPr>
            <w:tcW w:w="74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1"/>
                <w:szCs w:val="11"/>
                <w:color w:val="auto"/>
              </w:rPr>
              <w:t>223,315.85</w:t>
            </w:r>
          </w:p>
        </w:tc>
        <w:tc>
          <w:tcPr>
            <w:tcW w:w="8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129,800,000</w:t>
            </w: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20,000,000</w:t>
            </w:r>
          </w:p>
        </w:tc>
        <w:tc>
          <w:tcPr>
            <w:tcW w:w="120" w:type="dxa"/>
            <w:vAlign w:val="bottom"/>
          </w:tcPr>
          <w:p>
            <w:pPr>
              <w:spacing w:after="0"/>
              <w:rPr>
                <w:sz w:val="10"/>
                <w:szCs w:val="10"/>
                <w:color w:val="auto"/>
              </w:rPr>
            </w:pPr>
          </w:p>
        </w:tc>
        <w:tc>
          <w:tcPr>
            <w:tcW w:w="64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42,331,585</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423,315.85</w:t>
            </w: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6.50</w:t>
            </w:r>
          </w:p>
        </w:tc>
        <w:tc>
          <w:tcPr>
            <w:tcW w:w="0" w:type="dxa"/>
            <w:vAlign w:val="bottom"/>
          </w:tcPr>
          <w:p>
            <w:pPr>
              <w:spacing w:after="0"/>
              <w:rPr>
                <w:sz w:val="1"/>
                <w:szCs w:val="1"/>
                <w:color w:val="auto"/>
              </w:rPr>
            </w:pPr>
          </w:p>
        </w:tc>
      </w:tr>
      <w:tr>
        <w:trPr>
          <w:trHeight w:val="116"/>
        </w:trPr>
        <w:tc>
          <w:tcPr>
            <w:tcW w:w="5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10/05/2023</w:t>
            </w:r>
          </w:p>
        </w:tc>
        <w:tc>
          <w:tcPr>
            <w:tcW w:w="2940" w:type="dxa"/>
            <w:vAlign w:val="bottom"/>
            <w:gridSpan w:val="3"/>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BSA-2014-3</w:t>
            </w:r>
          </w:p>
        </w:tc>
        <w:tc>
          <w:tcPr>
            <w:tcW w:w="74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423,315.85</w:t>
            </w:r>
          </w:p>
        </w:tc>
        <w:tc>
          <w:tcPr>
            <w:tcW w:w="8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w:t>
            </w:r>
          </w:p>
        </w:tc>
        <w:tc>
          <w:tcPr>
            <w:tcW w:w="7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16,400</w:t>
            </w:r>
          </w:p>
        </w:tc>
        <w:tc>
          <w:tcPr>
            <w:tcW w:w="64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42,347,985</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423,479.85</w:t>
            </w: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16"/>
        </w:trPr>
        <w:tc>
          <w:tcPr>
            <w:tcW w:w="5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06/06/2023</w:t>
            </w:r>
          </w:p>
        </w:tc>
        <w:tc>
          <w:tcPr>
            <w:tcW w:w="2940" w:type="dxa"/>
            <w:vAlign w:val="bottom"/>
            <w:gridSpan w:val="3"/>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BSA-2018-KREOS-A</w:t>
            </w:r>
          </w:p>
        </w:tc>
        <w:tc>
          <w:tcPr>
            <w:tcW w:w="74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1"/>
                <w:szCs w:val="11"/>
                <w:color w:val="auto"/>
              </w:rPr>
              <w:t>423,479.85</w:t>
            </w:r>
          </w:p>
        </w:tc>
        <w:tc>
          <w:tcPr>
            <w:tcW w:w="8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488,786.40</w:t>
            </w: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67,887</w:t>
            </w:r>
          </w:p>
        </w:tc>
        <w:tc>
          <w:tcPr>
            <w:tcW w:w="64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42,415,872</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424,158.72</w:t>
            </w: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7.21</w:t>
            </w:r>
          </w:p>
        </w:tc>
        <w:tc>
          <w:tcPr>
            <w:tcW w:w="0" w:type="dxa"/>
            <w:vAlign w:val="bottom"/>
          </w:tcPr>
          <w:p>
            <w:pPr>
              <w:spacing w:after="0"/>
              <w:rPr>
                <w:sz w:val="1"/>
                <w:szCs w:val="1"/>
                <w:color w:val="auto"/>
              </w:rPr>
            </w:pPr>
          </w:p>
        </w:tc>
      </w:tr>
      <w:tr>
        <w:trPr>
          <w:trHeight w:val="116"/>
        </w:trPr>
        <w:tc>
          <w:tcPr>
            <w:tcW w:w="5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06/06/2023</w:t>
            </w:r>
          </w:p>
        </w:tc>
        <w:tc>
          <w:tcPr>
            <w:tcW w:w="2940" w:type="dxa"/>
            <w:vAlign w:val="bottom"/>
            <w:gridSpan w:val="3"/>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BSA-2018-KREOS-b</w:t>
            </w:r>
          </w:p>
        </w:tc>
        <w:tc>
          <w:tcPr>
            <w:tcW w:w="74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424,158.72</w:t>
            </w:r>
          </w:p>
        </w:tc>
        <w:tc>
          <w:tcPr>
            <w:tcW w:w="8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338,830.24</w:t>
            </w:r>
          </w:p>
        </w:tc>
        <w:tc>
          <w:tcPr>
            <w:tcW w:w="7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31,696</w:t>
            </w:r>
          </w:p>
        </w:tc>
        <w:tc>
          <w:tcPr>
            <w:tcW w:w="64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42,447,568</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424,475.68</w:t>
            </w: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10.70</w:t>
            </w:r>
          </w:p>
        </w:tc>
        <w:tc>
          <w:tcPr>
            <w:tcW w:w="0" w:type="dxa"/>
            <w:vAlign w:val="bottom"/>
          </w:tcPr>
          <w:p>
            <w:pPr>
              <w:spacing w:after="0"/>
              <w:rPr>
                <w:sz w:val="1"/>
                <w:szCs w:val="1"/>
                <w:color w:val="auto"/>
              </w:rPr>
            </w:pPr>
          </w:p>
        </w:tc>
      </w:tr>
      <w:tr>
        <w:trPr>
          <w:trHeight w:val="116"/>
        </w:trPr>
        <w:tc>
          <w:tcPr>
            <w:tcW w:w="5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19/06/2023</w:t>
            </w:r>
          </w:p>
        </w:tc>
        <w:tc>
          <w:tcPr>
            <w:tcW w:w="2940" w:type="dxa"/>
            <w:vAlign w:val="bottom"/>
            <w:gridSpan w:val="3"/>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BCE-2014-2</w:t>
            </w:r>
          </w:p>
        </w:tc>
        <w:tc>
          <w:tcPr>
            <w:tcW w:w="74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1"/>
                <w:szCs w:val="11"/>
                <w:color w:val="auto"/>
              </w:rPr>
              <w:t>424,475.68</w:t>
            </w:r>
          </w:p>
        </w:tc>
        <w:tc>
          <w:tcPr>
            <w:tcW w:w="8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w:t>
            </w: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100,000</w:t>
            </w:r>
          </w:p>
        </w:tc>
        <w:tc>
          <w:tcPr>
            <w:tcW w:w="64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42,547,568</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425,475.68</w:t>
            </w: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16"/>
        </w:trPr>
        <w:tc>
          <w:tcPr>
            <w:tcW w:w="5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12/09/2023</w:t>
            </w:r>
          </w:p>
        </w:tc>
        <w:tc>
          <w:tcPr>
            <w:tcW w:w="2940" w:type="dxa"/>
            <w:vAlign w:val="bottom"/>
            <w:gridSpan w:val="3"/>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BSA-2014-3</w:t>
            </w:r>
          </w:p>
        </w:tc>
        <w:tc>
          <w:tcPr>
            <w:tcW w:w="74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425,475.68</w:t>
            </w:r>
          </w:p>
        </w:tc>
        <w:tc>
          <w:tcPr>
            <w:tcW w:w="8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w:t>
            </w:r>
          </w:p>
        </w:tc>
        <w:tc>
          <w:tcPr>
            <w:tcW w:w="7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16,400</w:t>
            </w:r>
          </w:p>
        </w:tc>
        <w:tc>
          <w:tcPr>
            <w:tcW w:w="64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42,563,968</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425,639.68</w:t>
            </w: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16"/>
        </w:trPr>
        <w:tc>
          <w:tcPr>
            <w:tcW w:w="5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14/09/2023</w:t>
            </w:r>
          </w:p>
        </w:tc>
        <w:tc>
          <w:tcPr>
            <w:tcW w:w="2940" w:type="dxa"/>
            <w:vAlign w:val="bottom"/>
            <w:gridSpan w:val="3"/>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BSA-2014-3</w:t>
            </w:r>
          </w:p>
        </w:tc>
        <w:tc>
          <w:tcPr>
            <w:tcW w:w="74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1"/>
                <w:szCs w:val="11"/>
                <w:color w:val="auto"/>
              </w:rPr>
              <w:t>425,639.68</w:t>
            </w:r>
          </w:p>
        </w:tc>
        <w:tc>
          <w:tcPr>
            <w:tcW w:w="8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w:t>
            </w: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16,400</w:t>
            </w:r>
          </w:p>
        </w:tc>
        <w:tc>
          <w:tcPr>
            <w:tcW w:w="64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42,580,368</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425,803.68</w:t>
            </w: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16"/>
        </w:trPr>
        <w:tc>
          <w:tcPr>
            <w:tcW w:w="3500" w:type="dxa"/>
            <w:vAlign w:val="bottom"/>
            <w:gridSpan w:val="5"/>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24/10/2023  Capital increase through issue of new shares</w:t>
            </w:r>
          </w:p>
        </w:tc>
        <w:tc>
          <w:tcPr>
            <w:tcW w:w="74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425,803.68</w:t>
            </w:r>
          </w:p>
        </w:tc>
        <w:tc>
          <w:tcPr>
            <w:tcW w:w="8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223,173,990</w:t>
            </w: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20,325,500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62,905,868</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629,058.68</w:t>
            </w: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10.99</w:t>
            </w:r>
          </w:p>
        </w:tc>
        <w:tc>
          <w:tcPr>
            <w:tcW w:w="0" w:type="dxa"/>
            <w:vAlign w:val="bottom"/>
          </w:tcPr>
          <w:p>
            <w:pPr>
              <w:spacing w:after="0"/>
              <w:rPr>
                <w:sz w:val="1"/>
                <w:szCs w:val="1"/>
                <w:color w:val="auto"/>
              </w:rPr>
            </w:pPr>
          </w:p>
        </w:tc>
      </w:tr>
      <w:tr>
        <w:trPr>
          <w:trHeight w:val="116"/>
        </w:trPr>
        <w:tc>
          <w:tcPr>
            <w:tcW w:w="5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20/11/2023</w:t>
            </w:r>
          </w:p>
        </w:tc>
        <w:tc>
          <w:tcPr>
            <w:tcW w:w="2940" w:type="dxa"/>
            <w:vAlign w:val="bottom"/>
            <w:gridSpan w:val="3"/>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BSA-2014-5</w:t>
            </w:r>
          </w:p>
        </w:tc>
        <w:tc>
          <w:tcPr>
            <w:tcW w:w="74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1"/>
                <w:szCs w:val="11"/>
                <w:color w:val="auto"/>
              </w:rPr>
              <w:t>629,058.68</w:t>
            </w:r>
          </w:p>
        </w:tc>
        <w:tc>
          <w:tcPr>
            <w:tcW w:w="8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w:t>
            </w: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22,950</w:t>
            </w:r>
          </w:p>
        </w:tc>
        <w:tc>
          <w:tcPr>
            <w:tcW w:w="64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62,928,818</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629,288.18</w:t>
            </w: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16"/>
        </w:trPr>
        <w:tc>
          <w:tcPr>
            <w:tcW w:w="5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22/04/2024</w:t>
            </w:r>
          </w:p>
        </w:tc>
        <w:tc>
          <w:tcPr>
            <w:tcW w:w="2940" w:type="dxa"/>
            <w:vAlign w:val="bottom"/>
            <w:gridSpan w:val="3"/>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BCE-2017-5</w:t>
            </w:r>
          </w:p>
        </w:tc>
        <w:tc>
          <w:tcPr>
            <w:tcW w:w="74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629,288.18</w:t>
            </w:r>
          </w:p>
        </w:tc>
        <w:tc>
          <w:tcPr>
            <w:tcW w:w="8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11,130</w:t>
            </w:r>
          </w:p>
        </w:tc>
        <w:tc>
          <w:tcPr>
            <w:tcW w:w="7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1,000</w:t>
            </w:r>
          </w:p>
        </w:tc>
        <w:tc>
          <w:tcPr>
            <w:tcW w:w="64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62,929,818</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629,298.18</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11.14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23/04/2024</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Exercise of BCE-2017-5</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629,298.18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11,130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1,000</w:t>
            </w:r>
          </w:p>
        </w:tc>
        <w:tc>
          <w:tcPr>
            <w:tcW w:w="6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62,930,818</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629,308.18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9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8"/>
              </w:rPr>
              <w:t>number of</w:t>
            </w:r>
          </w:p>
        </w:tc>
        <w:tc>
          <w:tcPr>
            <w:tcW w:w="52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Nominal</w:t>
            </w:r>
          </w:p>
        </w:tc>
        <w:tc>
          <w:tcPr>
            <w:tcW w:w="74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6"/>
              </w:rPr>
              <w:t>capital after</w:t>
            </w:r>
          </w:p>
        </w:tc>
        <w:tc>
          <w:tcPr>
            <w:tcW w:w="62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5"/>
              </w:rPr>
              <w:t>Issue price</w:t>
            </w:r>
          </w:p>
        </w:tc>
        <w:tc>
          <w:tcPr>
            <w:tcW w:w="0" w:type="dxa"/>
            <w:vAlign w:val="bottom"/>
          </w:tcPr>
          <w:p>
            <w:pPr>
              <w:spacing w:after="0"/>
              <w:rPr>
                <w:sz w:val="1"/>
                <w:szCs w:val="1"/>
                <w:color w:val="auto"/>
              </w:rPr>
            </w:pPr>
          </w:p>
        </w:tc>
      </w:tr>
      <w:tr>
        <w:trPr>
          <w:trHeight w:val="105"/>
        </w:trPr>
        <w:tc>
          <w:tcPr>
            <w:tcW w:w="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400" w:type="dxa"/>
            <w:vAlign w:val="bottom"/>
            <w:vMerge w:val="restart"/>
          </w:tcPr>
          <w:p>
            <w:pPr>
              <w:spacing w:after="0"/>
              <w:rPr>
                <w:sz w:val="9"/>
                <w:szCs w:val="9"/>
                <w:color w:val="auto"/>
              </w:rPr>
            </w:pPr>
          </w:p>
        </w:tc>
        <w:tc>
          <w:tcPr>
            <w:tcW w:w="28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0"/>
                <w:szCs w:val="10"/>
                <w:b w:val="1"/>
                <w:bCs w:val="1"/>
                <w:color w:val="auto"/>
              </w:rPr>
              <w:t>Type of operation</w:t>
            </w:r>
          </w:p>
        </w:tc>
        <w:tc>
          <w:tcPr>
            <w:tcW w:w="7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Prior Share</w:t>
            </w:r>
          </w:p>
        </w:tc>
        <w:tc>
          <w:tcPr>
            <w:tcW w:w="94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9"/>
              </w:rPr>
              <w:t>Premium</w:t>
            </w:r>
          </w:p>
        </w:tc>
        <w:tc>
          <w:tcPr>
            <w:tcW w:w="70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rPr>
              <w:t>shares</w:t>
            </w:r>
          </w:p>
        </w:tc>
        <w:tc>
          <w:tcPr>
            <w:tcW w:w="90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5"/>
              </w:rPr>
              <w:t>shares after</w:t>
            </w:r>
          </w:p>
        </w:tc>
        <w:tc>
          <w:tcPr>
            <w:tcW w:w="52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6"/>
              </w:rPr>
              <w:t>value</w:t>
            </w:r>
          </w:p>
        </w:tc>
        <w:tc>
          <w:tcPr>
            <w:tcW w:w="74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9"/>
              </w:rPr>
              <w:t>transaction</w:t>
            </w:r>
          </w:p>
        </w:tc>
        <w:tc>
          <w:tcPr>
            <w:tcW w:w="62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4"/>
              </w:rPr>
              <w:t>per share</w:t>
            </w:r>
          </w:p>
        </w:tc>
        <w:tc>
          <w:tcPr>
            <w:tcW w:w="0" w:type="dxa"/>
            <w:vAlign w:val="bottom"/>
          </w:tcPr>
          <w:p>
            <w:pPr>
              <w:spacing w:after="0"/>
              <w:rPr>
                <w:sz w:val="1"/>
                <w:szCs w:val="1"/>
                <w:color w:val="auto"/>
              </w:rPr>
            </w:pPr>
          </w:p>
        </w:tc>
      </w:tr>
      <w:tr>
        <w:trPr>
          <w:trHeight w:val="130"/>
        </w:trPr>
        <w:tc>
          <w:tcPr>
            <w:tcW w:w="200" w:type="dxa"/>
            <w:vAlign w:val="bottom"/>
            <w:tcBorders>
              <w:bottom w:val="single" w:sz="8" w:color="auto"/>
            </w:tcBorders>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860" w:type="dxa"/>
            <w:vAlign w:val="bottom"/>
            <w:gridSpan w:val="2"/>
            <w:vMerge w:val="continue"/>
          </w:tcPr>
          <w:p>
            <w:pPr>
              <w:spacing w:after="0"/>
              <w:rPr>
                <w:sz w:val="11"/>
                <w:szCs w:val="11"/>
                <w:color w:val="auto"/>
              </w:rPr>
            </w:pPr>
          </w:p>
        </w:tc>
        <w:tc>
          <w:tcPr>
            <w:tcW w:w="700" w:type="dxa"/>
            <w:vAlign w:val="bottom"/>
            <w:gridSpan w:val="2"/>
          </w:tcPr>
          <w:p>
            <w:pPr>
              <w:jc w:val="right"/>
              <w:ind w:right="180"/>
              <w:spacing w:after="0" w:line="110" w:lineRule="exact"/>
              <w:rPr>
                <w:sz w:val="20"/>
                <w:szCs w:val="20"/>
                <w:color w:val="auto"/>
              </w:rPr>
            </w:pPr>
            <w:r>
              <w:rPr>
                <w:rFonts w:ascii="Times New Roman" w:cs="Times New Roman" w:eastAsia="Times New Roman" w:hAnsi="Times New Roman"/>
                <w:sz w:val="10"/>
                <w:szCs w:val="10"/>
                <w:b w:val="1"/>
                <w:bCs w:val="1"/>
                <w:color w:val="auto"/>
              </w:rPr>
              <w:t>Capital (€)</w:t>
            </w:r>
          </w:p>
        </w:tc>
        <w:tc>
          <w:tcPr>
            <w:tcW w:w="94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85"/>
              </w:rPr>
              <w:t>(€)</w:t>
            </w:r>
          </w:p>
        </w:tc>
        <w:tc>
          <w:tcPr>
            <w:tcW w:w="7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4"/>
              </w:rPr>
              <w:t>created</w:t>
            </w:r>
          </w:p>
        </w:tc>
        <w:tc>
          <w:tcPr>
            <w:tcW w:w="9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5"/>
              </w:rPr>
              <w:t>issuance</w:t>
            </w:r>
          </w:p>
        </w:tc>
        <w:tc>
          <w:tcPr>
            <w:tcW w:w="52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85"/>
              </w:rPr>
              <w:t>(€)</w:t>
            </w:r>
          </w:p>
        </w:tc>
        <w:tc>
          <w:tcPr>
            <w:tcW w:w="62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97"/>
        </w:trPr>
        <w:tc>
          <w:tcPr>
            <w:tcW w:w="600" w:type="dxa"/>
            <w:vAlign w:val="bottom"/>
            <w:tcBorders>
              <w:top w:val="single" w:sz="8" w:color="CCEEFF"/>
            </w:tcBorders>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11/06/2024</w:t>
            </w:r>
          </w:p>
        </w:tc>
        <w:tc>
          <w:tcPr>
            <w:tcW w:w="282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Exercise of BCE-2017-5</w:t>
            </w:r>
          </w:p>
        </w:tc>
        <w:tc>
          <w:tcPr>
            <w:tcW w:w="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629,308.18</w:t>
            </w: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11,130</w:t>
            </w:r>
          </w:p>
        </w:tc>
        <w:tc>
          <w:tcPr>
            <w:tcW w:w="1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1,000</w:t>
            </w:r>
          </w:p>
        </w:tc>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62,931,818</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0.01</w:t>
            </w: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629,318.18</w:t>
            </w: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11.14</w:t>
            </w: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13/06/2024</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BCE-2017-5</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629,318.18</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11,130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1,000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62,932,818</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629,328.18</w:t>
            </w:r>
          </w:p>
        </w:tc>
        <w:tc>
          <w:tcPr>
            <w:tcW w:w="12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11.14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11/07/2024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629,328.18</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344,107</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63,276,925</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632,769.25</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05/09/2024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632,769.25</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17,728</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63,294,653</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632,946.53</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13/11/2024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632,946.53</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53,184</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63,347,837</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633,478.37</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23/07/2025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BCE-2018-5</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634,719.33</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7,320.00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1,000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63,472,933</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634,729.33</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7.33</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24/07/2025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634,729.33</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25,997.57</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3,499</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63,476,432</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634,764.32</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25/07/2025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634,764.32</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14,767.50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1,650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63,478,082</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634,780.82</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8.96</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28/07/2025  Capital increase through issue of new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634,780.82</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637,228,064.00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11,679,400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75,157,482</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751,574.82</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54.57</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29/07/2025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BCE-2018-5</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751,574.82</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7,320.00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1,000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75,158,482</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751,584.82</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7.33</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29/07/2025  Conversion of convertible bonds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751,584.82</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9,371,047.91</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394,447</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75,552,929</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755,529.29</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23.77</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30/07/2025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755,529.29</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22,290,00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3,000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75,555,929</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755,559.29</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30/07/2025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755,559.29</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26,850.00.00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3,000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75,558,929</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755,589.29</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8.96</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01/08/2025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755,589.29</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27,728</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75,586,657</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755,866.57</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04/08/2025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755,866.57</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17,300.00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2,000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75,588,657</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755,886.57</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8.96</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05/08/2025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755,886.57</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4,829.50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650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75,589,307</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755,893.07</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06/08/2025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755,893.07</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16,110.0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1,800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75,591,107</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755,911.07</w:t>
            </w: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8.96</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06/08/2025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755,911.07</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29,712.57</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3,999</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75,595,106</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755,951.06</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07/08/2025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755,951.06</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11,137.57</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1,499</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75,596,605</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755,966.05</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05/08/2025  Conversion of convertible bonds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755,966.05</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12,494,729.38</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525,930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76,122,535</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761,225.35</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23.76</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08/08/2025  Conversion of convertible bonds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761,225.35</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16,658,807.54</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785,389</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76,907,924</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769,079.24</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21.21</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08/08/2025  Exercise of BSA (Kreos)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769,079.24</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2,665,728.23</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95,742</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77,003,666</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770,036.66</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18.67</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08/08/2025  Exercise of BSA (Kreos)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770,036.66</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2,664,564.29</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223,509.00</w:t>
            </w:r>
          </w:p>
        </w:tc>
        <w:tc>
          <w:tcPr>
            <w:tcW w:w="9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77,227,175,00</w:t>
            </w: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772,271.75</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9.86</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28/08/2025  Exercise of BSA (Claret)</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772,985.74</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1,331,840.08</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135,263</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77,433,837</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774,338.37</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9.86</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04/09/2025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774,338.37</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17,728</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77,451,565</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774,515.65</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04/09/2025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774,515.65</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1,107.07</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149</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77,451,714</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774,517.14</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08/09/2025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774,517.14</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7,430.00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1,000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77,452,714</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774,527.14</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28/09/2025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774,527.14</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377,353</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77,830,067</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778,300.67</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02/10/2025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BSA-2015-12</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778,300.67</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291,592.00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16,400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77,846,467</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778,464.67</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17.79</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23/10/2025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BSA-2017-1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778,464.67</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189,584.00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16,400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77,862,867</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778,628.67</w:t>
            </w:r>
          </w:p>
        </w:tc>
        <w:tc>
          <w:tcPr>
            <w:tcW w:w="12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11.57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23/10/2025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BCE-2016-1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778,628.67</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37,150.00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5,000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77,867,867</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778,678.67</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12/11/2025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778,678.67</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8,860.50</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990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77,868,857</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778,688.57</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8.96</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13/11/2025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778,688.57</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35,456</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77,904,313</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779,043.13</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17/11/2025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BSA-2015-11</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779,043.13</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1,723,308.72</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96,924</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78,001,237</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780,012.37</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17.79</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28/11/2025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BSA-2024-1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780,012.37</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63,656.67</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4,863</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78,006,100</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780,061.00</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13.10</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01/12/2025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780,061.00</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27,625</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78,033,725</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780,337.25</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02/12/2025  Conversion of convertible bonds (Claret)</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780,337.25</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8,329,406.05</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392,695</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78,426,420</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784,264.20</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21.22</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11/12/2025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784,264.20</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17,728</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78,444,148</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784,441.48</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16/12/2025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BCE-2017-1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784,441.48</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212,536.94</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33,313</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78,477,461</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784,774.61</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6.39</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17/12/2025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BCE-2017-5</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784,774.61</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187,462.59</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16,843</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78,494,304</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784,943.04</w:t>
            </w:r>
          </w:p>
        </w:tc>
        <w:tc>
          <w:tcPr>
            <w:tcW w:w="12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11.14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17/12/2025</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BCE-2018-4</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784,943.04</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61,649.04</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8,422</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78,502,726</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785,027.26</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7.33</w:t>
            </w:r>
          </w:p>
        </w:tc>
        <w:tc>
          <w:tcPr>
            <w:tcW w:w="0" w:type="dxa"/>
            <w:vAlign w:val="bottom"/>
          </w:tcPr>
          <w:p>
            <w:pPr>
              <w:spacing w:after="0"/>
              <w:rPr>
                <w:sz w:val="1"/>
                <w:szCs w:val="1"/>
                <w:color w:val="auto"/>
              </w:rPr>
            </w:pPr>
          </w:p>
        </w:tc>
      </w:tr>
      <w:tr>
        <w:trPr>
          <w:trHeight w:val="116"/>
        </w:trPr>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19/12/2025</w:t>
            </w:r>
          </w:p>
        </w:tc>
        <w:tc>
          <w:tcPr>
            <w:tcW w:w="28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BCE-2017-4</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785,027.26</w:t>
            </w: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374,925.18</w:t>
            </w:r>
          </w:p>
        </w:tc>
        <w:tc>
          <w:tcPr>
            <w:tcW w:w="120" w:type="dxa"/>
            <w:vAlign w:val="bottom"/>
          </w:tcPr>
          <w:p>
            <w:pPr>
              <w:spacing w:after="0"/>
              <w:rPr>
                <w:sz w:val="10"/>
                <w:szCs w:val="10"/>
                <w:color w:val="auto"/>
              </w:rPr>
            </w:pP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33,686</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78,536,412</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785,364.12</w:t>
            </w:r>
          </w:p>
        </w:tc>
        <w:tc>
          <w:tcPr>
            <w:tcW w:w="12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11.14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12/01/2026</w:t>
            </w:r>
          </w:p>
        </w:tc>
        <w:tc>
          <w:tcPr>
            <w:tcW w:w="28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 of BCE-2018-1</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785,364.12</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22,733.00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2,540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78,538,952</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785,389.52</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8.96</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01/02/2026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785,389.52</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628,480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79,167,432</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791,674.32</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19/03/2026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791,674.32</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35,456</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79,202,888</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792,028.88</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25/03/2026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792,028.88</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77,050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79,279,938</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792,799.38</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28/03/2026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792,799.38</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11,250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79,291,188</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7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792,911.88</w:t>
            </w: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07/05/2026  Capital increase through issue of new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792,911.88</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38,451,069.51</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403,347</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79,694,535</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796,945.35</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95.34</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21/05/2026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796,945.35</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35,456</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79,729,991</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797,299.91</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color w:val="auto"/>
              </w:rPr>
              <w:t>27/05/2026  Definitive allocation of free shares</w:t>
            </w:r>
          </w:p>
        </w:tc>
        <w:tc>
          <w:tcPr>
            <w:tcW w:w="7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797,299.91</w:t>
            </w: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40,200</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79,770,191</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797,701.91</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6"/>
        </w:trPr>
        <w:tc>
          <w:tcPr>
            <w:tcW w:w="3460" w:type="dxa"/>
            <w:vAlign w:val="bottom"/>
            <w:gridSpan w:val="4"/>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01/06/2026  Definitive allocation of free shares</w:t>
            </w:r>
          </w:p>
        </w:tc>
        <w:tc>
          <w:tcPr>
            <w:tcW w:w="7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797,299.91</w:t>
            </w:r>
          </w:p>
        </w:tc>
        <w:tc>
          <w:tcPr>
            <w:tcW w:w="9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12,750</w:t>
            </w: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79,782,941</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797,829.41</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46"/>
        </w:trPr>
        <w:tc>
          <w:tcPr>
            <w:tcW w:w="346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26/06/2026  Definitive allocation of free shares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797,829.41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17,728</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79,800,669</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798,006.69</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Shareholders’ Meetings and Voting Rights (Articles 12, 22, 23, 24, 25 and 26 of the By-Laws)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2"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color w:val="auto"/>
        </w:rPr>
        <w:t>In accordance with the French Commercial Code (</w:t>
      </w:r>
      <w:r>
        <w:rPr>
          <w:rFonts w:ascii="Times New Roman" w:cs="Times New Roman" w:eastAsia="Times New Roman" w:hAnsi="Times New Roman"/>
          <w:sz w:val="14"/>
          <w:szCs w:val="14"/>
          <w:i w:val="1"/>
          <w:iCs w:val="1"/>
          <w:color w:val="auto"/>
        </w:rPr>
        <w:t>Code de Commerce</w:t>
      </w:r>
      <w:r>
        <w:rPr>
          <w:rFonts w:ascii="Times New Roman" w:cs="Times New Roman" w:eastAsia="Times New Roman" w:hAnsi="Times New Roman"/>
          <w:sz w:val="14"/>
          <w:szCs w:val="14"/>
          <w:color w:val="auto"/>
        </w:rPr>
        <w:t>), there are three types of shareholders’ meetings: ordinary, extraordinary and special.</w:t>
      </w:r>
    </w:p>
    <w:p>
      <w:pPr>
        <w:spacing w:after="0" w:line="123"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 In addition, pursuant to AMF recommendation, French listed companies may be required to conduct a consultation of the Ordinary Shareholders Meeting prior to the disposal of the majority of their assets, under certain conditions.</w:t>
      </w:r>
    </w:p>
    <w:p>
      <w:pPr>
        <w:spacing w:after="0" w:line="141" w:lineRule="exact"/>
        <w:rPr>
          <w:sz w:val="20"/>
          <w:szCs w:val="20"/>
          <w:color w:val="auto"/>
        </w:rPr>
      </w:pPr>
    </w:p>
    <w:p>
      <w:pPr>
        <w:ind w:left="1360" w:right="419"/>
        <w:spacing w:after="0" w:line="255" w:lineRule="auto"/>
        <w:rPr>
          <w:sz w:val="20"/>
          <w:szCs w:val="20"/>
          <w:color w:val="auto"/>
        </w:rPr>
      </w:pPr>
      <w:r>
        <w:rPr>
          <w:rFonts w:ascii="Times New Roman" w:cs="Times New Roman" w:eastAsia="Times New Roman" w:hAnsi="Times New Roman"/>
          <w:sz w:val="14"/>
          <w:szCs w:val="14"/>
          <w:color w:val="auto"/>
        </w:rPr>
        <w:t>Extraordinary shareholders’ meetings are required for approval of matters such as amendments to our by-laws, including amendments required in 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 without the prior approval of each shareholder.</w:t>
      </w:r>
    </w:p>
    <w:p>
      <w:pPr>
        <w:spacing w:after="0" w:line="1" w:lineRule="exact"/>
        <w:rPr>
          <w:sz w:val="20"/>
          <w:szCs w:val="20"/>
          <w:color w:val="auto"/>
        </w:rPr>
      </w:pPr>
    </w:p>
    <w:p>
      <w:pPr>
        <w:ind w:left="1360" w:right="399"/>
        <w:spacing w:after="0" w:line="256" w:lineRule="auto"/>
        <w:rPr>
          <w:sz w:val="20"/>
          <w:szCs w:val="20"/>
          <w:color w:val="auto"/>
        </w:rPr>
      </w:pPr>
      <w:r>
        <w:rPr>
          <w:rFonts w:ascii="Times New Roman" w:cs="Times New Roman" w:eastAsia="Times New Roman" w:hAnsi="Times New Roman"/>
          <w:sz w:val="14"/>
          <w:szCs w:val="14"/>
          <w:color w:val="auto"/>
        </w:rPr>
        <w:t>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 approved by the relevant special meeting.</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Special Voting Rights of Warrant Holders</w:t>
      </w:r>
    </w:p>
    <w:p>
      <w:pPr>
        <w:spacing w:after="0" w:line="92" w:lineRule="exact"/>
        <w:rPr>
          <w:sz w:val="20"/>
          <w:szCs w:val="20"/>
          <w:color w:val="auto"/>
        </w:rPr>
      </w:pPr>
    </w:p>
    <w:p>
      <w:pPr>
        <w:ind w:left="1360" w:right="219"/>
        <w:spacing w:after="0" w:line="262" w:lineRule="auto"/>
        <w:rPr>
          <w:sz w:val="20"/>
          <w:szCs w:val="20"/>
          <w:color w:val="auto"/>
        </w:rPr>
      </w:pPr>
      <w:r>
        <w:rPr>
          <w:rFonts w:ascii="Times New Roman" w:cs="Times New Roman" w:eastAsia="Times New Roman" w:hAnsi="Times New Roman"/>
          <w:sz w:val="14"/>
          <w:szCs w:val="14"/>
          <w:color w:val="auto"/>
        </w:rPr>
        <w:t>Under French law, the holders of warrants of the same class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warrants that were issued at the same time and with the same rights), including founder’s share warrants (BCEs),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Shareholders’ Meetings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Our Board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Times New Roman" w:cs="Times New Roman" w:eastAsia="Times New Roman" w:hAnsi="Times New Roman"/>
          <w:sz w:val="14"/>
          <w:szCs w:val="14"/>
          <w:i w:val="1"/>
          <w:iCs w:val="1"/>
          <w:color w:val="auto"/>
        </w:rPr>
        <w:t>Tribunal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Commerce</w:t>
      </w:r>
      <w:r>
        <w:rPr>
          <w:rFonts w:ascii="Times New Roman" w:cs="Times New Roman" w:eastAsia="Times New Roman" w:hAnsi="Times New Roman"/>
          <w:sz w:val="14"/>
          <w:szCs w:val="14"/>
          <w:color w:val="auto"/>
        </w:rPr>
        <w:t>) at the request of the Board. The Board may also convene an ordinary or extraordinary shareholders’ meeting upon proper notice at any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year.</w:t>
      </w:r>
    </w:p>
    <w:p>
      <w:pPr>
        <w:spacing w:after="0" w:line="14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 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w:t>
      </w:r>
    </w:p>
    <w:p>
      <w:pPr>
        <w:spacing w:after="0" w:line="145"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Shareholders’ meetings shall be chaired by the chairperson of the Board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Notice of Shareholders’ Meeting</w:t>
      </w:r>
    </w:p>
    <w:p>
      <w:pPr>
        <w:spacing w:after="0" w:line="9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 xml:space="preserve">We are subject to French law requirements in relation to notice of shareholders’ meetings and announce shareholders’ meetings at least 35 days in advance by means of a preliminary notice published in the </w:t>
      </w:r>
      <w:r>
        <w:rPr>
          <w:rFonts w:ascii="Times New Roman" w:cs="Times New Roman" w:eastAsia="Times New Roman" w:hAnsi="Times New Roman"/>
          <w:sz w:val="14"/>
          <w:szCs w:val="14"/>
          <w:i w:val="1"/>
          <w:iCs w:val="1"/>
          <w:color w:val="auto"/>
        </w:rPr>
        <w:t>Bulletin des annonces légales obligatoires</w:t>
      </w:r>
      <w:r>
        <w:rPr>
          <w:rFonts w:ascii="Times New Roman" w:cs="Times New Roman" w:eastAsia="Times New Roman" w:hAnsi="Times New Roman"/>
          <w:sz w:val="14"/>
          <w:szCs w:val="14"/>
          <w:color w:val="auto"/>
        </w:rPr>
        <w:t xml:space="preserve"> (BALO), as well as on our website at least 21 days prior to the meeting. At least 15 days prior to the date set for a shareholders’ meeting, or 10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 conditions provided for in the current legislation.</w:t>
      </w:r>
    </w:p>
    <w:p>
      <w:pPr>
        <w:spacing w:after="0" w:line="14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 The Board must submit properly proposed resolutions to a vote of the shareholders. When a shareholder submits a blank proxy form without naming a representative, his vote is deemed to be in favor of the resolutions (or amendments) proposed or recommended by the Board and against all others. As of the date of the publication of the final notice of a meeting but no later than four business days before the shareholders’ meeting, any shareholder may submit written questions to the Board relating to the agenda for the meeting. The Board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Agenda and Conduct of Annual Shareholders’ Meetings.</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 meeting.</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Attendance and Voting at Shareholders’ Meetings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Ownership of one share implies, </w:t>
      </w:r>
      <w:r>
        <w:rPr>
          <w:rFonts w:ascii="Times New Roman" w:cs="Times New Roman" w:eastAsia="Times New Roman" w:hAnsi="Times New Roman"/>
          <w:sz w:val="14"/>
          <w:szCs w:val="14"/>
          <w:i w:val="1"/>
          <w:iCs w:val="1"/>
          <w:color w:val="auto"/>
        </w:rPr>
        <w:t>ipso jure</w:t>
      </w:r>
      <w:r>
        <w:rPr>
          <w:rFonts w:ascii="Times New Roman" w:cs="Times New Roman" w:eastAsia="Times New Roman" w:hAnsi="Times New Roman"/>
          <w:sz w:val="14"/>
          <w:szCs w:val="14"/>
          <w:color w:val="auto"/>
        </w:rPr>
        <w:t>, adherence to our by-laws and the decision of the shareholders’ meeting.</w:t>
      </w:r>
    </w:p>
    <w:p>
      <w:pPr>
        <w:spacing w:after="0" w:line="178"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voting rights attached to equity or dividend shares are proportional to the percentage of the share capital they represent. Each share entitles the holder to one vote.</w:t>
      </w:r>
    </w:p>
    <w:p>
      <w:pPr>
        <w:spacing w:after="0" w:line="125"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However, a double voting right compared to that conferred to other shares with regard to the percentage of share capital they represent is allocated to all fully paid-up ordinary shares with proof of being held in registered form by the same owner for at least two (2) years. Under French law, treasury shares or ordinary shares held by entities controlled by us are not entitled to voting rights and do not count for quorum purposes. Purchasers of ADSs or ordinary shares in an offering under this prospectus, in the open market or in subsequent offerings will be unlikely to meet the requirements to have double voting rights attach to any ordinary shares held by them.</w:t>
      </w:r>
    </w:p>
    <w:p>
      <w:pPr>
        <w:spacing w:after="0" w:line="141"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In order to participate in any general meeting, shareholders are required to have their shares registered under the conditions and time limits provided for the applicable laws before such general meeting in their name or in the name of an intermediary registered on their behalf, either in the registered shares shareholder account or in the bearer shares shareholder account.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Proxies and Votes by Mail or Videoconference</w:t>
      </w:r>
    </w:p>
    <w:p>
      <w:pPr>
        <w:spacing w:after="0" w:line="94"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by videoconference or by any means of telecommunications in accordance with applicable regulations, if the Board provides for such possibility when convening the meeting.</w:t>
      </w:r>
    </w:p>
    <w:p>
      <w:pPr>
        <w:spacing w:after="0" w:line="141"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Proxies are sent to any shareholder upon request. In order to be counted, such proxies must be received at our registered office, or at any other address indicated on the notice convening the meeting, prior to the date of the meeting. A shareholder may grant proxies to his or her spouse, civil partner, 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w:t>
      </w:r>
    </w:p>
    <w:p>
      <w:pPr>
        <w:spacing w:after="0" w:line="14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 the Board so 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Quorum</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w:t>
      </w:r>
    </w:p>
    <w:p>
      <w:pPr>
        <w:spacing w:after="0" w:line="14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If the requirements for a quorum are not satisfied, the meeting is adjourned. When an adjourned ordinary shareholders’ meeting is resumed, there is 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Should the special meeting be reconvened, the quorum requirement is one-fifth of the certain class of shares entitled to voting rights for the meeting.</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Majority</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votes cast is required. A unanimous shareholder vote is required to increase shareholders’ liabilities. Abstention from 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 to voting rights and do not count for quorum or majority purposes.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Financial Statements and Other Communications with Shareholders</w:t>
      </w:r>
    </w:p>
    <w:p>
      <w:pPr>
        <w:spacing w:after="0" w:line="94" w:lineRule="exact"/>
        <w:rPr>
          <w:sz w:val="20"/>
          <w:szCs w:val="20"/>
          <w:color w:val="auto"/>
        </w:rPr>
      </w:pPr>
    </w:p>
    <w:p>
      <w:pPr>
        <w:jc w:val="both"/>
        <w:ind w:left="1360" w:right="539"/>
        <w:spacing w:after="0" w:line="283" w:lineRule="auto"/>
        <w:rPr>
          <w:sz w:val="20"/>
          <w:szCs w:val="20"/>
          <w:color w:val="auto"/>
        </w:rPr>
      </w:pPr>
      <w:r>
        <w:rPr>
          <w:rFonts w:ascii="Times New Roman" w:cs="Times New Roman" w:eastAsia="Times New Roman" w:hAnsi="Times New Roman"/>
          <w:sz w:val="14"/>
          <w:szCs w:val="14"/>
          <w:color w:val="auto"/>
        </w:rPr>
        <w:t>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w:t>
      </w:r>
    </w:p>
    <w:p>
      <w:pPr>
        <w:spacing w:after="0" w:line="12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The chairperson of the Board is required to deliver a special report to the annual ordinary shareholders’ meeting regarding the composition of the Board, the representation of men and women in its composition, the status of the preparation and organization of the work of the Board, the status of the 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Rights, Preferences and Restrictions Attaching to Ordinary Shares (Articles 7, 11, 30, 31 and 32 of the By-Laws)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 law or our by-laws.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Reserve</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Under French law, we are required to allocate 5% of our net income for each fiscal year, after reduction for losses carried forward from previous 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2025, our legal reserve was €0.</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Approval of Dividends</w:t>
      </w:r>
    </w:p>
    <w:p>
      <w:pPr>
        <w:spacing w:after="0" w:line="9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Shareholders may decide in an ordinary shareholders’ meeting, upon proposal of the Board, to allocate all or part of the distributable profits to special or general reserves, to carry them forward to the following fiscal year as retained earnings, or to allocate them to the shareholders as dividends. Dividends may be paid in cash or as shares upon the option of the shareholders if such option is granted at the annual ordinary shareholders’ meeting.</w:t>
      </w:r>
    </w:p>
    <w:p>
      <w:pPr>
        <w:spacing w:after="0" w:line="136" w:lineRule="exact"/>
        <w:rPr>
          <w:sz w:val="20"/>
          <w:szCs w:val="20"/>
          <w:color w:val="auto"/>
        </w:rPr>
      </w:pPr>
    </w:p>
    <w:p>
      <w:pPr>
        <w:jc w:val="both"/>
        <w:ind w:left="1360" w:right="299"/>
        <w:spacing w:after="0" w:line="261" w:lineRule="auto"/>
        <w:rPr>
          <w:sz w:val="20"/>
          <w:szCs w:val="20"/>
          <w:color w:val="auto"/>
        </w:rPr>
      </w:pPr>
      <w:r>
        <w:rPr>
          <w:rFonts w:ascii="Times New Roman" w:cs="Times New Roman" w:eastAsia="Times New Roman" w:hAnsi="Times New Roman"/>
          <w:sz w:val="14"/>
          <w:szCs w:val="14"/>
          <w:color w:val="auto"/>
        </w:rPr>
        <w:t>If we have earned distributable profits since the end of the preceding fiscal year, as reflected in an interim income statement certified by its auditors, the Board may distribute interim dividends to the extent of the distributable profits for the period covered by the interim income statement before approval of the annual financial statements. Subject to French law, the Board may declare interim dividends paid in cash without obtaining shareholder approval. For interim dividends paid in shares, prior authorization by an ordinary shareholders’ meeting is required.</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Distribution of Dividends and Timing of Payment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principle, dividends are distributed to shareholders pro rata according to their respective shareholdings.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Timing of Payment</w:t>
      </w:r>
    </w:p>
    <w:p>
      <w:pPr>
        <w:spacing w:after="0" w:line="94" w:lineRule="exact"/>
        <w:rPr>
          <w:sz w:val="20"/>
          <w:szCs w:val="20"/>
          <w:color w:val="auto"/>
        </w:rPr>
      </w:pPr>
    </w:p>
    <w:p>
      <w:pPr>
        <w:ind w:left="1360" w:right="299"/>
        <w:spacing w:after="0" w:line="324" w:lineRule="auto"/>
        <w:rPr>
          <w:sz w:val="20"/>
          <w:szCs w:val="20"/>
          <w:color w:val="auto"/>
        </w:rPr>
      </w:pPr>
      <w:r>
        <w:rPr>
          <w:rFonts w:ascii="Times New Roman" w:cs="Times New Roman" w:eastAsia="Times New Roman" w:hAnsi="Times New Roman"/>
          <w:sz w:val="13"/>
          <w:szCs w:val="13"/>
          <w:color w:val="auto"/>
        </w:rPr>
        <w:t>Under French law, we must pay any dividends within nine months of the end of our fiscal year, unless otherwise authorized by an order of the President of the French Commercial Court. Dividends on shares that are not claimed within five years of the date of declared payment revert to the French State.</w:t>
      </w:r>
    </w:p>
    <w:p>
      <w:pPr>
        <w:spacing w:after="0" w:line="10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In the case of interim dividends, distributions are made to shareholders on the date set by our Board during the meeting in which the distribution of interim dividends is approved. The actual dividend payment date is decided by the shareholders at an annual shareholders’ meeting or by our Board in the absence of such a decision by the shareholders. Shareholders that own shares on the actual payment date are entitled to the dividend.</w:t>
      </w:r>
    </w:p>
    <w:p>
      <w:pPr>
        <w:spacing w:after="0" w:line="136"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Shareholders may be granted an option to receive dividends in cash or in shares, in accordance with legal conditions. The conditions for payment of dividends in cash shall be set at the shareholders’ meeting or, failing this, by the Board.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Increases in Share Capital</w:t>
      </w:r>
    </w:p>
    <w:p>
      <w:pPr>
        <w:spacing w:after="0" w:line="9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Our share capital may only be increased by obtaining the approval of the shareholders at an extraordinary shareholders’ meeting upon the recommendation of the Board. The decision to increase share capital through increases in the nominal value of existing shares requires unanimous approval 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 meetings apply. All other share capital increases require the approval of an extraordinary shareholders’ meeting. See “— Shareholders’ Meetings and Voting Rights (Articles 6, 12 and 22 of the By-Laws)” above.</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Increases in our share capital may be effected by:</w:t>
      </w:r>
    </w:p>
    <w:p>
      <w:pPr>
        <w:spacing w:after="0" w:line="102" w:lineRule="exact"/>
        <w:rPr>
          <w:sz w:val="20"/>
          <w:szCs w:val="20"/>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additional shares;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par value of existing shares;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a new class of equity securities;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the rights attached to securities giving access to the share capital.</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Increases in share capital by issuing additional securities may be effected through one or a combination of the following:</w:t>
      </w:r>
    </w:p>
    <w:p>
      <w:pPr>
        <w:spacing w:after="0" w:line="102" w:lineRule="exact"/>
        <w:rPr>
          <w:sz w:val="20"/>
          <w:szCs w:val="20"/>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for cash;</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for assets contributed in kind;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 exchange offer;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conversion of previously issued debt instruments;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capitalization of profits, reserves or share premium;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conditions, by way of offset against debt incurred by us.</w:t>
      </w:r>
    </w:p>
    <w:p>
      <w:pPr>
        <w:spacing w:after="0" w:line="174" w:lineRule="exact"/>
        <w:rPr>
          <w:sz w:val="20"/>
          <w:szCs w:val="20"/>
          <w:color w:val="auto"/>
        </w:rPr>
      </w:pPr>
    </w:p>
    <w:p>
      <w:pPr>
        <w:ind w:left="1360" w:right="219"/>
        <w:spacing w:after="0" w:line="268" w:lineRule="auto"/>
        <w:rPr>
          <w:sz w:val="20"/>
          <w:szCs w:val="20"/>
          <w:color w:val="auto"/>
        </w:rPr>
      </w:pPr>
      <w:r>
        <w:rPr>
          <w:rFonts w:ascii="Times New Roman" w:cs="Times New Roman" w:eastAsia="Times New Roman" w:hAnsi="Times New Roman"/>
          <w:sz w:val="14"/>
          <w:szCs w:val="14"/>
          <w:color w:val="auto"/>
        </w:rPr>
        <w:t>Subject to certain conditions, shareholders may delegate the authority (</w:t>
      </w:r>
      <w:r>
        <w:rPr>
          <w:rFonts w:ascii="Times New Roman" w:cs="Times New Roman" w:eastAsia="Times New Roman" w:hAnsi="Times New Roman"/>
          <w:sz w:val="14"/>
          <w:szCs w:val="14"/>
          <w:i w:val="1"/>
          <w:iCs w:val="1"/>
          <w:color w:val="auto"/>
        </w:rPr>
        <w:t>délégation de compétence</w:t>
      </w:r>
      <w:r>
        <w:rPr>
          <w:rFonts w:ascii="Times New Roman" w:cs="Times New Roman" w:eastAsia="Times New Roman" w:hAnsi="Times New Roman"/>
          <w:sz w:val="14"/>
          <w:szCs w:val="14"/>
          <w:color w:val="auto"/>
        </w:rPr>
        <w:t>) or the powers (</w:t>
      </w:r>
      <w:r>
        <w:rPr>
          <w:rFonts w:ascii="Times New Roman" w:cs="Times New Roman" w:eastAsia="Times New Roman" w:hAnsi="Times New Roman"/>
          <w:sz w:val="14"/>
          <w:szCs w:val="14"/>
          <w:i w:val="1"/>
          <w:iCs w:val="1"/>
          <w:color w:val="auto"/>
        </w:rPr>
        <w:t>délégation de pouvoirs</w:t>
      </w:r>
      <w:r>
        <w:rPr>
          <w:rFonts w:ascii="Times New Roman" w:cs="Times New Roman" w:eastAsia="Times New Roman" w:hAnsi="Times New Roman"/>
          <w:sz w:val="14"/>
          <w:szCs w:val="14"/>
          <w:color w:val="auto"/>
        </w:rPr>
        <w:t>) to carry out certain increases in our share capital to the Board following approval at an extraordinary shareholders’ meeting. The Board may further sub-delegate this right to the Chief Executive Officer.</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Reduction in Share Capital</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Under French law, any reduction in our share capital requires approval of the shareholders at an extraordinary shareholders’ meeting. The share capital may be reduced either by decreasing the nominal value of the outstanding shares or by reducing the number of outstanding shares. The number of outstanding shares may be reduced by the repurchase and cancellation of the shares.</w:t>
      </w:r>
    </w:p>
    <w:p>
      <w:pPr>
        <w:spacing w:after="0" w:line="136"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 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Preferential Subscription Rights</w:t>
      </w:r>
    </w:p>
    <w:p>
      <w:pPr>
        <w:spacing w:after="0" w:line="9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 entity that holds them to subscribe to an issue of any securities that may increase our share capital by means of a cash payment or a settling of cash debts.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 preceding trading day).</w:t>
      </w:r>
    </w:p>
    <w:p>
      <w:pPr>
        <w:spacing w:after="0" w:line="144"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A two-thirds majority of the shares entitled to vote at an extraordinary shareholders’ meeting may vote to waive preferential subscription rights with respect to any particular offering or a portion of that offering. French law requires that the Board and our statutory auditors present reports that specifically address any proposal to waive preferential subscription rights. In the event of a waiver, the issue of securities must be completed within the period prescribed by French law. The shareholders may also decide at an extraordinary shareholders’ meeting to give existing shareholders a non-transferable priority right to subscribe to such new securities during a limited period of time. Shareholders also may notify us that they wish to waive their own preferential subscription rights with respect to any particular offering if they so choose.</w:t>
      </w:r>
    </w:p>
    <w:p>
      <w:pPr>
        <w:spacing w:after="0" w:line="144"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In the event of a share capital increase without preferential subscription rights to existing shareholders through a public offering, the extraordinary shareholders’ meeting may authorize the Board to freely set the issuing price or to set the issuing price in accordance with the terms established by the extraordinary shareholders’ meeting.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Form, Holding and Transfer of Shares (Articles 10 and 11 of the By-Laws)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Form of Shares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by-laws provide that the shares once fully paid may be held in registered or bearer form at the option of the shareholder, subject to applicable laws.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 not fully paid must be nominal.</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Holding of Shares</w:t>
      </w:r>
    </w:p>
    <w:p>
      <w:pPr>
        <w:spacing w:after="0" w:line="94"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In accordance with French law, shareholders’ ownership rights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w:t>
      </w:r>
    </w:p>
    <w:p>
      <w:pPr>
        <w:spacing w:after="0" w:line="136"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Any owner of our shares may elect to have its shares held in registered form and registered in its name in an account currently maintained by Uptevia, 90–110 Esplanade du Général de Gaulle – 92931 Paris La Défense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w:t>
      </w:r>
    </w:p>
    <w:p>
      <w:pPr>
        <w:spacing w:after="0" w:line="14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w:t>
      </w:r>
    </w:p>
    <w:p>
      <w:pPr>
        <w:spacing w:after="0" w:line="13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 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 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Transfer of Shares</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Our by-laws do not contain any restrictions relating to the transfer of shares. Shares are freely negotiable, subject to applicable legal and regulatory provisions. French and European law provide for standstill obligations and prohibition of insider trading.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 different classes. Shareholders shall only bear losses up to the amount of their contributions.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Disclosure Requirements for Holdings Exceeding Certain Thresholds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Declaration of Crossing of Ownership Thresholds (Article 11.2 of the By-laws)</w:t>
      </w:r>
    </w:p>
    <w:p>
      <w:pPr>
        <w:spacing w:after="0" w:line="94" w:lineRule="exact"/>
        <w:rPr>
          <w:sz w:val="20"/>
          <w:szCs w:val="20"/>
          <w:color w:val="auto"/>
        </w:rPr>
      </w:pPr>
    </w:p>
    <w:p>
      <w:pPr>
        <w:ind w:left="1360" w:right="259"/>
        <w:spacing w:after="0" w:line="235" w:lineRule="auto"/>
        <w:rPr>
          <w:sz w:val="20"/>
          <w:szCs w:val="20"/>
          <w:color w:val="auto"/>
        </w:rPr>
      </w:pPr>
      <w:r>
        <w:rPr>
          <w:rFonts w:ascii="Times New Roman" w:cs="Times New Roman" w:eastAsia="Times New Roman" w:hAnsi="Times New Roman"/>
          <w:sz w:val="14"/>
          <w:szCs w:val="14"/>
          <w:color w:val="auto"/>
        </w:rPr>
        <w:t xml:space="preserve">We are subject to certain disclosure requirements under French law. Any individual or entity, acting alone or in concert with others, that acquires, either directly or indirectly, shares representing more than 5%, 10%, 15%, 20%, 25%, 30%, 33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xml:space="preserve">%, 50%, 66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90% or 95% of our outstanding share capital or voting rights or that increases or decreases its shareholding or voting rights above or below any of those percentage thresholds, must notify us and the French Market Authority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(“AMF”) within four trading days of the date on which such threshold was crossed. French law and AMF regulations impose additional reporting requirements on persons who acquire more than 10%, 15%, 20% or 25% of the outstanding shares or voting rights of a listed company.</w:t>
      </w:r>
    </w:p>
    <w:p>
      <w:pPr>
        <w:spacing w:after="0" w:line="154"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If a shareholder fails to comply with the notification requirements under French law, the shares or voting rights in excess of the relevant threshold will be deprived of voting rights until the end of a two-year period following the date on which the owner of such shares has complied with the notification requirements. They may also be suspended for up to five years and may be subject to criminal fines.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by-laws provide that any shareholder, acting alone or in concert, who comes into possession, in any manner whatsoever, either directly or 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 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 reported are denied the right to vote in shareholders’ meetings, if at a 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w:t>
      </w:r>
    </w:p>
    <w:p>
      <w:pPr>
        <w:spacing w:after="0" w:line="148"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w:t>
      </w:r>
    </w:p>
    <w:p>
      <w:pPr>
        <w:spacing w:after="0" w:line="125"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the company’s capital or voting rights, shall file a mandatory public tender offer.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Treasury Shares and Purchases of our Own Shares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We are not permitted to hold more than 10% of our share capital in treasury shares or to have more than 10% of our share capital to be held for us by our subsidiaries. Treasury shares are not entitled to dividends, voting rights or preferential subscription rights.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Repurchase and Redemption of Shares</w:t>
      </w:r>
    </w:p>
    <w:p>
      <w:pPr>
        <w:spacing w:after="0" w:line="94"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Under French law, we may acquire our own shares. Such acquisition may be challenged on the ground of market abuse regulations. However, EU Market Abuse Regulation 596/2014 of April 16, 2014 (“MAR”) provides for safe harbor exemptions when the acquisition is made for the following purposes only:</w:t>
      </w:r>
    </w:p>
    <w:p>
      <w:pPr>
        <w:spacing w:after="0" w:line="62" w:lineRule="exact"/>
        <w:rPr>
          <w:sz w:val="20"/>
          <w:szCs w:val="20"/>
          <w:color w:val="auto"/>
        </w:rPr>
      </w:pPr>
    </w:p>
    <w:p>
      <w:pPr>
        <w:ind w:left="2100" w:right="259" w:hanging="328"/>
        <w:spacing w:after="0" w:line="267"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meet obligations arising from debt securities that are exchangeable into equity instruments;</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shares for distribution to employees or managers under a profit-sharing, free share or share option plan. In this case the shares repurchased must be distributed within 12 months from their repurchase failing which they must be cancelled; or</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a buy-back program to be authorized by the shareholders in accordance with the provisions of Article L. 22-10-62 of the French Commercial Code and in accordance with the general regulations of, and market practices accepted by the AMF.</w:t>
      </w:r>
    </w:p>
    <w:p>
      <w:pPr>
        <w:spacing w:after="0" w:line="125"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19"/>
        <w:spacing w:after="0" w:line="262" w:lineRule="auto"/>
        <w:rPr>
          <w:sz w:val="20"/>
          <w:szCs w:val="20"/>
          <w:color w:val="auto"/>
        </w:rPr>
      </w:pPr>
      <w:r>
        <w:rPr>
          <w:rFonts w:ascii="Times New Roman" w:cs="Times New Roman" w:eastAsia="Times New Roman" w:hAnsi="Times New Roman"/>
          <w:sz w:val="14"/>
          <w:szCs w:val="14"/>
          <w:color w:val="auto"/>
        </w:rPr>
        <w:t>Under MAR and in accordance with the general regulations (</w:t>
      </w:r>
      <w:r>
        <w:rPr>
          <w:rFonts w:ascii="Times New Roman" w:cs="Times New Roman" w:eastAsia="Times New Roman" w:hAnsi="Times New Roman"/>
          <w:sz w:val="14"/>
          <w:szCs w:val="14"/>
          <w:i w:val="1"/>
          <w:iCs w:val="1"/>
          <w:color w:val="auto"/>
        </w:rPr>
        <w:t>réglement général</w:t>
      </w:r>
      <w:r>
        <w:rPr>
          <w:rFonts w:ascii="Times New Roman" w:cs="Times New Roman" w:eastAsia="Times New Roman" w:hAnsi="Times New Roman"/>
          <w:sz w:val="14"/>
          <w:szCs w:val="14"/>
          <w:color w:val="auto"/>
        </w:rPr>
        <w:t>) of the AMF (the “General Regulations”),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4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Ownership of Shares by Non-French Persons</w:t>
      </w:r>
    </w:p>
    <w:p>
      <w:pPr>
        <w:spacing w:after="0" w:line="92" w:lineRule="exact"/>
        <w:rPr>
          <w:sz w:val="20"/>
          <w:szCs w:val="20"/>
          <w:color w:val="auto"/>
        </w:rPr>
      </w:pPr>
    </w:p>
    <w:p>
      <w:pPr>
        <w:ind w:left="1360" w:right="259"/>
        <w:spacing w:after="0" w:line="262" w:lineRule="auto"/>
        <w:rPr>
          <w:sz w:val="20"/>
          <w:szCs w:val="20"/>
          <w:color w:val="auto"/>
        </w:rPr>
      </w:pPr>
      <w:r>
        <w:rPr>
          <w:rFonts w:ascii="Times New Roman" w:cs="Times New Roman" w:eastAsia="Times New Roman" w:hAnsi="Times New Roman"/>
          <w:sz w:val="14"/>
          <w:szCs w:val="14"/>
          <w:color w:val="auto"/>
        </w:rPr>
        <w:t>EU and non-EU residents are required to file an administrative notice (</w:t>
      </w:r>
      <w:r>
        <w:rPr>
          <w:rFonts w:ascii="Times New Roman" w:cs="Times New Roman" w:eastAsia="Times New Roman" w:hAnsi="Times New Roman"/>
          <w:sz w:val="14"/>
          <w:szCs w:val="14"/>
          <w:i w:val="1"/>
          <w:iCs w:val="1"/>
          <w:color w:val="auto"/>
        </w:rPr>
        <w:t>déclaration administrative</w:t>
      </w:r>
      <w:r>
        <w:rPr>
          <w:rFonts w:ascii="Times New Roman" w:cs="Times New Roman" w:eastAsia="Times New Roman" w:hAnsi="Times New Roman"/>
          <w:sz w:val="14"/>
          <w:szCs w:val="14"/>
          <w:color w:val="auto"/>
        </w:rPr>
        <w:t>) with the French authorities in connection with certain 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w:t>
      </w:r>
    </w:p>
    <w:p>
      <w:pPr>
        <w:spacing w:after="0" w:line="67" w:lineRule="exact"/>
        <w:rPr>
          <w:sz w:val="20"/>
          <w:szCs w:val="20"/>
          <w:color w:val="auto"/>
        </w:rPr>
      </w:pPr>
    </w:p>
    <w:p>
      <w:pPr>
        <w:ind w:left="2100" w:right="29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carried out on our capital by a non-French resident provided that after the transaction the cumulative amount of the capital or the voting rights held by non-French residents exceeds 1/3 of our capital or voting rights;</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mentioned above by a corporation incorporated under French law whose capital or voting rights are held for more than 33.33% by non-French residents;</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carried out abroad resulting in a change of the controlling shareholder of a corporation incorporated under a foreign law that holds a shareholding or voting rights in us if our capital or voting rights are held for more than 33.33% by non-French residents;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and guarantees granted by the acquirer to us in amounts evidencing control over our financing; and</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patent licenses granted by an acquirer or management or technical assistance agreements with such acquirer that place us in a dependent position </w:t>
      </w:r>
      <w:r>
        <w:rPr>
          <w:rFonts w:ascii="Times New Roman" w:cs="Times New Roman" w:eastAsia="Times New Roman" w:hAnsi="Times New Roman"/>
          <w:sz w:val="14"/>
          <w:szCs w:val="14"/>
          <w:i w:val="1"/>
          <w:iCs w:val="1"/>
          <w:color w:val="auto"/>
        </w:rPr>
        <w:t>vis-à-vis</w:t>
      </w:r>
      <w:r>
        <w:rPr>
          <w:rFonts w:ascii="Times New Roman" w:cs="Times New Roman" w:eastAsia="Times New Roman" w:hAnsi="Times New Roman"/>
          <w:sz w:val="14"/>
          <w:szCs w:val="14"/>
          <w:color w:val="auto"/>
        </w:rPr>
        <w:t xml:space="preserve"> such party or its group.</w:t>
      </w:r>
    </w:p>
    <w:p>
      <w:pPr>
        <w:spacing w:after="0" w:line="123"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Non-French residents must file a declaration for statistical purposes with the Bank of France (</w:t>
      </w:r>
      <w:r>
        <w:rPr>
          <w:rFonts w:ascii="Times New Roman" w:cs="Times New Roman" w:eastAsia="Times New Roman" w:hAnsi="Times New Roman"/>
          <w:sz w:val="14"/>
          <w:szCs w:val="14"/>
          <w:i w:val="1"/>
          <w:iCs w:val="1"/>
          <w:color w:val="auto"/>
        </w:rPr>
        <w:t>Banque de France</w:t>
      </w:r>
      <w:r>
        <w:rPr>
          <w:rFonts w:ascii="Times New Roman" w:cs="Times New Roman" w:eastAsia="Times New Roman" w:hAnsi="Times New Roman"/>
          <w:sz w:val="14"/>
          <w:szCs w:val="14"/>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up to twice the amount of the relevant investment. This amount may be increased fivefold if the violation is made by a legal entity.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92" w:lineRule="exact"/>
        <w:rPr>
          <w:sz w:val="20"/>
          <w:szCs w:val="20"/>
          <w:color w:val="auto"/>
        </w:rPr>
      </w:pPr>
    </w:p>
    <w:p>
      <w:pPr>
        <w:jc w:val="both"/>
        <w:ind w:left="1360" w:right="359"/>
        <w:spacing w:after="0" w:line="279" w:lineRule="auto"/>
        <w:rPr>
          <w:sz w:val="20"/>
          <w:szCs w:val="20"/>
          <w:color w:val="auto"/>
        </w:rPr>
      </w:pPr>
      <w:r>
        <w:rPr>
          <w:rFonts w:ascii="Times New Roman" w:cs="Times New Roman" w:eastAsia="Times New Roman" w:hAnsi="Times New Roman"/>
          <w:sz w:val="13"/>
          <w:szCs w:val="13"/>
          <w:color w:val="auto"/>
        </w:rPr>
        <w:t xml:space="preserve">The laws applicable to French </w:t>
      </w:r>
      <w:r>
        <w:rPr>
          <w:rFonts w:ascii="Times New Roman" w:cs="Times New Roman" w:eastAsia="Times New Roman" w:hAnsi="Times New Roman"/>
          <w:sz w:val="13"/>
          <w:szCs w:val="13"/>
          <w:i w:val="1"/>
          <w:iCs w:val="1"/>
          <w:color w:val="auto"/>
        </w:rPr>
        <w:t>sociétés anonymes</w:t>
      </w:r>
      <w:r>
        <w:rPr>
          <w:rFonts w:ascii="Times New Roman" w:cs="Times New Roman" w:eastAsia="Times New Roman" w:hAnsi="Times New Roman"/>
          <w:sz w:val="13"/>
          <w:szCs w:val="13"/>
          <w:color w:val="auto"/>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the law under which many public companies in the United States are incorporated, relating to shareholders’ rights and protections.</w:t>
      </w: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This summary is not intended to be a complete discussion of the respective rights, and it is qualified in its entirety by reference to Delaware law and French law.</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Number of</w:t>
            </w:r>
          </w:p>
        </w:tc>
        <w:tc>
          <w:tcPr>
            <w:tcW w:w="35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1"/>
                <w:szCs w:val="11"/>
                <w:b w:val="1"/>
                <w:bCs w:val="1"/>
                <w:color w:val="auto"/>
              </w:rPr>
              <w:t>FRANCE</w:t>
            </w:r>
          </w:p>
        </w:tc>
        <w:tc>
          <w:tcPr>
            <w:tcW w:w="0" w:type="dxa"/>
            <w:vAlign w:val="bottom"/>
          </w:tcPr>
          <w:p>
            <w:pPr>
              <w:spacing w:after="0"/>
              <w:rPr>
                <w:sz w:val="1"/>
                <w:szCs w:val="1"/>
                <w:color w:val="auto"/>
              </w:rPr>
            </w:pPr>
          </w:p>
        </w:tc>
      </w:tr>
      <w:tr>
        <w:trPr>
          <w:trHeight w:val="134"/>
        </w:trPr>
        <w:tc>
          <w:tcPr>
            <w:tcW w:w="1380" w:type="dxa"/>
            <w:vAlign w:val="bottom"/>
            <w:vMerge w:val="continue"/>
          </w:tcPr>
          <w:p>
            <w:pPr>
              <w:spacing w:after="0"/>
              <w:rPr>
                <w:sz w:val="11"/>
                <w:szCs w:val="11"/>
                <w:color w:val="auto"/>
              </w:rPr>
            </w:pPr>
          </w:p>
        </w:tc>
        <w:tc>
          <w:tcPr>
            <w:tcW w:w="352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 xml:space="preserve">Under French law,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must have at least three</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and may have up to 18 directors. The number of directors is</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fixed by or in the manner provided in the by-laws. The</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number of directors of each gender may not be less than 40%.</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 case a board of directors comprises up to eight members,</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difference between the number of directors of each gender</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may not exceed two. Any appointment made in violation of</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this limit that is not remedied within six months of this</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appointment will be null and void and payment of directors’</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will be suspended.</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a corporation may prescribe qualifications</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Qualifications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for directors under its by-laws. In addition, under French law,</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members of a board of directors may be legal entities, and</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such legal entities must designate an individual to represent</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them and to act on their behalf at meetings of the board of</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Removal of</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directors may be removed from office,</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with or without cause, at any shareholders’ meeting without</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notice or justification, by a simple majority vote of the</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present and voting at the meeting in person or by</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proxy.</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Vacancies on</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vacancies on the board of directors</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the board of</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resulting from death or a resignation, provided that at least</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three directors remain in office, may be filled by a majority of</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remaining directors pending ratification by the</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by the next shareholders’ meeting.</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Annual</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the annual shareholders’ meeting shall be</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held at such place, on such date and at such time as decided</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Meeting</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each year by the board of directors and notified to the</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in the convening notice of the annual meeting,</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within six months after the close of the relevant fiscal year</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unless such period is extended by court order.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352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23139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2231390" cy="6985"/>
                    </a:xfrm>
                    <a:prstGeom prst="rect">
                      <a:avLst/>
                    </a:prstGeom>
                    <a:noFill/>
                  </pic:spPr>
                </pic:pic>
              </a:graphicData>
            </a:graphic>
          </wp:anchor>
        </w:drawing>
      </w:r>
    </w:p>
    <w:p>
      <w:pPr>
        <w:spacing w:after="0" w:line="1" w:lineRule="exact"/>
        <w:rPr>
          <w:sz w:val="20"/>
          <w:szCs w:val="20"/>
          <w:color w:val="auto"/>
        </w:rPr>
      </w:pPr>
    </w:p>
    <w:p>
      <w:pPr>
        <w:ind w:right="239"/>
        <w:spacing w:after="0" w:line="258" w:lineRule="auto"/>
        <w:rPr>
          <w:sz w:val="20"/>
          <w:szCs w:val="20"/>
          <w:color w:val="auto"/>
        </w:rPr>
      </w:pPr>
      <w:r>
        <w:rPr>
          <w:rFonts w:ascii="Times New Roman" w:cs="Times New Roman" w:eastAsia="Times New Roman" w:hAnsi="Times New Roman"/>
          <w:sz w:val="14"/>
          <w:szCs w:val="14"/>
          <w:color w:val="auto"/>
        </w:rPr>
        <w:t>Under Delaware law, a corporation must have at least one director and the number of directors shall be fixed by or in the manner provided in the by-laws (unless specified in the certificate of incorporation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939"/>
        <w:spacing w:after="0" w:line="267" w:lineRule="auto"/>
        <w:rPr>
          <w:sz w:val="20"/>
          <w:szCs w:val="20"/>
          <w:color w:val="auto"/>
        </w:rPr>
      </w:pPr>
      <w:r>
        <w:rPr>
          <w:rFonts w:ascii="Times New Roman" w:cs="Times New Roman" w:eastAsia="Times New Roman" w:hAnsi="Times New Roman"/>
          <w:sz w:val="14"/>
          <w:szCs w:val="14"/>
          <w:color w:val="auto"/>
        </w:rPr>
        <w:t>Under Delaware law, a corporation may prescribe qualifications for directors under its certificate of incorporation or by-laws.</w:t>
      </w:r>
    </w:p>
    <w:p>
      <w:pPr>
        <w:spacing w:after="0" w:line="200" w:lineRule="exact"/>
        <w:rPr>
          <w:sz w:val="20"/>
          <w:szCs w:val="20"/>
          <w:color w:val="auto"/>
        </w:rPr>
      </w:pPr>
    </w:p>
    <w:p>
      <w:pPr>
        <w:spacing w:after="0" w:line="357" w:lineRule="exact"/>
        <w:rPr>
          <w:sz w:val="20"/>
          <w:szCs w:val="20"/>
          <w:color w:val="auto"/>
        </w:rPr>
      </w:pPr>
    </w:p>
    <w:p>
      <w:pPr>
        <w:ind w:right="319"/>
        <w:spacing w:after="0" w:line="283" w:lineRule="auto"/>
        <w:rPr>
          <w:sz w:val="20"/>
          <w:szCs w:val="20"/>
          <w:color w:val="auto"/>
        </w:rPr>
      </w:pPr>
      <w:r>
        <w:rPr>
          <w:rFonts w:ascii="Times New Roman" w:cs="Times New Roman" w:eastAsia="Times New Roman" w:hAnsi="Times New Roman"/>
          <w:sz w:val="13"/>
          <w:szCs w:val="13"/>
          <w:color w:val="auto"/>
        </w:rPr>
        <w:t>Under Delaware law, unless otherwise provided in the certificate of incorporation, directors may be removed from office, with or without cause, by a majority stockholder vote, though in the case of a corporation whose board is classified, shareholders may effect such removal only for cause.</w:t>
      </w:r>
    </w:p>
    <w:p>
      <w:pPr>
        <w:spacing w:after="0" w:line="45" w:lineRule="exact"/>
        <w:rPr>
          <w:sz w:val="20"/>
          <w:szCs w:val="20"/>
          <w:color w:val="auto"/>
        </w:rPr>
      </w:pPr>
    </w:p>
    <w:p>
      <w:pPr>
        <w:ind w:right="239"/>
        <w:spacing w:after="0" w:line="259" w:lineRule="auto"/>
        <w:rPr>
          <w:sz w:val="20"/>
          <w:szCs w:val="20"/>
          <w:color w:val="auto"/>
        </w:rPr>
      </w:pPr>
      <w:r>
        <w:rPr>
          <w:rFonts w:ascii="Times New Roman" w:cs="Times New Roman" w:eastAsia="Times New Roman" w:hAnsi="Times New Roman"/>
          <w:sz w:val="14"/>
          <w:szCs w:val="14"/>
          <w:color w:val="auto"/>
        </w:rPr>
        <w:t>Under Delaware law, vacancies on a corporation’s board of directors, including those caused by an increase in the number of directors, unless otherwise provided in the certificate of incorporation, may be filled by the board of directors or other governing body.</w:t>
      </w:r>
    </w:p>
    <w:p>
      <w:pPr>
        <w:spacing w:after="0" w:line="57" w:lineRule="exact"/>
        <w:rPr>
          <w:sz w:val="20"/>
          <w:szCs w:val="20"/>
          <w:color w:val="auto"/>
        </w:rPr>
      </w:pPr>
    </w:p>
    <w:p>
      <w:pPr>
        <w:ind w:right="259"/>
        <w:spacing w:after="0" w:line="288" w:lineRule="auto"/>
        <w:rPr>
          <w:sz w:val="20"/>
          <w:szCs w:val="20"/>
          <w:color w:val="auto"/>
        </w:rPr>
      </w:pPr>
      <w:r>
        <w:rPr>
          <w:rFonts w:ascii="Times New Roman" w:cs="Times New Roman" w:eastAsia="Times New Roman" w:hAnsi="Times New Roman"/>
          <w:sz w:val="13"/>
          <w:szCs w:val="13"/>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ectPr>
          <w:pgSz w:w="11900" w:h="16838" w:orient="portrait"/>
          <w:cols w:equalWidth="0" w:num="2">
            <w:col w:w="6260" w:space="160"/>
            <w:col w:w="373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1380" w:type="dxa"/>
            <w:vAlign w:val="bottom"/>
          </w:tcPr>
          <w:p>
            <w:pPr>
              <w:spacing w:after="0"/>
              <w:rPr>
                <w:sz w:val="12"/>
                <w:szCs w:val="12"/>
                <w:color w:val="auto"/>
              </w:rPr>
            </w:pPr>
          </w:p>
        </w:tc>
        <w:tc>
          <w:tcPr>
            <w:tcW w:w="35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shareholders’ meetings may be called by</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Meeting</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board of directors or, failing that, by the statutory auditors,</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or by a court appointed agent or liquidator in certain</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circumstances, or by the majority shareholder in capital or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voting rights following a public tender offer or exchange offer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or the transfer of a controlling block on the date decided by</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board of directors or the relevant person.</w:t>
            </w:r>
          </w:p>
        </w:tc>
      </w:tr>
      <w:tr>
        <w:trPr>
          <w:trHeight w:val="236"/>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Notice of</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 meeting notice (</w:t>
            </w:r>
            <w:r>
              <w:rPr>
                <w:rFonts w:ascii="Times New Roman" w:cs="Times New Roman" w:eastAsia="Times New Roman" w:hAnsi="Times New Roman"/>
                <w:sz w:val="14"/>
                <w:szCs w:val="14"/>
                <w:i w:val="1"/>
                <w:iCs w:val="1"/>
                <w:color w:val="auto"/>
              </w:rPr>
              <w:t>avis de réunion</w:t>
            </w:r>
            <w:r>
              <w:rPr>
                <w:rFonts w:ascii="Times New Roman" w:cs="Times New Roman" w:eastAsia="Times New Roman" w:hAnsi="Times New Roman"/>
                <w:sz w:val="14"/>
                <w:szCs w:val="14"/>
                <w:color w:val="auto"/>
              </w:rPr>
              <w:t xml:space="preserve">) is published in the </w:t>
            </w:r>
            <w:r>
              <w:rPr>
                <w:rFonts w:ascii="Times New Roman" w:cs="Times New Roman" w:eastAsia="Times New Roman" w:hAnsi="Times New Roman"/>
                <w:sz w:val="14"/>
                <w:szCs w:val="14"/>
                <w:i w:val="1"/>
                <w:iCs w:val="1"/>
                <w:color w:val="auto"/>
              </w:rPr>
              <w:t>Bulletin</w:t>
            </w:r>
          </w:p>
        </w:tc>
      </w:tr>
      <w:tr>
        <w:trPr>
          <w:trHeight w:val="17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xml:space="preserve">des annonces légales obligatoires </w:t>
            </w:r>
            <w:r>
              <w:rPr>
                <w:rFonts w:ascii="Times New Roman" w:cs="Times New Roman" w:eastAsia="Times New Roman" w:hAnsi="Times New Roman"/>
                <w:sz w:val="14"/>
                <w:szCs w:val="14"/>
                <w:color w:val="auto"/>
              </w:rPr>
              <w:t>(“BALO”) at least 35 days</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Meetings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prior to a meeting and made available on the website of the</w:t>
            </w:r>
          </w:p>
        </w:tc>
      </w:tr>
      <w:tr>
        <w:trPr>
          <w:trHeight w:val="166"/>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company at least 21 days prior to the meeting. Additionally, a</w:t>
            </w:r>
          </w:p>
        </w:tc>
      </w:tr>
      <w:tr>
        <w:trPr>
          <w:trHeight w:val="170"/>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convening notice (</w:t>
            </w:r>
            <w:r>
              <w:rPr>
                <w:rFonts w:ascii="Times New Roman" w:cs="Times New Roman" w:eastAsia="Times New Roman" w:hAnsi="Times New Roman"/>
                <w:sz w:val="14"/>
                <w:szCs w:val="14"/>
                <w:i w:val="1"/>
                <w:iCs w:val="1"/>
                <w:color w:val="auto"/>
              </w:rPr>
              <w:t>avis de convocation</w:t>
            </w:r>
            <w:r>
              <w:rPr>
                <w:rFonts w:ascii="Times New Roman" w:cs="Times New Roman" w:eastAsia="Times New Roman" w:hAnsi="Times New Roman"/>
                <w:sz w:val="14"/>
                <w:szCs w:val="14"/>
                <w:color w:val="auto"/>
              </w:rPr>
              <w:t>) is published at least</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15 days prior to the date of the meeting, in a legal</w:t>
            </w:r>
          </w:p>
        </w:tc>
      </w:tr>
      <w:tr>
        <w:trPr>
          <w:trHeight w:val="166"/>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announcement bulletin of the registered office department and</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w w:val="99"/>
              </w:rPr>
              <w:t>in the BALO. Further, the holders of registered shares (</w:t>
            </w:r>
            <w:r>
              <w:rPr>
                <w:rFonts w:ascii="Times New Roman" w:cs="Times New Roman" w:eastAsia="Times New Roman" w:hAnsi="Times New Roman"/>
                <w:sz w:val="14"/>
                <w:szCs w:val="14"/>
                <w:i w:val="1"/>
                <w:iCs w:val="1"/>
                <w:color w:val="auto"/>
                <w:w w:val="99"/>
              </w:rPr>
              <w:t>actions</w:t>
            </w:r>
          </w:p>
        </w:tc>
      </w:tr>
      <w:tr>
        <w:trPr>
          <w:trHeight w:val="170"/>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nominatives</w:t>
            </w:r>
            <w:r>
              <w:rPr>
                <w:rFonts w:ascii="Times New Roman" w:cs="Times New Roman" w:eastAsia="Times New Roman" w:hAnsi="Times New Roman"/>
                <w:sz w:val="14"/>
                <w:szCs w:val="14"/>
                <w:color w:val="auto"/>
              </w:rPr>
              <w:t>) for at least a month at the time of the convening</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w w:val="99"/>
              </w:rPr>
              <w:t>notice shall be summoned individually, by regular letter (or by</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registered letter if they request it and include an advance of</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expenses) sent to their last known address. This notice may</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w w:val="99"/>
              </w:rPr>
              <w:t>also be transmitted by electronic means of telecommunication,</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 lieu of any such mailing, in accordance with legal and</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regulatory requirements.</w:t>
            </w:r>
          </w:p>
        </w:tc>
      </w:tr>
      <w:tr>
        <w:trPr>
          <w:trHeight w:val="238"/>
        </w:trPr>
        <w:tc>
          <w:tcPr>
            <w:tcW w:w="13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meeting notice must also indicate the conditions under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which the shareholders may vote by correspondence, the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places and conditions in which they can obtain voting forms,</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and as the case may be, the e-mail address to which they may</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send written questions.</w:t>
            </w: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Proxy</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Each shareholder has the right to attend the meetings and</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participate in the discussions (i) personally, (ii) by granting</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proxy to any individual or legal entity of his choosing, (iii) by</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sending a proxy to the company without indication of the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mandate (in which case such proxy shall be cast in favor of</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resolutions supported by the board of directors), (iv) by</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voting by correspondence or (v) by videoconference or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another means of telecommunication allowing identification</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 accordance with applicable laws. The</w:t>
            </w:r>
          </w:p>
        </w:tc>
      </w:tr>
      <w:tr>
        <w:trPr>
          <w:trHeight w:val="284"/>
        </w:trPr>
        <w:tc>
          <w:tcPr>
            <w:tcW w:w="1380" w:type="dxa"/>
            <w:vAlign w:val="bottom"/>
          </w:tcPr>
          <w:p>
            <w:pPr>
              <w:spacing w:after="0"/>
              <w:rPr>
                <w:sz w:val="24"/>
                <w:szCs w:val="24"/>
                <w:color w:val="auto"/>
              </w:rPr>
            </w:pPr>
          </w:p>
        </w:tc>
        <w:tc>
          <w:tcPr>
            <w:tcW w:w="352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25</w:t>
            </w: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23139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2231390" cy="6985"/>
                    </a:xfrm>
                    <a:prstGeom prst="rect">
                      <a:avLst/>
                    </a:prstGeom>
                    <a:noFill/>
                  </pic:spPr>
                </pic:pic>
              </a:graphicData>
            </a:graphic>
          </wp:anchor>
        </w:drawing>
      </w:r>
    </w:p>
    <w:p>
      <w:pPr>
        <w:spacing w:after="0" w:line="68" w:lineRule="exact"/>
        <w:rPr>
          <w:sz w:val="20"/>
          <w:szCs w:val="20"/>
          <w:color w:val="auto"/>
        </w:rPr>
      </w:pPr>
    </w:p>
    <w:p>
      <w:pPr>
        <w:ind w:right="359"/>
        <w:spacing w:after="0" w:line="261" w:lineRule="auto"/>
        <w:rPr>
          <w:sz w:val="20"/>
          <w:szCs w:val="20"/>
          <w:color w:val="auto"/>
        </w:rPr>
      </w:pPr>
      <w:r>
        <w:rPr>
          <w:rFonts w:ascii="Times New Roman" w:cs="Times New Roman" w:eastAsia="Times New Roman" w:hAnsi="Times New Roman"/>
          <w:sz w:val="14"/>
          <w:szCs w:val="14"/>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362" w:lineRule="exact"/>
        <w:rPr>
          <w:sz w:val="20"/>
          <w:szCs w:val="20"/>
          <w:color w:val="auto"/>
        </w:rPr>
      </w:pPr>
    </w:p>
    <w:p>
      <w:pPr>
        <w:ind w:right="239"/>
        <w:spacing w:after="0" w:line="254" w:lineRule="auto"/>
        <w:rPr>
          <w:sz w:val="20"/>
          <w:szCs w:val="20"/>
          <w:color w:val="auto"/>
        </w:rPr>
      </w:pPr>
      <w:r>
        <w:rPr>
          <w:rFonts w:ascii="Times New Roman" w:cs="Times New Roman" w:eastAsia="Times New Roman" w:hAnsi="Times New Roman"/>
          <w:sz w:val="14"/>
          <w:szCs w:val="14"/>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the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59"/>
        <w:spacing w:after="0" w:line="259" w:lineRule="auto"/>
        <w:rPr>
          <w:sz w:val="20"/>
          <w:szCs w:val="20"/>
          <w:color w:val="auto"/>
        </w:rPr>
      </w:pPr>
      <w:r>
        <w:rPr>
          <w:rFonts w:ascii="Times New Roman" w:cs="Times New Roman" w:eastAsia="Times New Roman" w:hAnsi="Times New Roman"/>
          <w:sz w:val="14"/>
          <w:szCs w:val="14"/>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ectPr>
          <w:pgSz w:w="11900" w:h="16838" w:orient="portrait"/>
          <w:cols w:equalWidth="0" w:num="2">
            <w:col w:w="6260" w:space="160"/>
            <w:col w:w="373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1380" w:type="dxa"/>
            <w:vAlign w:val="bottom"/>
          </w:tcPr>
          <w:p>
            <w:pPr>
              <w:spacing w:after="0"/>
              <w:rPr>
                <w:sz w:val="12"/>
                <w:szCs w:val="12"/>
                <w:color w:val="auto"/>
              </w:rPr>
            </w:pPr>
          </w:p>
        </w:tc>
        <w:tc>
          <w:tcPr>
            <w:tcW w:w="35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144"/>
        </w:trPr>
        <w:tc>
          <w:tcPr>
            <w:tcW w:w="1380" w:type="dxa"/>
            <w:vAlign w:val="bottom"/>
          </w:tcPr>
          <w:p>
            <w:pPr>
              <w:spacing w:after="0"/>
              <w:rPr>
                <w:sz w:val="12"/>
                <w:szCs w:val="12"/>
                <w:color w:val="auto"/>
              </w:rPr>
            </w:pPr>
          </w:p>
        </w:tc>
        <w:tc>
          <w:tcPr>
            <w:tcW w:w="35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proxy is only valid for a single meeting or for successive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meetings convened with the same agenda. It can also be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granted for two meetings, one ordinary the other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extraordinary, held on the same day or within a period of 15</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days.</w:t>
            </w:r>
          </w:p>
        </w:tc>
      </w:tr>
      <w:tr>
        <w:trPr>
          <w:trHeight w:val="236"/>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Shareholder</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shareholders’ action by written consent is</w:t>
            </w:r>
          </w:p>
        </w:tc>
      </w:tr>
      <w:tr>
        <w:trPr>
          <w:trHeight w:val="17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Action by</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not permitted in a </w:t>
            </w:r>
            <w:r>
              <w:rPr>
                <w:rFonts w:ascii="Times New Roman" w:cs="Times New Roman" w:eastAsia="Times New Roman" w:hAnsi="Times New Roman"/>
                <w:sz w:val="14"/>
                <w:szCs w:val="14"/>
                <w:i w:val="1"/>
                <w:iCs w:val="1"/>
                <w:color w:val="auto"/>
              </w:rPr>
              <w:t>société anonyme.</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Written</w:t>
            </w:r>
          </w:p>
        </w:tc>
        <w:tc>
          <w:tcPr>
            <w:tcW w:w="3520" w:type="dxa"/>
            <w:vAlign w:val="bottom"/>
          </w:tcPr>
          <w:p>
            <w:pPr>
              <w:spacing w:after="0"/>
              <w:rPr>
                <w:sz w:val="14"/>
                <w:szCs w:val="14"/>
                <w:color w:val="auto"/>
              </w:rPr>
            </w:pPr>
          </w:p>
        </w:tc>
      </w:tr>
      <w:tr>
        <w:trPr>
          <w:trHeight w:val="18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Consent</w:t>
            </w:r>
          </w:p>
        </w:tc>
        <w:tc>
          <w:tcPr>
            <w:tcW w:w="3520" w:type="dxa"/>
            <w:vAlign w:val="bottom"/>
          </w:tcPr>
          <w:p>
            <w:pPr>
              <w:spacing w:after="0"/>
              <w:rPr>
                <w:sz w:val="15"/>
                <w:szCs w:val="15"/>
                <w:color w:val="auto"/>
              </w:rPr>
            </w:pPr>
          </w:p>
        </w:tc>
      </w:tr>
      <w:tr>
        <w:trPr>
          <w:trHeight w:val="74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Preferential</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in case of issuance of additional shares or</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Subscription</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other securities for cash or set-off against cash debts, the</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Rights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existing shareholders have preferential subscription rights to</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these securities on a pro rata basis unless such rights are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waived by a two-thirds majority of the votes held by the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present at the extraordinary meeting deciding or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authorizing the capital increase, voting in person or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represented by proxy or voting by mail. In case such rights are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not waived by the extraordinary general meeting, each</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shareholder may individually either exercise, assign or not</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exercise its preferential subscription rights.</w:t>
            </w:r>
          </w:p>
        </w:tc>
      </w:tr>
      <w:tr>
        <w:trPr>
          <w:trHeight w:val="236"/>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Sources of</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dividends may only be paid by a French</w:t>
            </w:r>
          </w:p>
        </w:tc>
      </w:tr>
      <w:tr>
        <w:trPr>
          <w:trHeight w:val="170"/>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xml:space="preserve">société anonyme </w:t>
            </w:r>
            <w:r>
              <w:rPr>
                <w:rFonts w:ascii="Times New Roman" w:cs="Times New Roman" w:eastAsia="Times New Roman" w:hAnsi="Times New Roman"/>
                <w:sz w:val="14"/>
                <w:szCs w:val="14"/>
                <w:color w:val="auto"/>
              </w:rPr>
              <w:t>out of “distributable profits,” plus any</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reserves and “distributable premium” that the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decide to make available for distribution, other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than those reserves that are specifically required by-law.</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profits” consist of the unconsolidated net</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profits of the relevant corporation for each fiscal year, as</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increased or reduced by any profit or loss carried forward</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from prior years, minus the amounts to be set aside to the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statutory reserve (at least 5% of the profit until the reserve has</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reached 10% of the amount of the share capital) and to the</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reserve set forth in the company’s by-laws (if any).</w:t>
            </w:r>
          </w:p>
        </w:tc>
      </w:tr>
      <w:tr>
        <w:trPr>
          <w:trHeight w:val="343"/>
        </w:trPr>
        <w:tc>
          <w:tcPr>
            <w:tcW w:w="13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premium” refers to the contribution paid by the</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in</w:t>
            </w:r>
          </w:p>
        </w:tc>
      </w:tr>
      <w:tr>
        <w:trPr>
          <w:trHeight w:val="295"/>
        </w:trPr>
        <w:tc>
          <w:tcPr>
            <w:tcW w:w="1380" w:type="dxa"/>
            <w:vAlign w:val="bottom"/>
          </w:tcPr>
          <w:p>
            <w:pPr>
              <w:spacing w:after="0"/>
              <w:rPr>
                <w:sz w:val="24"/>
                <w:szCs w:val="24"/>
                <w:color w:val="auto"/>
              </w:rPr>
            </w:pPr>
          </w:p>
        </w:tc>
        <w:tc>
          <w:tcPr>
            <w:tcW w:w="352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26</w:t>
            </w: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23139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223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39"/>
        <w:spacing w:after="0" w:line="256" w:lineRule="auto"/>
        <w:rPr>
          <w:sz w:val="20"/>
          <w:szCs w:val="20"/>
          <w:color w:val="auto"/>
        </w:rPr>
      </w:pPr>
      <w:r>
        <w:rPr>
          <w:rFonts w:ascii="Times New Roman" w:cs="Times New Roman" w:eastAsia="Times New Roman" w:hAnsi="Times New Roman"/>
          <w:sz w:val="14"/>
          <w:szCs w:val="14"/>
          <w:color w:val="auto"/>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p>
      <w:pPr>
        <w:spacing w:after="0" w:line="61" w:lineRule="exact"/>
        <w:rPr>
          <w:sz w:val="20"/>
          <w:szCs w:val="20"/>
          <w:color w:val="auto"/>
        </w:rPr>
      </w:pPr>
    </w:p>
    <w:p>
      <w:pPr>
        <w:ind w:right="339"/>
        <w:spacing w:after="0" w:line="261" w:lineRule="auto"/>
        <w:rPr>
          <w:sz w:val="20"/>
          <w:szCs w:val="20"/>
          <w:color w:val="auto"/>
        </w:rPr>
      </w:pPr>
      <w:r>
        <w:rPr>
          <w:rFonts w:ascii="Times New Roman" w:cs="Times New Roman" w:eastAsia="Times New Roman" w:hAnsi="Times New Roman"/>
          <w:sz w:val="14"/>
          <w:szCs w:val="14"/>
          <w:color w:val="auto"/>
        </w:rPr>
        <w:t>Under Delaware law, unless otherwise provided in a corporation’s certificate of incorporation, a stockholder does not, by operation of law, possess preemptive rights to subscribe to additional issuances of the corporation’s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79"/>
        <w:spacing w:after="0" w:line="254" w:lineRule="auto"/>
        <w:rPr>
          <w:sz w:val="20"/>
          <w:szCs w:val="20"/>
          <w:color w:val="auto"/>
        </w:rPr>
      </w:pPr>
      <w:r>
        <w:rPr>
          <w:rFonts w:ascii="Times New Roman" w:cs="Times New Roman" w:eastAsia="Times New Roman" w:hAnsi="Times New Roman"/>
          <w:sz w:val="14"/>
          <w:szCs w:val="14"/>
          <w:color w:val="auto"/>
        </w:rPr>
        <w:t>Under Delaware law, dividends may be paid by a Delaware corporation either out of (i) surplus, as defined in and computed in accordance with Delaware law, or (ii) 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ectPr>
          <w:pgSz w:w="11900" w:h="16838" w:orient="portrait"/>
          <w:cols w:equalWidth="0" w:num="2">
            <w:col w:w="6260" w:space="160"/>
            <w:col w:w="373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1380" w:type="dxa"/>
            <w:vAlign w:val="bottom"/>
          </w:tcPr>
          <w:p>
            <w:pPr>
              <w:spacing w:after="0"/>
              <w:rPr>
                <w:sz w:val="12"/>
                <w:szCs w:val="12"/>
                <w:color w:val="auto"/>
              </w:rPr>
            </w:pPr>
          </w:p>
        </w:tc>
        <w:tc>
          <w:tcPr>
            <w:tcW w:w="35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144"/>
        </w:trPr>
        <w:tc>
          <w:tcPr>
            <w:tcW w:w="1380" w:type="dxa"/>
            <w:vAlign w:val="bottom"/>
          </w:tcPr>
          <w:p>
            <w:pPr>
              <w:spacing w:after="0"/>
              <w:rPr>
                <w:sz w:val="12"/>
                <w:szCs w:val="12"/>
                <w:color w:val="auto"/>
              </w:rPr>
            </w:pPr>
          </w:p>
        </w:tc>
        <w:tc>
          <w:tcPr>
            <w:tcW w:w="35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addition to the par value of their shares for their subscription</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that the shareholders decide to make available for distribution.</w:t>
            </w:r>
          </w:p>
        </w:tc>
      </w:tr>
      <w:tr>
        <w:trPr>
          <w:trHeight w:val="343"/>
        </w:trPr>
        <w:tc>
          <w:tcPr>
            <w:tcW w:w="13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Except in the case of a share capital reduction, no distribution</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can be made to the shareholders when the net equity is, or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would become, lower than the amount of the share capital</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plus the reserves which cannot be distributed in accordance</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with the law or the by-laws.</w:t>
            </w:r>
          </w:p>
        </w:tc>
      </w:tr>
      <w:tr>
        <w:trPr>
          <w:trHeight w:val="24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Under French law, a corporation may acquire its own shares.</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Such acquisition may be challenged on the ground of market</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abuse regulations. However, MAR provides for safe harbor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exemptions when the acquisition is made for the following</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purposes only:</w:t>
            </w:r>
          </w:p>
        </w:tc>
      </w:tr>
      <w:tr>
        <w:trPr>
          <w:trHeight w:val="248"/>
        </w:trPr>
        <w:tc>
          <w:tcPr>
            <w:tcW w:w="1380" w:type="dxa"/>
            <w:vAlign w:val="bottom"/>
          </w:tcPr>
          <w:p>
            <w:pPr>
              <w:spacing w:after="0"/>
              <w:rPr>
                <w:sz w:val="21"/>
                <w:szCs w:val="21"/>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to decrease its share capital, provided that such</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decision is not driven by losses and that a purchase</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offer is made to all shareholders on a pro rata basis,</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with the approval of the shareholders at the</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extraordinary general meeting deciding the capital</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reduction; or to meet obligations arising from debt</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securities, that are exchangeable into equity</w:t>
            </w:r>
          </w:p>
        </w:tc>
      </w:tr>
      <w:tr>
        <w:trPr>
          <w:trHeight w:val="183"/>
        </w:trPr>
        <w:tc>
          <w:tcPr>
            <w:tcW w:w="1380" w:type="dxa"/>
            <w:vAlign w:val="bottom"/>
          </w:tcPr>
          <w:p>
            <w:pPr>
              <w:spacing w:after="0"/>
              <w:rPr>
                <w:sz w:val="15"/>
                <w:szCs w:val="15"/>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instruments.</w:t>
            </w:r>
          </w:p>
        </w:tc>
      </w:tr>
      <w:tr>
        <w:trPr>
          <w:trHeight w:val="248"/>
        </w:trPr>
        <w:tc>
          <w:tcPr>
            <w:tcW w:w="1380" w:type="dxa"/>
            <w:vAlign w:val="bottom"/>
          </w:tcPr>
          <w:p>
            <w:pPr>
              <w:spacing w:after="0"/>
              <w:rPr>
                <w:sz w:val="21"/>
                <w:szCs w:val="21"/>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with a view to distributing within one year of their</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repurchase the relevant shares to employees or</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managers under a profit-sharing, free share or share</w:t>
            </w:r>
          </w:p>
        </w:tc>
      </w:tr>
      <w:tr>
        <w:trPr>
          <w:trHeight w:val="183"/>
        </w:trPr>
        <w:tc>
          <w:tcPr>
            <w:tcW w:w="1380" w:type="dxa"/>
            <w:vAlign w:val="bottom"/>
          </w:tcPr>
          <w:p>
            <w:pPr>
              <w:spacing w:after="0"/>
              <w:rPr>
                <w:sz w:val="15"/>
                <w:szCs w:val="15"/>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option plan; or</w:t>
            </w:r>
          </w:p>
        </w:tc>
      </w:tr>
      <w:tr>
        <w:trPr>
          <w:trHeight w:val="248"/>
        </w:trPr>
        <w:tc>
          <w:tcPr>
            <w:tcW w:w="1380" w:type="dxa"/>
            <w:vAlign w:val="bottom"/>
          </w:tcPr>
          <w:p>
            <w:pPr>
              <w:spacing w:after="0"/>
              <w:rPr>
                <w:sz w:val="21"/>
                <w:szCs w:val="21"/>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under a buy-back program to be authorized by the</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shareholders in accordance with the provisions of</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Article L. 22-10-62 of the French Commercial Code</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and in accordance with the general regulations of</w:t>
            </w:r>
          </w:p>
        </w:tc>
      </w:tr>
      <w:tr>
        <w:trPr>
          <w:trHeight w:val="183"/>
        </w:trPr>
        <w:tc>
          <w:tcPr>
            <w:tcW w:w="1380" w:type="dxa"/>
            <w:vAlign w:val="bottom"/>
          </w:tcPr>
          <w:p>
            <w:pPr>
              <w:spacing w:after="0"/>
              <w:rPr>
                <w:sz w:val="15"/>
                <w:szCs w:val="15"/>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AMF.</w:t>
            </w:r>
          </w:p>
        </w:tc>
      </w:tr>
      <w:tr>
        <w:trPr>
          <w:trHeight w:val="343"/>
        </w:trPr>
        <w:tc>
          <w:tcPr>
            <w:tcW w:w="13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All other purposes, and especially share buy-backs for</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external growth operations by virtue of Article L. 22-10-62 of</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French Commercial Code, while not forbidden, must be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pursued in strict compliance of market manipulations and</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insider dealing rules.</w:t>
            </w:r>
          </w:p>
        </w:tc>
      </w:tr>
      <w:tr>
        <w:trPr>
          <w:trHeight w:val="295"/>
        </w:trPr>
        <w:tc>
          <w:tcPr>
            <w:tcW w:w="1380" w:type="dxa"/>
            <w:vAlign w:val="bottom"/>
          </w:tcPr>
          <w:p>
            <w:pPr>
              <w:spacing w:after="0"/>
              <w:rPr>
                <w:sz w:val="24"/>
                <w:szCs w:val="24"/>
                <w:color w:val="auto"/>
              </w:rPr>
            </w:pPr>
          </w:p>
        </w:tc>
        <w:tc>
          <w:tcPr>
            <w:tcW w:w="352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27</w:t>
            </w: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23139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223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39"/>
        <w:spacing w:after="0" w:line="261" w:lineRule="auto"/>
        <w:rPr>
          <w:sz w:val="20"/>
          <w:szCs w:val="20"/>
          <w:color w:val="auto"/>
        </w:rPr>
      </w:pPr>
      <w:r>
        <w:rPr>
          <w:rFonts w:ascii="Times New Roman" w:cs="Times New Roman" w:eastAsia="Times New Roman" w:hAnsi="Times New Roman"/>
          <w:sz w:val="14"/>
          <w:szCs w:val="14"/>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2">
            <w:col w:w="6260" w:space="160"/>
            <w:col w:w="373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4260"/>
        <w:spacing w:after="0"/>
        <w:tabs>
          <w:tab w:leader="none" w:pos="7840" w:val="left"/>
        </w:tabs>
        <w:rPr>
          <w:sz w:val="20"/>
          <w:szCs w:val="20"/>
          <w:color w:val="auto"/>
        </w:rPr>
      </w:pPr>
      <w:r>
        <w:rPr>
          <w:rFonts w:ascii="Times New Roman" w:cs="Times New Roman" w:eastAsia="Times New Roman" w:hAnsi="Times New Roman"/>
          <w:sz w:val="11"/>
          <w:szCs w:val="11"/>
          <w:b w:val="1"/>
          <w:bCs w:val="1"/>
          <w:color w:val="auto"/>
        </w:rPr>
        <w:t>FRANCE</w:t>
      </w:r>
      <w:r>
        <w:rPr>
          <w:sz w:val="20"/>
          <w:szCs w:val="20"/>
          <w:color w:val="auto"/>
        </w:rPr>
        <w:tab/>
      </w: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12065</wp:posOffset>
            </wp:positionV>
            <wp:extent cx="45700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4570095"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No such repurchase of shares may result in the company</w:t>
      </w:r>
    </w:p>
    <w:p>
      <w:pPr>
        <w:spacing w:after="0" w:line="2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holding, directly or through a person acting on its behalf,</w:t>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more than 10% of its issued share capital.</w:t>
      </w:r>
    </w:p>
    <w:p>
      <w:pPr>
        <w:spacing w:after="0" w:line="182" w:lineRule="exact"/>
        <w:rPr>
          <w:sz w:val="20"/>
          <w:szCs w:val="20"/>
          <w:color w:val="auto"/>
        </w:rPr>
      </w:pPr>
    </w:p>
    <w:p>
      <w:pPr>
        <w:ind w:left="2740"/>
        <w:spacing w:after="0" w:line="256" w:lineRule="auto"/>
        <w:rPr>
          <w:sz w:val="20"/>
          <w:szCs w:val="20"/>
          <w:color w:val="auto"/>
        </w:rPr>
      </w:pPr>
      <w:r>
        <w:rPr>
          <w:rFonts w:ascii="Times New Roman" w:cs="Times New Roman" w:eastAsia="Times New Roman" w:hAnsi="Times New Roman"/>
          <w:sz w:val="14"/>
          <w:szCs w:val="14"/>
          <w:color w:val="auto"/>
        </w:rPr>
        <w:t>Under MAR and in accordance with the General Regulations, a corporation shall report to the competent authority of the trading venue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71"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Liability of</w:t>
      </w:r>
      <w:r>
        <w:rPr>
          <w:sz w:val="20"/>
          <w:szCs w:val="20"/>
          <w:color w:val="auto"/>
        </w:rPr>
        <w:tab/>
      </w:r>
      <w:r>
        <w:rPr>
          <w:rFonts w:ascii="Times New Roman" w:cs="Times New Roman" w:eastAsia="Times New Roman" w:hAnsi="Times New Roman"/>
          <w:sz w:val="13"/>
          <w:szCs w:val="13"/>
          <w:color w:val="auto"/>
        </w:rPr>
        <w:t>Under French law, the by-laws may not include any</w:t>
      </w:r>
    </w:p>
    <w:p>
      <w:pPr>
        <w:spacing w:after="0" w:line="22"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Directors and</w:t>
      </w:r>
      <w:r>
        <w:rPr>
          <w:sz w:val="20"/>
          <w:szCs w:val="20"/>
          <w:color w:val="auto"/>
        </w:rPr>
        <w:tab/>
      </w:r>
      <w:r>
        <w:rPr>
          <w:rFonts w:ascii="Times New Roman" w:cs="Times New Roman" w:eastAsia="Times New Roman" w:hAnsi="Times New Roman"/>
          <w:sz w:val="14"/>
          <w:szCs w:val="14"/>
          <w:color w:val="auto"/>
        </w:rPr>
        <w:t>provisions limiting the liability of directors.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Voting Rights</w:t>
      </w:r>
      <w:r>
        <w:rPr>
          <w:sz w:val="20"/>
          <w:szCs w:val="20"/>
          <w:color w:val="auto"/>
        </w:rPr>
        <w:tab/>
      </w:r>
      <w:r>
        <w:rPr>
          <w:rFonts w:ascii="Times New Roman" w:cs="Times New Roman" w:eastAsia="Times New Roman" w:hAnsi="Times New Roman"/>
          <w:sz w:val="14"/>
          <w:szCs w:val="14"/>
          <w:color w:val="auto"/>
        </w:rPr>
        <w:t>French law provides that, unless otherwise provided in the</w:t>
      </w:r>
    </w:p>
    <w:p>
      <w:pPr>
        <w:spacing w:after="0" w:line="22" w:lineRule="exact"/>
        <w:rPr>
          <w:sz w:val="20"/>
          <w:szCs w:val="20"/>
          <w:color w:val="auto"/>
        </w:rPr>
      </w:pPr>
    </w:p>
    <w:p>
      <w:pPr>
        <w:ind w:left="2740" w:right="200"/>
        <w:spacing w:after="0" w:line="254" w:lineRule="auto"/>
        <w:rPr>
          <w:sz w:val="20"/>
          <w:szCs w:val="20"/>
          <w:color w:val="auto"/>
        </w:rPr>
      </w:pPr>
      <w:r>
        <w:rPr>
          <w:rFonts w:ascii="Times New Roman" w:cs="Times New Roman" w:eastAsia="Times New Roman" w:hAnsi="Times New Roman"/>
          <w:sz w:val="14"/>
          <w:szCs w:val="14"/>
          <w:color w:val="auto"/>
        </w:rPr>
        <w:t>by-laws, each shareholder is entitled to one vote for each share of share capital held by such shareholder. Further, pursuant to the introduction of Law No. 2014-384 dated March 29, 2014 (</w:t>
      </w:r>
      <w:r>
        <w:rPr>
          <w:rFonts w:ascii="Times New Roman" w:cs="Times New Roman" w:eastAsia="Times New Roman" w:hAnsi="Times New Roman"/>
          <w:sz w:val="14"/>
          <w:szCs w:val="14"/>
          <w:i w:val="1"/>
          <w:iCs w:val="1"/>
          <w:color w:val="auto"/>
        </w:rPr>
        <w:t>Loi Florange</w:t>
      </w:r>
      <w:r>
        <w:rPr>
          <w:rFonts w:ascii="Times New Roman" w:cs="Times New Roman" w:eastAsia="Times New Roman" w:hAnsi="Times New Roman"/>
          <w:sz w:val="14"/>
          <w:szCs w:val="14"/>
          <w:color w:val="auto"/>
        </w:rPr>
        <w:t>), shares registered for more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79"/>
        <w:spacing w:after="0" w:line="257" w:lineRule="auto"/>
        <w:rPr>
          <w:sz w:val="20"/>
          <w:szCs w:val="20"/>
          <w:color w:val="auto"/>
        </w:rPr>
      </w:pPr>
      <w:r>
        <w:rPr>
          <w:rFonts w:ascii="Times New Roman" w:cs="Times New Roman" w:eastAsia="Times New Roman" w:hAnsi="Times New Roman"/>
          <w:sz w:val="14"/>
          <w:szCs w:val="14"/>
          <w:color w:val="auto"/>
        </w:rPr>
        <w:t>Under Delaware law, a corporation’s certificate of incorporation may include a provision eliminating or limiting the personal liability of a director or officer to the corporation and its stockholders for damages arising from a breach of fiduciary duty as a director or officer. However, no provision can limit the liability of a director or officer for:</w:t>
      </w:r>
    </w:p>
    <w:p>
      <w:pPr>
        <w:spacing w:after="0" w:line="70" w:lineRule="exact"/>
        <w:rPr>
          <w:sz w:val="20"/>
          <w:szCs w:val="20"/>
          <w:color w:val="auto"/>
        </w:rPr>
      </w:pPr>
    </w:p>
    <w:p>
      <w:pPr>
        <w:ind w:left="560" w:right="419" w:hanging="207"/>
        <w:spacing w:after="0" w:line="283" w:lineRule="auto"/>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the corporation or its stockholders;</w:t>
      </w:r>
    </w:p>
    <w:p>
      <w:pPr>
        <w:spacing w:after="0" w:line="51" w:lineRule="exact"/>
        <w:rPr>
          <w:rFonts w:ascii="Times New Roman" w:cs="Times New Roman" w:eastAsia="Times New Roman" w:hAnsi="Times New Roman"/>
          <w:sz w:val="14"/>
          <w:szCs w:val="14"/>
          <w:color w:val="auto"/>
        </w:rPr>
      </w:pPr>
    </w:p>
    <w:p>
      <w:pPr>
        <w:jc w:val="both"/>
        <w:ind w:left="560" w:right="399" w:hanging="207"/>
        <w:spacing w:after="0" w:line="267" w:lineRule="auto"/>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62" w:lineRule="exact"/>
        <w:rPr>
          <w:rFonts w:ascii="Times New Roman" w:cs="Times New Roman" w:eastAsia="Times New Roman" w:hAnsi="Times New Roman"/>
          <w:sz w:val="14"/>
          <w:szCs w:val="14"/>
          <w:color w:val="auto"/>
        </w:rPr>
      </w:pPr>
    </w:p>
    <w:p>
      <w:pPr>
        <w:jc w:val="both"/>
        <w:ind w:left="560" w:right="639" w:hanging="207"/>
        <w:spacing w:after="0" w:line="283" w:lineRule="auto"/>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 or negligent payment of unlawful dividends or stock purchases or redemptions;</w:t>
      </w:r>
    </w:p>
    <w:p>
      <w:pPr>
        <w:spacing w:after="0" w:line="51" w:lineRule="exact"/>
        <w:rPr>
          <w:rFonts w:ascii="Times New Roman" w:cs="Times New Roman" w:eastAsia="Times New Roman" w:hAnsi="Times New Roman"/>
          <w:sz w:val="14"/>
          <w:szCs w:val="14"/>
          <w:color w:val="auto"/>
        </w:rPr>
      </w:pPr>
    </w:p>
    <w:p>
      <w:pPr>
        <w:ind w:left="560" w:right="259" w:hanging="207"/>
        <w:spacing w:after="0" w:line="267" w:lineRule="auto"/>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approving and transaction from which the director or officer derives an improper personal benefit; or</w:t>
      </w:r>
    </w:p>
    <w:p>
      <w:pPr>
        <w:spacing w:after="0" w:line="62" w:lineRule="exact"/>
        <w:rPr>
          <w:rFonts w:ascii="Times New Roman" w:cs="Times New Roman" w:eastAsia="Times New Roman" w:hAnsi="Times New Roman"/>
          <w:sz w:val="14"/>
          <w:szCs w:val="14"/>
          <w:color w:val="auto"/>
        </w:rPr>
      </w:pPr>
    </w:p>
    <w:p>
      <w:pPr>
        <w:ind w:left="560" w:right="539" w:hanging="207"/>
        <w:spacing w:after="0" w:line="283" w:lineRule="auto"/>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the right of the corporation.</w:t>
      </w:r>
    </w:p>
    <w:p>
      <w:pPr>
        <w:spacing w:after="0" w:line="41" w:lineRule="exact"/>
        <w:rPr>
          <w:sz w:val="20"/>
          <w:szCs w:val="20"/>
          <w:color w:val="auto"/>
        </w:rPr>
      </w:pPr>
    </w:p>
    <w:p>
      <w:pPr>
        <w:ind w:right="259"/>
        <w:spacing w:after="0" w:line="297" w:lineRule="auto"/>
        <w:rPr>
          <w:sz w:val="20"/>
          <w:szCs w:val="20"/>
          <w:color w:val="auto"/>
        </w:rPr>
      </w:pPr>
      <w:r>
        <w:rPr>
          <w:rFonts w:ascii="Times New Roman" w:cs="Times New Roman" w:eastAsia="Times New Roman" w:hAnsi="Times New Roman"/>
          <w:sz w:val="13"/>
          <w:szCs w:val="13"/>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240" w:space="180"/>
            <w:col w:w="3739"/>
          </w:cols>
          <w:pgMar w:left="300" w:top="386" w:right="1440"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1380" w:type="dxa"/>
            <w:vAlign w:val="bottom"/>
          </w:tcPr>
          <w:p>
            <w:pPr>
              <w:spacing w:after="0"/>
              <w:rPr>
                <w:sz w:val="12"/>
                <w:szCs w:val="12"/>
                <w:color w:val="auto"/>
              </w:rPr>
            </w:pPr>
          </w:p>
        </w:tc>
        <w:tc>
          <w:tcPr>
            <w:tcW w:w="35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1"/>
                <w:szCs w:val="11"/>
                <w:b w:val="1"/>
                <w:bCs w:val="1"/>
                <w:color w:val="auto"/>
              </w:rPr>
              <w:t>FRANCE</w:t>
            </w:r>
          </w:p>
        </w:tc>
      </w:tr>
      <w:tr>
        <w:trPr>
          <w:trHeight w:val="144"/>
        </w:trPr>
        <w:tc>
          <w:tcPr>
            <w:tcW w:w="1380" w:type="dxa"/>
            <w:vAlign w:val="bottom"/>
          </w:tcPr>
          <w:p>
            <w:pPr>
              <w:spacing w:after="0"/>
              <w:rPr>
                <w:sz w:val="12"/>
                <w:szCs w:val="12"/>
                <w:color w:val="auto"/>
              </w:rPr>
            </w:pPr>
          </w:p>
        </w:tc>
        <w:tc>
          <w:tcPr>
            <w:tcW w:w="35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than two years in the name of the same shareholder are</w:t>
            </w:r>
          </w:p>
        </w:tc>
      </w:tr>
      <w:tr>
        <w:trPr>
          <w:trHeight w:val="168"/>
        </w:trPr>
        <w:tc>
          <w:tcPr>
            <w:tcW w:w="138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automatically be granted double voting rights from 2016,</w:t>
            </w:r>
          </w:p>
        </w:tc>
      </w:tr>
      <w:tr>
        <w:trPr>
          <w:trHeight w:val="183"/>
        </w:trPr>
        <w:tc>
          <w:tcPr>
            <w:tcW w:w="138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unless the by-laws expressly reject this measure.</w:t>
            </w: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Shareholder</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Generally, under French law, completion of a merger,</w:t>
            </w:r>
          </w:p>
        </w:tc>
      </w:tr>
      <w:tr>
        <w:trPr>
          <w:trHeight w:val="166"/>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Vote on Certain</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dissolution or sale or exchange of all or substantially all of a</w:t>
            </w:r>
          </w:p>
        </w:tc>
      </w:tr>
      <w:tr>
        <w:trPr>
          <w:trHeight w:val="185"/>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corporation’s assets (</w:t>
            </w:r>
            <w:r>
              <w:rPr>
                <w:rFonts w:ascii="Times New Roman" w:cs="Times New Roman" w:eastAsia="Times New Roman" w:hAnsi="Times New Roman"/>
                <w:sz w:val="14"/>
                <w:szCs w:val="14"/>
                <w:i w:val="1"/>
                <w:iCs w:val="1"/>
                <w:color w:val="auto"/>
              </w:rPr>
              <w:t>apport partiel d’actifs</w:t>
            </w:r>
            <w:r>
              <w:rPr>
                <w:rFonts w:ascii="Times New Roman" w:cs="Times New Roman" w:eastAsia="Times New Roman" w:hAnsi="Times New Roman"/>
                <w:sz w:val="14"/>
                <w:szCs w:val="14"/>
                <w:color w:val="auto"/>
              </w:rPr>
              <w:t>) requires:</w:t>
            </w:r>
          </w:p>
        </w:tc>
      </w:tr>
      <w:tr>
        <w:trPr>
          <w:trHeight w:val="263"/>
        </w:trPr>
        <w:tc>
          <w:tcPr>
            <w:tcW w:w="1380" w:type="dxa"/>
            <w:vAlign w:val="bottom"/>
          </w:tcPr>
          <w:p>
            <w:pPr>
              <w:spacing w:after="0"/>
              <w:rPr>
                <w:sz w:val="22"/>
                <w:szCs w:val="22"/>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the approval of the board of directors; and</w:t>
            </w:r>
          </w:p>
        </w:tc>
      </w:tr>
      <w:tr>
        <w:trPr>
          <w:trHeight w:val="248"/>
        </w:trPr>
        <w:tc>
          <w:tcPr>
            <w:tcW w:w="1380" w:type="dxa"/>
            <w:vAlign w:val="bottom"/>
          </w:tcPr>
          <w:p>
            <w:pPr>
              <w:spacing w:after="0"/>
              <w:rPr>
                <w:sz w:val="21"/>
                <w:szCs w:val="21"/>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approval by a two-thirds majority of the votes held</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by the shareholders present, represented by proxy or</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99"/>
              </w:rPr>
              <w:t>voting by mail at the relevant meeting or, in the case</w:t>
            </w:r>
          </w:p>
        </w:tc>
      </w:tr>
      <w:tr>
        <w:trPr>
          <w:trHeight w:val="168"/>
        </w:trPr>
        <w:tc>
          <w:tcPr>
            <w:tcW w:w="138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of a merger with a non-EU company, approval of all</w:t>
            </w:r>
          </w:p>
        </w:tc>
      </w:tr>
      <w:tr>
        <w:trPr>
          <w:trHeight w:val="183"/>
        </w:trPr>
        <w:tc>
          <w:tcPr>
            <w:tcW w:w="1380" w:type="dxa"/>
            <w:vAlign w:val="bottom"/>
          </w:tcPr>
          <w:p>
            <w:pPr>
              <w:spacing w:after="0"/>
              <w:rPr>
                <w:sz w:val="15"/>
                <w:szCs w:val="15"/>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shareholders of the corporation.</w:t>
            </w:r>
          </w:p>
        </w:tc>
      </w:tr>
      <w:tr>
        <w:trPr>
          <w:trHeight w:val="74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Dissent or</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French law does not provide for any such right but provides</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Dissenters</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that a merger is subject to shareholders’ approval by a</w:t>
            </w:r>
          </w:p>
        </w:tc>
      </w:t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Appraisal</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two-thirds majority vote, as stated above.</w:t>
            </w:r>
          </w:p>
        </w:tc>
      </w:tr>
      <w:tr>
        <w:trPr>
          <w:trHeight w:val="18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Rights</w:t>
            </w:r>
          </w:p>
        </w:tc>
        <w:tc>
          <w:tcPr>
            <w:tcW w:w="35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2313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2231390" cy="698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279"/>
        <w:spacing w:after="0" w:line="259" w:lineRule="auto"/>
        <w:rPr>
          <w:sz w:val="20"/>
          <w:szCs w:val="20"/>
          <w:color w:val="auto"/>
        </w:rPr>
      </w:pPr>
      <w:r>
        <w:rPr>
          <w:rFonts w:ascii="Times New Roman" w:cs="Times New Roman" w:eastAsia="Times New Roman" w:hAnsi="Times New Roman"/>
          <w:sz w:val="14"/>
          <w:szCs w:val="14"/>
          <w:color w:val="auto"/>
        </w:rPr>
        <w:t>Generally, under Delaware law, unless the certificate of incorporation provides for the vote of a larger portion of shares, completion of a merger, consolidation, sale, lease or exchange of all or substantially all of a corporation’s assets or dissolution requires:</w:t>
      </w:r>
    </w:p>
    <w:p>
      <w:pPr>
        <w:spacing w:after="0" w:line="68" w:lineRule="exact"/>
        <w:rPr>
          <w:sz w:val="20"/>
          <w:szCs w:val="20"/>
          <w:color w:val="auto"/>
        </w:rPr>
      </w:pPr>
    </w:p>
    <w:p>
      <w:pPr>
        <w:ind w:left="560" w:hanging="207"/>
        <w:spacing w:after="0"/>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the board of directors; and</w:t>
      </w:r>
    </w:p>
    <w:p>
      <w:pPr>
        <w:spacing w:after="0" w:line="102" w:lineRule="exact"/>
        <w:rPr>
          <w:rFonts w:ascii="Times New Roman" w:cs="Times New Roman" w:eastAsia="Times New Roman" w:hAnsi="Times New Roman"/>
          <w:sz w:val="14"/>
          <w:szCs w:val="14"/>
          <w:color w:val="auto"/>
        </w:rPr>
      </w:pPr>
    </w:p>
    <w:p>
      <w:pPr>
        <w:ind w:left="560" w:right="299" w:hanging="207"/>
        <w:spacing w:after="0" w:line="257" w:lineRule="auto"/>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60" w:lineRule="exact"/>
        <w:rPr>
          <w:sz w:val="20"/>
          <w:szCs w:val="20"/>
          <w:color w:val="auto"/>
        </w:rPr>
      </w:pPr>
    </w:p>
    <w:p>
      <w:pPr>
        <w:ind w:right="219"/>
        <w:spacing w:after="0" w:line="253" w:lineRule="auto"/>
        <w:rPr>
          <w:sz w:val="20"/>
          <w:szCs w:val="20"/>
          <w:color w:val="auto"/>
        </w:rPr>
      </w:pPr>
      <w:r>
        <w:rPr>
          <w:rFonts w:ascii="Times New Roman" w:cs="Times New Roman" w:eastAsia="Times New Roman" w:hAnsi="Times New Roman"/>
          <w:sz w:val="14"/>
          <w:szCs w:val="14"/>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 assets for shares.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76" w:lineRule="exact"/>
        <w:rPr>
          <w:sz w:val="20"/>
          <w:szCs w:val="20"/>
          <w:color w:val="auto"/>
        </w:rPr>
      </w:pPr>
    </w:p>
    <w:p>
      <w:pPr>
        <w:ind w:left="560" w:hanging="207"/>
        <w:spacing w:after="0"/>
        <w:tabs>
          <w:tab w:leader="none" w:pos="5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stock of the surviving corporation;</w:t>
      </w:r>
    </w:p>
    <w:p>
      <w:pPr>
        <w:spacing w:after="0" w:line="102" w:lineRule="exact"/>
        <w:rPr>
          <w:rFonts w:ascii="Times New Roman" w:cs="Times New Roman" w:eastAsia="Times New Roman" w:hAnsi="Times New Roman"/>
          <w:sz w:val="14"/>
          <w:szCs w:val="14"/>
          <w:color w:val="auto"/>
        </w:rPr>
      </w:pPr>
    </w:p>
    <w:p>
      <w:pPr>
        <w:jc w:val="both"/>
        <w:ind w:left="560" w:right="339" w:hanging="207"/>
        <w:spacing w:after="0" w:line="267" w:lineRule="auto"/>
        <w:tabs>
          <w:tab w:leader="none" w:pos="5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another corporation that are either listed on a national securities exchange or held of record by more than 2,000 stockholders;</w:t>
      </w:r>
    </w:p>
    <w:p>
      <w:pPr>
        <w:spacing w:after="0" w:line="62" w:lineRule="exact"/>
        <w:rPr>
          <w:rFonts w:ascii="Times New Roman" w:cs="Times New Roman" w:eastAsia="Times New Roman" w:hAnsi="Times New Roman"/>
          <w:sz w:val="14"/>
          <w:szCs w:val="14"/>
          <w:color w:val="auto"/>
        </w:rPr>
      </w:pPr>
    </w:p>
    <w:p>
      <w:pPr>
        <w:ind w:left="560" w:right="539" w:hanging="207"/>
        <w:spacing w:after="0" w:line="324" w:lineRule="auto"/>
        <w:tabs>
          <w:tab w:leader="none" w:pos="5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in lieu of fractional shares of the stock described in the two preceding bullet points; or</w:t>
      </w:r>
    </w:p>
    <w:p>
      <w:pPr>
        <w:spacing w:after="0" w:line="27" w:lineRule="exact"/>
        <w:rPr>
          <w:rFonts w:ascii="Times New Roman" w:cs="Times New Roman" w:eastAsia="Times New Roman" w:hAnsi="Times New Roman"/>
          <w:sz w:val="13"/>
          <w:szCs w:val="13"/>
          <w:color w:val="auto"/>
        </w:rPr>
      </w:pPr>
    </w:p>
    <w:p>
      <w:pPr>
        <w:ind w:left="560" w:hanging="207"/>
        <w:spacing w:after="0"/>
        <w:tabs>
          <w:tab w:leader="none" w:pos="5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above.</w:t>
      </w:r>
    </w:p>
    <w:p>
      <w:pPr>
        <w:sectPr>
          <w:pgSz w:w="11900" w:h="16838" w:orient="portrait"/>
          <w:cols w:equalWidth="0" w:num="2">
            <w:col w:w="6260" w:space="160"/>
            <w:col w:w="373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p>
      <w:pPr>
        <w:jc w:val="both"/>
        <w:ind w:left="4260"/>
        <w:spacing w:after="0"/>
        <w:tabs>
          <w:tab w:leader="none" w:pos="7840" w:val="left"/>
        </w:tabs>
        <w:rPr>
          <w:sz w:val="20"/>
          <w:szCs w:val="20"/>
          <w:color w:val="auto"/>
        </w:rPr>
      </w:pPr>
      <w:r>
        <w:rPr>
          <w:rFonts w:ascii="Times New Roman" w:cs="Times New Roman" w:eastAsia="Times New Roman" w:hAnsi="Times New Roman"/>
          <w:sz w:val="11"/>
          <w:szCs w:val="11"/>
          <w:b w:val="1"/>
          <w:bCs w:val="1"/>
          <w:color w:val="auto"/>
        </w:rPr>
        <w:t>FRANCE</w:t>
      </w:r>
      <w:r>
        <w:rPr>
          <w:sz w:val="20"/>
          <w:szCs w:val="20"/>
          <w:color w:val="auto"/>
        </w:rPr>
        <w:tab/>
      </w: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12065</wp:posOffset>
            </wp:positionV>
            <wp:extent cx="45700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4570095"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Standard of</w:t>
      </w:r>
      <w:r>
        <w:rPr>
          <w:sz w:val="20"/>
          <w:szCs w:val="20"/>
          <w:color w:val="auto"/>
        </w:rPr>
        <w:tab/>
      </w:r>
      <w:r>
        <w:rPr>
          <w:rFonts w:ascii="Times New Roman" w:cs="Times New Roman" w:eastAsia="Times New Roman" w:hAnsi="Times New Roman"/>
          <w:sz w:val="13"/>
          <w:szCs w:val="13"/>
          <w:color w:val="auto"/>
        </w:rPr>
        <w:t>French law does not contain specific provisions setting forth</w:t>
      </w:r>
    </w:p>
    <w:p>
      <w:pPr>
        <w:spacing w:after="0" w:line="22"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Conduct for</w:t>
      </w:r>
      <w:r>
        <w:rPr>
          <w:sz w:val="20"/>
          <w:szCs w:val="20"/>
          <w:color w:val="auto"/>
        </w:rPr>
        <w:tab/>
      </w:r>
      <w:r>
        <w:rPr>
          <w:rFonts w:ascii="Times New Roman" w:cs="Times New Roman" w:eastAsia="Times New Roman" w:hAnsi="Times New Roman"/>
          <w:sz w:val="13"/>
          <w:szCs w:val="13"/>
          <w:color w:val="auto"/>
        </w:rPr>
        <w:t>the standard of conduct of a director. However, directors have</w:t>
      </w:r>
    </w:p>
    <w:p>
      <w:pPr>
        <w:spacing w:after="0" w:line="7"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Directors</w:t>
      </w:r>
      <w:r>
        <w:rPr>
          <w:sz w:val="20"/>
          <w:szCs w:val="20"/>
          <w:color w:val="auto"/>
        </w:rPr>
        <w:tab/>
      </w:r>
      <w:r>
        <w:rPr>
          <w:rFonts w:ascii="Times New Roman" w:cs="Times New Roman" w:eastAsia="Times New Roman" w:hAnsi="Times New Roman"/>
          <w:sz w:val="14"/>
          <w:szCs w:val="14"/>
          <w:color w:val="auto"/>
        </w:rPr>
        <w:t>a duty to act without self-interest, on a well-informed basis,</w:t>
      </w:r>
    </w:p>
    <w:p>
      <w:pPr>
        <w:spacing w:after="0" w:line="7" w:lineRule="exact"/>
        <w:rPr>
          <w:sz w:val="20"/>
          <w:szCs w:val="20"/>
          <w:color w:val="auto"/>
        </w:rPr>
      </w:pPr>
    </w:p>
    <w:p>
      <w:pPr>
        <w:ind w:left="2740" w:right="60"/>
        <w:spacing w:after="0" w:line="261" w:lineRule="auto"/>
        <w:rPr>
          <w:sz w:val="20"/>
          <w:szCs w:val="20"/>
          <w:color w:val="auto"/>
        </w:rPr>
      </w:pPr>
      <w:r>
        <w:rPr>
          <w:rFonts w:ascii="Times New Roman" w:cs="Times New Roman" w:eastAsia="Times New Roman" w:hAnsi="Times New Roman"/>
          <w:sz w:val="14"/>
          <w:szCs w:val="14"/>
          <w:color w:val="auto"/>
        </w:rPr>
        <w:t>and not to take any decision against a corporation’s corporate interest (</w:t>
      </w:r>
      <w:r>
        <w:rPr>
          <w:rFonts w:ascii="Times New Roman" w:cs="Times New Roman" w:eastAsia="Times New Roman" w:hAnsi="Times New Roman"/>
          <w:sz w:val="14"/>
          <w:szCs w:val="14"/>
          <w:i w:val="1"/>
          <w:iCs w:val="1"/>
          <w:color w:val="auto"/>
        </w:rPr>
        <w:t>intérêt social</w:t>
      </w:r>
      <w:r>
        <w:rPr>
          <w:rFonts w:ascii="Times New Roman" w:cs="Times New Roman" w:eastAsia="Times New Roman" w:hAnsi="Times New Roman"/>
          <w:sz w:val="14"/>
          <w:szCs w:val="14"/>
          <w:color w:val="auto"/>
        </w:rPr>
        <w:t>).</w:t>
      </w:r>
    </w:p>
    <w:p>
      <w:pPr>
        <w:spacing w:after="0" w:line="393"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Shareholder</w:t>
      </w:r>
      <w:r>
        <w:rPr>
          <w:sz w:val="20"/>
          <w:szCs w:val="20"/>
          <w:color w:val="auto"/>
        </w:rPr>
        <w:tab/>
      </w:r>
      <w:r>
        <w:rPr>
          <w:rFonts w:ascii="Times New Roman" w:cs="Times New Roman" w:eastAsia="Times New Roman" w:hAnsi="Times New Roman"/>
          <w:sz w:val="14"/>
          <w:szCs w:val="14"/>
          <w:color w:val="auto"/>
        </w:rPr>
        <w:t>French law provides that a shareholder, or a group of</w:t>
      </w:r>
    </w:p>
    <w:p>
      <w:pPr>
        <w:spacing w:after="0" w:line="22"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Suits</w:t>
      </w:r>
      <w:r>
        <w:rPr>
          <w:sz w:val="20"/>
          <w:szCs w:val="20"/>
          <w:color w:val="auto"/>
        </w:rPr>
        <w:tab/>
      </w:r>
      <w:r>
        <w:rPr>
          <w:rFonts w:ascii="Times New Roman" w:cs="Times New Roman" w:eastAsia="Times New Roman" w:hAnsi="Times New Roman"/>
          <w:sz w:val="14"/>
          <w:szCs w:val="14"/>
          <w:color w:val="auto"/>
        </w:rPr>
        <w:t>shareholders, may initiate a legal action to seek</w:t>
      </w:r>
    </w:p>
    <w:p>
      <w:pPr>
        <w:spacing w:after="0" w:line="7" w:lineRule="exact"/>
        <w:rPr>
          <w:sz w:val="20"/>
          <w:szCs w:val="20"/>
          <w:color w:val="auto"/>
        </w:rPr>
      </w:pPr>
    </w:p>
    <w:p>
      <w:pPr>
        <w:ind w:left="2740"/>
        <w:spacing w:after="0" w:line="253" w:lineRule="auto"/>
        <w:rPr>
          <w:sz w:val="20"/>
          <w:szCs w:val="20"/>
          <w:color w:val="auto"/>
        </w:rPr>
      </w:pPr>
      <w:r>
        <w:rPr>
          <w:rFonts w:ascii="Times New Roman" w:cs="Times New Roman" w:eastAsia="Times New Roman" w:hAnsi="Times New Roman"/>
          <w:sz w:val="14"/>
          <w:szCs w:val="14"/>
          <w:color w:val="auto"/>
        </w:rPr>
        <w:t>indemnification from the directors of a corporation in the corporation’s interest if it fails to bring such legal action itself. If so, any damages awarded by the court are paid to the corporation and any legal fees relating to such action are borne by the relevant shareholder or the group of shareholders.</w:t>
      </w:r>
    </w:p>
    <w:p>
      <w:pPr>
        <w:spacing w:after="0" w:line="167" w:lineRule="exact"/>
        <w:rPr>
          <w:sz w:val="20"/>
          <w:szCs w:val="20"/>
          <w:color w:val="auto"/>
        </w:rPr>
      </w:pPr>
    </w:p>
    <w:p>
      <w:pPr>
        <w:ind w:left="2740" w:right="100"/>
        <w:spacing w:after="0" w:line="283" w:lineRule="auto"/>
        <w:rPr>
          <w:sz w:val="20"/>
          <w:szCs w:val="20"/>
          <w:color w:val="auto"/>
        </w:rPr>
      </w:pPr>
      <w:r>
        <w:rPr>
          <w:rFonts w:ascii="Times New Roman" w:cs="Times New Roman" w:eastAsia="Times New Roman" w:hAnsi="Times New Roman"/>
          <w:sz w:val="14"/>
          <w:szCs w:val="14"/>
          <w:color w:val="auto"/>
        </w:rPr>
        <w:t>The plaintiff must remain a shareholder through the duration of the legal action.</w:t>
      </w:r>
    </w:p>
    <w:p>
      <w:pPr>
        <w:spacing w:after="0" w:line="14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There is no other case where shareholders may initiate a</w:t>
      </w:r>
    </w:p>
    <w:p>
      <w:pPr>
        <w:spacing w:after="0" w:line="2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derivative action to enforce a right of a corporation.</w:t>
      </w:r>
    </w:p>
    <w:p>
      <w:pPr>
        <w:spacing w:after="0" w:line="182" w:lineRule="exact"/>
        <w:rPr>
          <w:sz w:val="20"/>
          <w:szCs w:val="20"/>
          <w:color w:val="auto"/>
        </w:rPr>
      </w:pPr>
    </w:p>
    <w:p>
      <w:pPr>
        <w:ind w:left="2740" w:right="120"/>
        <w:spacing w:after="0" w:line="259" w:lineRule="auto"/>
        <w:rPr>
          <w:sz w:val="20"/>
          <w:szCs w:val="20"/>
          <w:color w:val="auto"/>
        </w:rPr>
      </w:pPr>
      <w:r>
        <w:rPr>
          <w:rFonts w:ascii="Times New Roman" w:cs="Times New Roman" w:eastAsia="Times New Roman" w:hAnsi="Times New Roman"/>
          <w:sz w:val="14"/>
          <w:szCs w:val="14"/>
          <w:color w:val="auto"/>
        </w:rPr>
        <w:t>A shareholder may alternatively or cumulatively bring individual legal action against the directors, provided he has suffered distinct damages from those suffered by the corporation. In this case, any damages awarded by the court are paid to the relevant shareholder.</w:t>
      </w:r>
    </w:p>
    <w:p>
      <w:pPr>
        <w:spacing w:after="0" w:line="68"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Amendment of</w:t>
      </w:r>
      <w:r>
        <w:rPr>
          <w:sz w:val="20"/>
          <w:szCs w:val="20"/>
          <w:color w:val="auto"/>
        </w:rPr>
        <w:tab/>
      </w:r>
      <w:r>
        <w:rPr>
          <w:rFonts w:ascii="Times New Roman" w:cs="Times New Roman" w:eastAsia="Times New Roman" w:hAnsi="Times New Roman"/>
          <w:sz w:val="13"/>
          <w:szCs w:val="13"/>
          <w:color w:val="auto"/>
        </w:rPr>
        <w:t>Unlike companies incorporated under Delaware law, the</w:t>
      </w:r>
    </w:p>
    <w:p>
      <w:pPr>
        <w:spacing w:after="0" w:line="22"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Certificate of</w:t>
      </w:r>
      <w:r>
        <w:rPr>
          <w:sz w:val="20"/>
          <w:szCs w:val="20"/>
          <w:color w:val="auto"/>
        </w:rPr>
        <w:tab/>
      </w:r>
      <w:r>
        <w:rPr>
          <w:rFonts w:ascii="Times New Roman" w:cs="Times New Roman" w:eastAsia="Times New Roman" w:hAnsi="Times New Roman"/>
          <w:sz w:val="14"/>
          <w:szCs w:val="14"/>
          <w:color w:val="auto"/>
        </w:rPr>
        <w:t>organizational documents, which comprise both a certificate</w:t>
      </w:r>
    </w:p>
    <w:p>
      <w:pPr>
        <w:spacing w:after="0" w:line="7"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Incorporation</w:t>
      </w:r>
      <w:r>
        <w:rPr>
          <w:sz w:val="20"/>
          <w:szCs w:val="20"/>
          <w:color w:val="auto"/>
        </w:rPr>
        <w:tab/>
      </w:r>
      <w:r>
        <w:rPr>
          <w:rFonts w:ascii="Times New Roman" w:cs="Times New Roman" w:eastAsia="Times New Roman" w:hAnsi="Times New Roman"/>
          <w:sz w:val="14"/>
          <w:szCs w:val="14"/>
          <w:color w:val="auto"/>
        </w:rPr>
        <w:t>of incorporation and by-laws, companies incorporated under</w:t>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French law only have by-laws (</w:t>
      </w:r>
      <w:r>
        <w:rPr>
          <w:rFonts w:ascii="Times New Roman" w:cs="Times New Roman" w:eastAsia="Times New Roman" w:hAnsi="Times New Roman"/>
          <w:sz w:val="14"/>
          <w:szCs w:val="14"/>
          <w:i w:val="1"/>
          <w:iCs w:val="1"/>
          <w:color w:val="auto"/>
        </w:rPr>
        <w:t>statuts</w:t>
      </w:r>
      <w:r>
        <w:rPr>
          <w:rFonts w:ascii="Times New Roman" w:cs="Times New Roman" w:eastAsia="Times New Roman" w:hAnsi="Times New Roman"/>
          <w:sz w:val="14"/>
          <w:szCs w:val="14"/>
          <w:color w:val="auto"/>
        </w:rPr>
        <w:t>) as organizational</w:t>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documents.</w:t>
      </w:r>
    </w:p>
    <w:p>
      <w:pPr>
        <w:spacing w:after="0" w:line="182" w:lineRule="exact"/>
        <w:rPr>
          <w:sz w:val="20"/>
          <w:szCs w:val="20"/>
          <w:color w:val="auto"/>
        </w:rPr>
      </w:pPr>
    </w:p>
    <w:p>
      <w:pPr>
        <w:ind w:left="2740" w:right="160"/>
        <w:spacing w:after="0" w:line="283" w:lineRule="auto"/>
        <w:rPr>
          <w:sz w:val="20"/>
          <w:szCs w:val="20"/>
          <w:color w:val="auto"/>
        </w:rPr>
      </w:pPr>
      <w:r>
        <w:rPr>
          <w:rFonts w:ascii="Times New Roman" w:cs="Times New Roman" w:eastAsia="Times New Roman" w:hAnsi="Times New Roman"/>
          <w:sz w:val="14"/>
          <w:szCs w:val="14"/>
          <w:color w:val="auto"/>
        </w:rPr>
        <w:t>As indicated in the paragraph below, only the extraordinary shareholders’ meeting is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359"/>
        <w:spacing w:after="0" w:line="261" w:lineRule="auto"/>
        <w:rPr>
          <w:sz w:val="20"/>
          <w:szCs w:val="20"/>
          <w:color w:val="auto"/>
        </w:rPr>
      </w:pPr>
      <w:r>
        <w:rPr>
          <w:rFonts w:ascii="Times New Roman" w:cs="Times New Roman" w:eastAsia="Times New Roman" w:hAnsi="Times New Roman"/>
          <w:sz w:val="14"/>
          <w:szCs w:val="14"/>
          <w:color w:val="auto"/>
        </w:rPr>
        <w:t>In addition, appraisal rights are not available to holders of shares of the surviving corporation in specified mergers that do not require the vote of the stockholders of the surviving corporation.</w:t>
      </w:r>
    </w:p>
    <w:p>
      <w:pPr>
        <w:spacing w:after="0" w:line="68" w:lineRule="exact"/>
        <w:rPr>
          <w:sz w:val="20"/>
          <w:szCs w:val="20"/>
          <w:color w:val="auto"/>
        </w:rPr>
      </w:pPr>
    </w:p>
    <w:p>
      <w:pPr>
        <w:ind w:right="279"/>
        <w:spacing w:after="0" w:line="256" w:lineRule="auto"/>
        <w:rPr>
          <w:sz w:val="20"/>
          <w:szCs w:val="20"/>
          <w:color w:val="auto"/>
        </w:rPr>
      </w:pPr>
      <w:r>
        <w:rPr>
          <w:rFonts w:ascii="Times New Roman" w:cs="Times New Roman" w:eastAsia="Times New Roman" w:hAnsi="Times New Roman"/>
          <w:sz w:val="14"/>
          <w:szCs w:val="14"/>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61" w:lineRule="exact"/>
        <w:rPr>
          <w:sz w:val="20"/>
          <w:szCs w:val="20"/>
          <w:color w:val="auto"/>
        </w:rPr>
      </w:pPr>
    </w:p>
    <w:p>
      <w:pPr>
        <w:ind w:right="379"/>
        <w:spacing w:after="0" w:line="297" w:lineRule="auto"/>
        <w:rPr>
          <w:sz w:val="20"/>
          <w:szCs w:val="20"/>
          <w:color w:val="auto"/>
        </w:rPr>
      </w:pPr>
      <w:r>
        <w:rPr>
          <w:rFonts w:ascii="Times New Roman" w:cs="Times New Roman" w:eastAsia="Times New Roman" w:hAnsi="Times New Roman"/>
          <w:sz w:val="13"/>
          <w:szCs w:val="13"/>
          <w:color w:val="auto"/>
        </w:rPr>
        <w:t>Under Delaware law, a stockholder may initiate a derivative action to enforce a right of a corporation if the corporation fails to enforce the right itself. The complaint must:</w:t>
      </w:r>
    </w:p>
    <w:p>
      <w:pPr>
        <w:spacing w:after="0" w:line="45" w:lineRule="exact"/>
        <w:rPr>
          <w:sz w:val="20"/>
          <w:szCs w:val="20"/>
          <w:color w:val="auto"/>
        </w:rPr>
      </w:pPr>
    </w:p>
    <w:p>
      <w:pPr>
        <w:ind w:left="560" w:right="319" w:hanging="207"/>
        <w:spacing w:after="0" w:line="261" w:lineRule="auto"/>
        <w:tabs>
          <w:tab w:leader="none" w:pos="5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that the plaintiff was a stockholder at the time of the transaction of which the plaintiff complains or that the plaintiff’s shares thereafter devolved on the plaintiff by operation of law; and</w:t>
      </w:r>
    </w:p>
    <w:p>
      <w:pPr>
        <w:spacing w:after="0" w:line="67" w:lineRule="exact"/>
        <w:rPr>
          <w:rFonts w:ascii="Times New Roman" w:cs="Times New Roman" w:eastAsia="Times New Roman" w:hAnsi="Times New Roman"/>
          <w:sz w:val="14"/>
          <w:szCs w:val="14"/>
          <w:color w:val="auto"/>
        </w:rPr>
      </w:pPr>
    </w:p>
    <w:p>
      <w:pPr>
        <w:ind w:left="560" w:right="279" w:hanging="207"/>
        <w:spacing w:after="0" w:line="261" w:lineRule="auto"/>
        <w:tabs>
          <w:tab w:leader="none" w:pos="5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allege with particularity the efforts made by the plaintiff to obtain the action the plaintiff desires from the directors and the reasons for the plaintiff’s failure to obtain the action; or</w:t>
      </w:r>
    </w:p>
    <w:p>
      <w:pPr>
        <w:spacing w:after="0" w:line="67" w:lineRule="exact"/>
        <w:rPr>
          <w:rFonts w:ascii="Times New Roman" w:cs="Times New Roman" w:eastAsia="Times New Roman" w:hAnsi="Times New Roman"/>
          <w:sz w:val="14"/>
          <w:szCs w:val="14"/>
          <w:color w:val="auto"/>
        </w:rPr>
      </w:pPr>
    </w:p>
    <w:p>
      <w:pPr>
        <w:ind w:left="560" w:hanging="207"/>
        <w:spacing w:after="0"/>
        <w:tabs>
          <w:tab w:leader="none" w:pos="5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reasons for not making the effort.</w:t>
      </w:r>
    </w:p>
    <w:p>
      <w:pPr>
        <w:spacing w:after="0" w:line="102" w:lineRule="exact"/>
        <w:rPr>
          <w:rFonts w:ascii="Times New Roman" w:cs="Times New Roman" w:eastAsia="Times New Roman" w:hAnsi="Times New Roman"/>
          <w:sz w:val="14"/>
          <w:szCs w:val="14"/>
          <w:color w:val="auto"/>
        </w:rPr>
      </w:pPr>
    </w:p>
    <w:p>
      <w:pPr>
        <w:ind w:left="560" w:right="239" w:hanging="207"/>
        <w:spacing w:after="0" w:line="259" w:lineRule="auto"/>
        <w:tabs>
          <w:tab w:leader="none" w:pos="5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the plaintiff must remain a stockholder through the duration of the derivative suit. The action will not be dismissed or compromised without the approval of the Delaware Court of Chancery.</w:t>
      </w:r>
    </w:p>
    <w:p>
      <w:pPr>
        <w:spacing w:after="0" w:line="257" w:lineRule="exact"/>
        <w:rPr>
          <w:sz w:val="20"/>
          <w:szCs w:val="20"/>
          <w:color w:val="auto"/>
        </w:rPr>
      </w:pPr>
    </w:p>
    <w:p>
      <w:pPr>
        <w:ind w:right="359"/>
        <w:spacing w:after="0" w:line="283" w:lineRule="auto"/>
        <w:rPr>
          <w:sz w:val="20"/>
          <w:szCs w:val="20"/>
          <w:color w:val="auto"/>
        </w:rPr>
      </w:pPr>
      <w:r>
        <w:rPr>
          <w:rFonts w:ascii="Times New Roman" w:cs="Times New Roman" w:eastAsia="Times New Roman" w:hAnsi="Times New Roman"/>
          <w:sz w:val="14"/>
          <w:szCs w:val="14"/>
          <w:color w:val="auto"/>
        </w:rPr>
        <w:t>Under Delaware law, generally a corporation may amend its certificate of incorporation if:</w:t>
      </w:r>
    </w:p>
    <w:p>
      <w:pPr>
        <w:spacing w:after="0" w:line="52" w:lineRule="exact"/>
        <w:rPr>
          <w:sz w:val="20"/>
          <w:szCs w:val="20"/>
          <w:color w:val="auto"/>
        </w:rPr>
      </w:pPr>
    </w:p>
    <w:p>
      <w:pPr>
        <w:ind w:left="560" w:right="299" w:hanging="207"/>
        <w:spacing w:after="0" w:line="267" w:lineRule="auto"/>
        <w:tabs>
          <w:tab w:leader="none" w:pos="5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board of directors has adopted a resolution setting forth the amendment proposed and declared its advisability; and</w:t>
      </w:r>
    </w:p>
    <w:p>
      <w:pPr>
        <w:spacing w:after="0" w:line="62" w:lineRule="exact"/>
        <w:rPr>
          <w:rFonts w:ascii="Times New Roman" w:cs="Times New Roman" w:eastAsia="Times New Roman" w:hAnsi="Times New Roman"/>
          <w:sz w:val="14"/>
          <w:szCs w:val="14"/>
          <w:color w:val="auto"/>
        </w:rPr>
      </w:pPr>
    </w:p>
    <w:p>
      <w:pPr>
        <w:ind w:left="560" w:right="339" w:hanging="207"/>
        <w:spacing w:after="0" w:line="283" w:lineRule="auto"/>
        <w:tabs>
          <w:tab w:leader="none" w:pos="5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amendment is adopted by the affirmative votes of a majority (or greater percentage as may be</w:t>
      </w:r>
    </w:p>
    <w:p>
      <w:pPr>
        <w:sectPr>
          <w:pgSz w:w="11900" w:h="16838" w:orient="portrait"/>
          <w:cols w:equalWidth="0" w:num="2">
            <w:col w:w="6240" w:space="180"/>
            <w:col w:w="3739"/>
          </w:cols>
          <w:pgMar w:left="300" w:top="386" w:right="1440"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1"/>
          <w:szCs w:val="11"/>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12065</wp:posOffset>
            </wp:positionV>
            <wp:extent cx="22313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2231390" cy="6985"/>
                    </a:xfrm>
                    <a:prstGeom prst="rect">
                      <a:avLst/>
                    </a:prstGeom>
                    <a:noFill/>
                  </pic:spPr>
                </pic:pic>
              </a:graphicData>
            </a:graphic>
          </wp:anchor>
        </w:drawing>
      </w:r>
    </w:p>
    <w:p>
      <w:pPr>
        <w:spacing w:after="0" w:line="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authorized under French law to adopt or amend the by-laws.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Amendment of</w:t>
      </w:r>
      <w:r>
        <w:rPr>
          <w:sz w:val="20"/>
          <w:szCs w:val="20"/>
          <w:color w:val="auto"/>
        </w:rPr>
        <w:tab/>
      </w:r>
      <w:r>
        <w:rPr>
          <w:rFonts w:ascii="Times New Roman" w:cs="Times New Roman" w:eastAsia="Times New Roman" w:hAnsi="Times New Roman"/>
          <w:sz w:val="14"/>
          <w:szCs w:val="14"/>
          <w:color w:val="auto"/>
        </w:rPr>
        <w:t>Under French law, only the extraordinary shareholders’</w:t>
      </w:r>
    </w:p>
    <w:p>
      <w:pPr>
        <w:spacing w:after="0" w:line="22" w:lineRule="exact"/>
        <w:rPr>
          <w:sz w:val="20"/>
          <w:szCs w:val="20"/>
          <w:color w:val="auto"/>
        </w:rPr>
      </w:pPr>
    </w:p>
    <w:p>
      <w:pPr>
        <w:ind w:left="1360"/>
        <w:spacing w:after="0"/>
        <w:tabs>
          <w:tab w:leader="none" w:pos="2720" w:val="left"/>
        </w:tabs>
        <w:rPr>
          <w:sz w:val="20"/>
          <w:szCs w:val="20"/>
          <w:color w:val="auto"/>
        </w:rPr>
      </w:pPr>
      <w:r>
        <w:rPr>
          <w:rFonts w:ascii="Times New Roman" w:cs="Times New Roman" w:eastAsia="Times New Roman" w:hAnsi="Times New Roman"/>
          <w:sz w:val="14"/>
          <w:szCs w:val="14"/>
          <w:color w:val="auto"/>
        </w:rPr>
        <w:t>by-laws</w:t>
      </w:r>
      <w:r>
        <w:rPr>
          <w:sz w:val="20"/>
          <w:szCs w:val="20"/>
          <w:color w:val="auto"/>
        </w:rPr>
        <w:tab/>
      </w:r>
      <w:r>
        <w:rPr>
          <w:rFonts w:ascii="Times New Roman" w:cs="Times New Roman" w:eastAsia="Times New Roman" w:hAnsi="Times New Roman"/>
          <w:sz w:val="13"/>
          <w:szCs w:val="13"/>
          <w:color w:val="auto"/>
        </w:rPr>
        <w:t>meeting is authorized to adopt or amend the by-laws</w:t>
      </w:r>
    </w:p>
    <w:p>
      <w:pPr>
        <w:spacing w:after="0" w:line="7" w:lineRule="exact"/>
        <w:rPr>
          <w:sz w:val="20"/>
          <w:szCs w:val="20"/>
          <w:color w:val="auto"/>
        </w:rPr>
      </w:pPr>
    </w:p>
    <w:p>
      <w:pPr>
        <w:ind w:left="2740"/>
        <w:spacing w:after="0" w:line="252" w:lineRule="auto"/>
        <w:rPr>
          <w:sz w:val="20"/>
          <w:szCs w:val="20"/>
          <w:color w:val="auto"/>
        </w:rPr>
      </w:pPr>
      <w:r>
        <w:rPr>
          <w:rFonts w:ascii="Times New Roman" w:cs="Times New Roman" w:eastAsia="Times New Roman" w:hAnsi="Times New Roman"/>
          <w:sz w:val="14"/>
          <w:szCs w:val="14"/>
          <w:color w:val="auto"/>
        </w:rPr>
        <w:t>(two-thirds majority). The extraordinary shareholders’ meeting may authorize the board of directors to amend the by-laws to comply with legal provisions, subject to the ratification of such amendments by the next extraordinary shareholders’ meeting. The board of directors is authorized to amend the by-laws as a result of a decision to relocate the company’s registered office in France, subject to ratification by the next ordinary shareholders’ meeting.</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23139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2231390" cy="6985"/>
                    </a:xfrm>
                    <a:prstGeom prst="rect">
                      <a:avLst/>
                    </a:prstGeom>
                    <a:noFill/>
                  </pic:spPr>
                </pic:pic>
              </a:graphicData>
            </a:graphic>
          </wp:anchor>
        </w:drawing>
      </w:r>
    </w:p>
    <w:p>
      <w:pPr>
        <w:spacing w:after="0" w:line="1" w:lineRule="exact"/>
        <w:rPr>
          <w:sz w:val="20"/>
          <w:szCs w:val="20"/>
          <w:color w:val="auto"/>
        </w:rPr>
      </w:pPr>
    </w:p>
    <w:p>
      <w:pPr>
        <w:ind w:right="239"/>
        <w:spacing w:after="0" w:line="256" w:lineRule="auto"/>
        <w:rPr>
          <w:sz w:val="20"/>
          <w:szCs w:val="20"/>
          <w:color w:val="auto"/>
        </w:rPr>
      </w:pPr>
      <w:r>
        <w:rPr>
          <w:rFonts w:ascii="Times New Roman" w:cs="Times New Roman" w:eastAsia="Times New Roman" w:hAnsi="Times New Roman"/>
          <w:sz w:val="14"/>
          <w:szCs w:val="14"/>
          <w:color w:val="auto"/>
        </w:rPr>
        <w:t>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p>
      <w:pPr>
        <w:spacing w:after="0" w:line="61" w:lineRule="exact"/>
        <w:rPr>
          <w:sz w:val="20"/>
          <w:szCs w:val="20"/>
          <w:color w:val="auto"/>
        </w:rPr>
      </w:pPr>
    </w:p>
    <w:p>
      <w:pPr>
        <w:ind w:right="299"/>
        <w:spacing w:after="0" w:line="261" w:lineRule="auto"/>
        <w:rPr>
          <w:sz w:val="20"/>
          <w:szCs w:val="20"/>
          <w:color w:val="auto"/>
        </w:rPr>
      </w:pPr>
      <w:r>
        <w:rPr>
          <w:rFonts w:ascii="Times New Roman" w:cs="Times New Roman" w:eastAsia="Times New Roman" w:hAnsi="Times New Roman"/>
          <w:sz w:val="14"/>
          <w:szCs w:val="14"/>
          <w:color w:val="auto"/>
        </w:rPr>
        <w:t>Under Delaware law, the stockholders entitled to vote have the power to adopt, amend or repeal by-laws. A corporation may also confer, in its certificate of incorporation, that power upon the board of directors.</w:t>
      </w:r>
    </w:p>
    <w:p>
      <w:pPr>
        <w:spacing w:after="0" w:line="1203" w:lineRule="exact"/>
        <w:rPr>
          <w:sz w:val="20"/>
          <w:szCs w:val="20"/>
          <w:color w:val="auto"/>
        </w:rPr>
      </w:pPr>
    </w:p>
    <w:p>
      <w:pPr>
        <w:sectPr>
          <w:pgSz w:w="11900" w:h="16838" w:orient="portrait"/>
          <w:cols w:equalWidth="0" w:num="2">
            <w:col w:w="6200" w:space="220"/>
            <w:col w:w="3739"/>
          </w:cols>
          <w:pgMar w:left="300" w:top="386" w:right="1440" w:bottom="1440" w:gutter="0" w:footer="0" w:header="0"/>
        </w:sectPr>
      </w:pPr>
    </w:p>
    <w:p>
      <w:pPr>
        <w:spacing w:after="0" w:line="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Legal Name; Formation; Registered Office</w:t>
      </w:r>
    </w:p>
    <w:p>
      <w:pPr>
        <w:spacing w:after="0" w:line="92"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 xml:space="preserve">Our legal name and commercial name is Abivax SA. We were incorporated as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(limited liability company) on December 4, 2013. Our headquarters are located at 7-11 boulevard Haussmann, 75009 Paris, France. We were registered at the Paris Trade and Company Register on December 27, 2013 for a period of 99 years until December 22, 2112, subject to extension or early dissolution, under the number 799 363 718. Our telephone number at our principal executive offices is +33 (0) 1 53 83 09 63. Our website address is www.abivax.com. The reference to our website is an inactive textual reference only and information contained in, or that can be assessed through, our website is not part of this prospectus.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Our ADSs are listed on the Nasdaq Global Market under the symbol “ABVX” and our ordinary shares are listed on Euronext Paris under the symbol “ABVX.”</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The depositary for our ADSs is Citibank, N.A. Uptevia is our transfer agent and registrar for our ordinary shares and currently maintains our share register for our ordinary shares.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the ADSs. Holders of our ADSs have a right to receive the ordinary shares underlying their ADSs. For discussion on our ADSs and ADS holder rights, see “Description of American Depositary Shares” in this prospectus.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LIMITATIONS AFFECTING SHAREHOLDERS OF A FRENCH COMPANY</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Ownership of ADSs by Non-French Residents</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Times New Roman" w:cs="Times New Roman" w:eastAsia="Times New Roman" w:hAnsi="Times New Roman"/>
          <w:sz w:val="14"/>
          <w:szCs w:val="14"/>
          <w:i w:val="1"/>
          <w:iCs w:val="1"/>
          <w:color w:val="auto"/>
        </w:rPr>
        <w:t>Banque de France</w:t>
      </w:r>
      <w:r>
        <w:rPr>
          <w:rFonts w:ascii="Times New Roman" w:cs="Times New Roman" w:eastAsia="Times New Roman" w:hAnsi="Times New Roman"/>
          <w:sz w:val="14"/>
          <w:szCs w:val="14"/>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Further, any investment:</w:t>
      </w:r>
    </w:p>
    <w:p>
      <w:pPr>
        <w:spacing w:after="0" w:line="176" w:lineRule="exact"/>
        <w:rPr>
          <w:sz w:val="20"/>
          <w:szCs w:val="20"/>
          <w:color w:val="auto"/>
        </w:rPr>
      </w:pPr>
    </w:p>
    <w:p>
      <w:pPr>
        <w:ind w:left="1360" w:right="379" w:hanging="9"/>
        <w:spacing w:after="0" w:line="283" w:lineRule="auto"/>
        <w:tabs>
          <w:tab w:leader="none" w:pos="152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any non-French citizen, (b) any French citizen not residing in France, (c) any non-French entity or (d) any French entity controlled by one of the aforementioned persons or entities;</w:t>
      </w:r>
    </w:p>
    <w:p>
      <w:pPr>
        <w:spacing w:after="0" w:line="125" w:lineRule="exact"/>
        <w:rPr>
          <w:rFonts w:ascii="Times New Roman" w:cs="Times New Roman" w:eastAsia="Times New Roman" w:hAnsi="Times New Roman"/>
          <w:sz w:val="14"/>
          <w:szCs w:val="14"/>
          <w:color w:val="auto"/>
        </w:rPr>
      </w:pPr>
    </w:p>
    <w:p>
      <w:pPr>
        <w:jc w:val="both"/>
        <w:ind w:left="1360" w:right="359" w:hanging="9"/>
        <w:spacing w:after="0" w:line="267" w:lineRule="auto"/>
        <w:tabs>
          <w:tab w:leader="none" w:pos="156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36" w:lineRule="exact"/>
        <w:rPr>
          <w:rFonts w:ascii="Times New Roman" w:cs="Times New Roman" w:eastAsia="Times New Roman" w:hAnsi="Times New Roman"/>
          <w:sz w:val="14"/>
          <w:szCs w:val="14"/>
          <w:color w:val="auto"/>
        </w:rPr>
      </w:pPr>
    </w:p>
    <w:p>
      <w:pPr>
        <w:ind w:left="1360" w:right="259" w:hanging="9"/>
        <w:spacing w:after="0" w:line="256" w:lineRule="auto"/>
        <w:tabs>
          <w:tab w:leader="none" w:pos="160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media, and critical raw materials), and (c) research and development activity related to critical technologies (including cybersecurity, artificial intelligence, robotics, additive manufacturing, semiconductors, quantum technologies, energy storage, biotechnologies, low carbon energy or photonics) or dual-use items, is subject to the prior authorization of the French Ministry of Economy, which authorization may be conditioned on certain undertakings.</w:t>
      </w:r>
    </w:p>
    <w:p>
      <w:pPr>
        <w:spacing w:after="0" w:line="143" w:lineRule="exact"/>
        <w:rPr>
          <w:sz w:val="20"/>
          <w:szCs w:val="20"/>
          <w:color w:val="auto"/>
        </w:rPr>
      </w:pPr>
    </w:p>
    <w:p>
      <w:pPr>
        <w:ind w:left="1360" w:right="499"/>
        <w:spacing w:after="0" w:line="279" w:lineRule="auto"/>
        <w:rPr>
          <w:sz w:val="20"/>
          <w:szCs w:val="20"/>
          <w:color w:val="auto"/>
        </w:rPr>
      </w:pPr>
      <w:r>
        <w:rPr>
          <w:rFonts w:ascii="Times New Roman" w:cs="Times New Roman" w:eastAsia="Times New Roman" w:hAnsi="Times New Roman"/>
          <w:sz w:val="13"/>
          <w:szCs w:val="13"/>
          <w:color w:val="auto"/>
        </w:rPr>
        <w:t>The Decree (</w:t>
      </w:r>
      <w:r>
        <w:rPr>
          <w:rFonts w:ascii="Times New Roman" w:cs="Times New Roman" w:eastAsia="Times New Roman" w:hAnsi="Times New Roman"/>
          <w:sz w:val="13"/>
          <w:szCs w:val="13"/>
          <w:i w:val="1"/>
          <w:iCs w:val="1"/>
          <w:color w:val="auto"/>
        </w:rPr>
        <w:t>décret</w:t>
      </w:r>
      <w:r>
        <w:rPr>
          <w:rFonts w:ascii="Times New Roman" w:cs="Times New Roman" w:eastAsia="Times New Roman" w:hAnsi="Times New Roman"/>
          <w:sz w:val="13"/>
          <w:szCs w:val="13"/>
          <w:color w:val="auto"/>
        </w:rPr>
        <w:t>) n° 2023-1293 of December 28, 2023 made permanent the temporary regime under Decree (</w:t>
      </w:r>
      <w:r>
        <w:rPr>
          <w:rFonts w:ascii="Times New Roman" w:cs="Times New Roman" w:eastAsia="Times New Roman" w:hAnsi="Times New Roman"/>
          <w:sz w:val="13"/>
          <w:szCs w:val="13"/>
          <w:i w:val="1"/>
          <w:iCs w:val="1"/>
          <w:color w:val="auto"/>
        </w:rPr>
        <w:t>décret</w:t>
      </w:r>
      <w:r>
        <w:rPr>
          <w:rFonts w:ascii="Times New Roman" w:cs="Times New Roman" w:eastAsia="Times New Roman" w:hAnsi="Times New Roman"/>
          <w:sz w:val="13"/>
          <w:szCs w:val="13"/>
          <w:color w:val="auto"/>
        </w:rPr>
        <w:t>) n° 2020-892 dated July 22, 2020, as amended on December 28, 2020 by the Decree (</w:t>
      </w:r>
      <w:r>
        <w:rPr>
          <w:rFonts w:ascii="Times New Roman" w:cs="Times New Roman" w:eastAsia="Times New Roman" w:hAnsi="Times New Roman"/>
          <w:sz w:val="13"/>
          <w:szCs w:val="13"/>
          <w:i w:val="1"/>
          <w:iCs w:val="1"/>
          <w:color w:val="auto"/>
        </w:rPr>
        <w:t>décret</w:t>
      </w:r>
      <w:r>
        <w:rPr>
          <w:rFonts w:ascii="Times New Roman" w:cs="Times New Roman" w:eastAsia="Times New Roman" w:hAnsi="Times New Roman"/>
          <w:sz w:val="13"/>
          <w:szCs w:val="13"/>
          <w:color w:val="auto"/>
        </w:rPr>
        <w:t>) n° 2020-1729, on December 22, 2021 by the Decree (</w:t>
      </w:r>
      <w:r>
        <w:rPr>
          <w:rFonts w:ascii="Times New Roman" w:cs="Times New Roman" w:eastAsia="Times New Roman" w:hAnsi="Times New Roman"/>
          <w:sz w:val="13"/>
          <w:szCs w:val="13"/>
          <w:i w:val="1"/>
          <w:iCs w:val="1"/>
          <w:color w:val="auto"/>
        </w:rPr>
        <w:t>décret</w:t>
      </w:r>
      <w:r>
        <w:rPr>
          <w:rFonts w:ascii="Times New Roman" w:cs="Times New Roman" w:eastAsia="Times New Roman" w:hAnsi="Times New Roman"/>
          <w:sz w:val="13"/>
          <w:szCs w:val="13"/>
          <w:color w:val="auto"/>
        </w:rPr>
        <w:t>) n° 2021-1758, and on December 23, 2022 by the Decree (</w:t>
      </w:r>
      <w:r>
        <w:rPr>
          <w:rFonts w:ascii="Times New Roman" w:cs="Times New Roman" w:eastAsia="Times New Roman" w:hAnsi="Times New Roman"/>
          <w:sz w:val="13"/>
          <w:szCs w:val="13"/>
          <w:i w:val="1"/>
          <w:iCs w:val="1"/>
          <w:color w:val="auto"/>
        </w:rPr>
        <w:t>décret</w:t>
      </w:r>
      <w:r>
        <w:rPr>
          <w:rFonts w:ascii="Times New Roman" w:cs="Times New Roman" w:eastAsia="Times New Roman" w:hAnsi="Times New Roman"/>
          <w:sz w:val="13"/>
          <w:szCs w:val="13"/>
          <w:color w:val="auto"/>
        </w:rPr>
        <w:t>) n° 2022-1622, creating a new 10% threshold of the voting rights for the non-European investments made</w:t>
      </w:r>
    </w:p>
    <w:p>
      <w:pPr>
        <w:ind w:left="1360" w:right="239" w:hanging="9"/>
        <w:spacing w:after="0" w:line="256" w:lineRule="auto"/>
        <w:tabs>
          <w:tab w:leader="none" w:pos="152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 entity with its registered office in France and (ii) whose shares are admitted to trading on a French-, EU- or EEA-regulated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w:t>
      </w:r>
    </w:p>
    <w:p>
      <w:pPr>
        <w:spacing w:after="0" w:line="14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an individual).</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Foreign Exchange Controls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Availability of Preferential Subscription Rights</w:t>
      </w:r>
    </w:p>
    <w:p>
      <w:pPr>
        <w:spacing w:after="0" w:line="9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While our current shareholders waived their preferential subscription rights with respect to certain offerings at a shareholders’ general meeting held on May 21, 2026, in the future our shareholders will have preferential subscription rights. Under French law, shareholders have preferential rights to subscribe for cash issues of new ordinary shares or other securities giving rights to acquire additional ordinary shares on a pro rata basis. Holders of our securities in the United States (which may be in the form of ordinary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ordinary shares or other securities giving rights to acquire additional ordinary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ordinary shares or other securities. We intend to evaluate at the time of any rights offering the costs and potential liabilities associated with registering the rights, as well as the indirect benefits to us of enabling the exercise by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152"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For holders of our ordinary shares in the form of ADSs,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AMERICAN DEPOSITARY SHARES</w:t>
      </w:r>
    </w:p>
    <w:p>
      <w:pPr>
        <w:spacing w:after="0" w:line="178"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Citibank, N.A. (“Citibank”) is the depositary for the ADSs representing our ordinary shares.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Europe plc, located at 1 North Wall Quay, Dublin 1 Ireland.</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have appointed Citibank as depositary pursuant to a deposit agreement. The form of the deposit agreement is on file with the SEC under cover of a registration statement on Form F-6. You may obtain a copy of the deposit agreement from the SEC’s website (www.sec.gov). Please refer to registration number 333-274780 when retrieving such copy. The portions of this summary description that are italicized describe matters that may be relevant to the ownership of ADSs but that may not be contained in the deposit agreement.</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136"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shares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41"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219"/>
        <w:spacing w:after="0" w:line="259" w:lineRule="auto"/>
        <w:rPr>
          <w:sz w:val="20"/>
          <w:szCs w:val="20"/>
          <w:color w:val="auto"/>
        </w:rPr>
      </w:pPr>
      <w:r>
        <w:rPr>
          <w:rFonts w:ascii="Times New Roman" w:cs="Times New Roman" w:eastAsia="Times New Roman" w:hAnsi="Times New Roman"/>
          <w:sz w:val="14"/>
          <w:szCs w:val="14"/>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43"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manner in which you own the ADSs (e.g., in a brokerage account vs. as registered holder, or as holder of certificated vs. uncertificated ADSs) may affect your rights and obligations, and the manner in which, and extent to which, the depositary’s services are made available to you.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49"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Cash</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France.</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Shares</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will </w:t>
      </w:r>
      <w:r>
        <w:rPr>
          <w:rFonts w:ascii="Times New Roman" w:cs="Times New Roman" w:eastAsia="Times New Roman" w:hAnsi="Times New Roman"/>
          <w:sz w:val="14"/>
          <w:szCs w:val="14"/>
          <w:u w:val="single" w:color="auto"/>
          <w:color w:val="auto"/>
        </w:rPr>
        <w:t>either</w:t>
      </w:r>
      <w:r>
        <w:rPr>
          <w:rFonts w:ascii="Times New Roman" w:cs="Times New Roman" w:eastAsia="Times New Roman" w:hAnsi="Times New Roman"/>
          <w:sz w:val="14"/>
          <w:szCs w:val="14"/>
          <w:color w:val="auto"/>
        </w:rPr>
        <w:t xml:space="preserve"> distribute to holders new ADSs representing the ordinary shares deposited </w:t>
      </w:r>
      <w:r>
        <w:rPr>
          <w:rFonts w:ascii="Times New Roman" w:cs="Times New Roman" w:eastAsia="Times New Roman" w:hAnsi="Times New Roman"/>
          <w:sz w:val="14"/>
          <w:szCs w:val="14"/>
          <w:u w:val="single" w:color="auto"/>
          <w:color w:val="auto"/>
        </w:rPr>
        <w:t>or</w:t>
      </w:r>
      <w:r>
        <w:rPr>
          <w:rFonts w:ascii="Times New Roman" w:cs="Times New Roman" w:eastAsia="Times New Roman" w:hAnsi="Times New Roman"/>
          <w:sz w:val="14"/>
          <w:szCs w:val="14"/>
          <w:color w:val="auto"/>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4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34"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color w:val="auto"/>
        </w:rPr>
        <w:t>No such distribution of new ADSs will be made if it would violate a law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Rights</w:t>
      </w:r>
    </w:p>
    <w:p>
      <w:pPr>
        <w:spacing w:after="0" w:line="9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125"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The depositary will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distribute the rights to you if:</w:t>
      </w:r>
    </w:p>
    <w:p>
      <w:pPr>
        <w:spacing w:after="0" w:line="104" w:lineRule="exact"/>
        <w:rPr>
          <w:sz w:val="20"/>
          <w:szCs w:val="20"/>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timely request that the rights be distributed to you or we request that the rights not be distributed to you;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deliver satisfactory documents to the depositary;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reasonably practicable to distribute the rights.</w:t>
      </w:r>
    </w:p>
    <w:p>
      <w:pPr>
        <w:spacing w:after="0" w:line="176"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Elective Distributions</w:t>
      </w:r>
    </w:p>
    <w:p>
      <w:pPr>
        <w:spacing w:after="0" w:line="94"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Whenever we intend to distribute a dividend payable at the election of shareholders either in cash or in additional shares, we will give prior notice thereof to the depositary and will indicate whether we wish the elective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distribution to be made available to you. In such case, we will assist the depositary in determining whether such distribution is lawful and reasonably practicable.</w:t>
      </w:r>
    </w:p>
    <w:p>
      <w:pPr>
        <w:spacing w:after="0" w:line="12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36"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Distributions</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36"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25"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The depositary will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distribute the property to you and will sell the property if:</w:t>
      </w:r>
    </w:p>
    <w:p>
      <w:pPr>
        <w:spacing w:after="0" w:line="104" w:lineRule="exact"/>
        <w:rPr>
          <w:sz w:val="20"/>
          <w:szCs w:val="20"/>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request that the property be distributed to you or if we request that the property not be distributed to you;</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deliver satisfactory documents to the depositary;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determines that all or a portion of the distribution to you is not reasonably practicable.</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proceeds of such a sale will be distributed to holders as in the case of a cash distribution.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25"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as the depositary may determine.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Changes Affecting Ordinary Shares</w:t>
      </w:r>
    </w:p>
    <w:p>
      <w:pPr>
        <w:spacing w:after="0" w:line="9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our assets.</w:t>
      </w:r>
    </w:p>
    <w:p>
      <w:pPr>
        <w:spacing w:after="0" w:line="136"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Issuance of ADSs upon Deposit of Ordinary Shares</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Upon completion of an offering of ordinary shares pursuant to this prospectus, the ordinary shares being offered pursuant to the prospectus will be deposited by us with the custodian. Upon receipt of confirmation of such deposit, the depositary will issue ADSs pursuant to our instruction.</w:t>
      </w:r>
    </w:p>
    <w:p>
      <w:pPr>
        <w:spacing w:after="0" w:line="125"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4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25"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When you make a deposit of ordinary shares, you will be responsible for transferring good and valid title to the depositary. As such, you will be deemed to represent and warrant that:</w:t>
      </w:r>
    </w:p>
    <w:p>
      <w:pPr>
        <w:spacing w:after="0" w:line="52" w:lineRule="exact"/>
        <w:rPr>
          <w:sz w:val="20"/>
          <w:szCs w:val="20"/>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duly authorized, validly issued, fully paid, non-assessable and legally obtained.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preemptive (and similar) rights, if any, with respect to such ordinary shares have been validly waived or exercised.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duly authorized to deposit the ordinary shares.</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presented for deposit have not been stripped of any rights or entitlements.</w:t>
      </w:r>
    </w:p>
    <w:p>
      <w:pPr>
        <w:spacing w:after="0" w:line="176"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If any of the representations or warranties are incorrect in any way, we and the depositary may, at your cost and expense, take any and all actions necessary to correct the consequences of the misrepresentations.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Combination, and Split Up of ADRs</w:t>
      </w:r>
    </w:p>
    <w:p>
      <w:pPr>
        <w:spacing w:after="0" w:line="9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52" w:lineRule="exact"/>
        <w:rPr>
          <w:sz w:val="20"/>
          <w:szCs w:val="20"/>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the surrendered ADR is properly endorsed or otherwise in proper form for transfer;</w:t>
      </w:r>
    </w:p>
    <w:p>
      <w:pPr>
        <w:spacing w:after="0" w:line="102" w:lineRule="exact"/>
        <w:rPr>
          <w:rFonts w:ascii="Times New Roman" w:cs="Times New Roman" w:eastAsia="Times New Roman" w:hAnsi="Times New Roman"/>
          <w:sz w:val="14"/>
          <w:szCs w:val="14"/>
          <w:color w:val="auto"/>
        </w:rPr>
      </w:pPr>
    </w:p>
    <w:p>
      <w:pPr>
        <w:ind w:left="5580" w:right="2579" w:hanging="3808"/>
        <w:spacing w:after="0" w:line="456" w:lineRule="auto"/>
        <w:tabs>
          <w:tab w:leader="none" w:pos="211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such proof of identity and genuineness of signatures as the depositary deems appropriate; 38</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any transfer stamps required by the State of New York or the United States; and</w:t>
      </w:r>
    </w:p>
    <w:p>
      <w:pPr>
        <w:spacing w:after="0" w:line="102" w:lineRule="exact"/>
        <w:rPr>
          <w:rFonts w:ascii="Times New Roman" w:cs="Times New Roman" w:eastAsia="Times New Roman" w:hAnsi="Times New Roman"/>
          <w:sz w:val="14"/>
          <w:szCs w:val="14"/>
          <w:color w:val="auto"/>
        </w:rPr>
      </w:pPr>
    </w:p>
    <w:p>
      <w:pPr>
        <w:ind w:left="2100" w:right="63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all applicable fees, charges, expenses, taxes and other government charges payable by ADR holders pursuant to the terms of the deposit agreement, upon the transfer of ADRs.</w:t>
      </w:r>
    </w:p>
    <w:p>
      <w:pPr>
        <w:spacing w:after="0" w:line="12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Withdrawal of Ordinary Shares Upon Cancellation of ADSs</w:t>
      </w:r>
    </w:p>
    <w:p>
      <w:pPr>
        <w:spacing w:after="0" w:line="9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4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You will have the right to withdraw the securities represented by your ADSs at any time except for:</w:t>
      </w:r>
    </w:p>
    <w:p>
      <w:pPr>
        <w:spacing w:after="0" w:line="102" w:lineRule="exact"/>
        <w:rPr>
          <w:sz w:val="20"/>
          <w:szCs w:val="20"/>
          <w:color w:val="auto"/>
        </w:rPr>
      </w:pPr>
    </w:p>
    <w:p>
      <w:pPr>
        <w:ind w:left="2100" w:right="61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delays that may arise because (i) the transfer books for the ordinary shares or ADSs are closed, or (ii) ordinary shares are immobilized on account of a shareholders’ meeting or a payment of dividends.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pay fees, taxes and similar charges.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because of laws or regulations applicable to ADSs or the withdrawal of securities on deposit.</w:t>
      </w:r>
    </w:p>
    <w:p>
      <w:pPr>
        <w:spacing w:after="0" w:line="17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deposit agreement may not be modified to impair your right to withdraw the securities represented by your ADSs except to comply with mandatory provisions of law.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entitled “Description of Share Capital” and “Limitations Affecting Shareholders of a French Company.”</w:t>
      </w:r>
    </w:p>
    <w:p>
      <w:pPr>
        <w:spacing w:after="0" w:line="136"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If the depositary timely receives voting instructions from a holder of ADSs, it will endeavor to vote the securities (in person or by proxy) represented by the holder’s ADSs in accordance with such voting instructions.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Fees and Charges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an ADS holder, you will be required to pay the following fees under the terms of the deposit agreement:</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43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1"/>
                <w:szCs w:val="11"/>
                <w:b w:val="1"/>
                <w:bCs w:val="1"/>
                <w:color w:val="auto"/>
              </w:rPr>
              <w:t>Service</w:t>
            </w:r>
          </w:p>
        </w:tc>
        <w:tc>
          <w:tcPr>
            <w:tcW w:w="160" w:type="dxa"/>
            <w:vAlign w:val="bottom"/>
          </w:tcPr>
          <w:p>
            <w:pPr>
              <w:spacing w:after="0"/>
              <w:rPr>
                <w:sz w:val="12"/>
                <w:szCs w:val="12"/>
                <w:color w:val="auto"/>
              </w:rPr>
            </w:pPr>
          </w:p>
        </w:tc>
        <w:tc>
          <w:tcPr>
            <w:tcW w:w="40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1"/>
                <w:szCs w:val="11"/>
                <w:b w:val="1"/>
                <w:bCs w:val="1"/>
                <w:color w:val="auto"/>
              </w:rPr>
              <w:t>Fees</w:t>
            </w:r>
          </w:p>
        </w:tc>
      </w:tr>
      <w:tr>
        <w:trPr>
          <w:trHeight w:val="144"/>
        </w:trPr>
        <w:tc>
          <w:tcPr>
            <w:tcW w:w="43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Issuance of ADSs (e.g., an issuance of ADS upon a deposit of ordinary</w:t>
            </w:r>
          </w:p>
        </w:tc>
        <w:tc>
          <w:tcPr>
            <w:tcW w:w="160" w:type="dxa"/>
            <w:vAlign w:val="bottom"/>
          </w:tcPr>
          <w:p>
            <w:pPr>
              <w:spacing w:after="0"/>
              <w:rPr>
                <w:sz w:val="12"/>
                <w:szCs w:val="12"/>
                <w:color w:val="auto"/>
              </w:rPr>
            </w:pPr>
          </w:p>
        </w:tc>
        <w:tc>
          <w:tcPr>
            <w:tcW w:w="40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Up to U.S. 5¢ per ADS issued</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shares, upon a change in the ADS(s)-to-ordinary share ratio, or for any other</w:t>
            </w: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reason), excluding ADS issuances as a result of distributions of ordinary</w:t>
            </w: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83"/>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Cancellation of ADSs (e.g., a cancellation of ADSs for delivery of deposited</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cancelled</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property, upon a change in the ADS(s)-to ordinary share ratio, or for any</w:t>
            </w: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83"/>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other reason)</w:t>
            </w:r>
          </w:p>
        </w:tc>
        <w:tc>
          <w:tcPr>
            <w:tcW w:w="16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of cash dividends or other cash distributions (e.g., upon a sale of</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w:t>
            </w:r>
          </w:p>
        </w:tc>
      </w:tr>
      <w:tr>
        <w:trPr>
          <w:trHeight w:val="183"/>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rights and other entitlements)</w:t>
            </w:r>
          </w:p>
        </w:tc>
        <w:tc>
          <w:tcPr>
            <w:tcW w:w="16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of ADSs pursuant to (i) share dividends or other free share</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w:t>
            </w:r>
          </w:p>
        </w:tc>
      </w:tr>
      <w:tr>
        <w:trPr>
          <w:trHeight w:val="183"/>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or (ii) exercise of rights to purchase additional ADSs</w:t>
            </w:r>
          </w:p>
        </w:tc>
        <w:tc>
          <w:tcPr>
            <w:tcW w:w="16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of securities other than ADSs or rights to purchase additional</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w:t>
            </w:r>
          </w:p>
        </w:tc>
      </w:tr>
      <w:tr>
        <w:trPr>
          <w:trHeight w:val="183"/>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ADSs (e.g., upon a spin-off)</w:t>
            </w:r>
          </w:p>
        </w:tc>
        <w:tc>
          <w:tcPr>
            <w:tcW w:w="16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ADS Services</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held on the applicable record date(s)</w:t>
            </w:r>
          </w:p>
        </w:tc>
      </w:tr>
      <w:tr>
        <w:trPr>
          <w:trHeight w:val="183"/>
        </w:trPr>
        <w:tc>
          <w:tcPr>
            <w:tcW w:w="4380" w:type="dxa"/>
            <w:vAlign w:val="bottom"/>
          </w:tcPr>
          <w:p>
            <w:pPr>
              <w:spacing w:after="0"/>
              <w:rPr>
                <w:sz w:val="15"/>
                <w:szCs w:val="15"/>
                <w:color w:val="auto"/>
              </w:rPr>
            </w:pP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established by the depositary</w:t>
            </w: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Registration of ADS transfers (e.g., upon a registration of the transfer of</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(or fraction thereof) transferred</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registered ownership of ADSs, upon a transfer of ADSs into DTC and </w:t>
            </w:r>
            <w:r>
              <w:rPr>
                <w:rFonts w:ascii="Times New Roman" w:cs="Times New Roman" w:eastAsia="Times New Roman" w:hAnsi="Times New Roman"/>
                <w:sz w:val="14"/>
                <w:szCs w:val="14"/>
                <w:i w:val="1"/>
                <w:iCs w:val="1"/>
                <w:color w:val="auto"/>
              </w:rPr>
              <w:t>vice</w:t>
            </w: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85"/>
        </w:trPr>
        <w:tc>
          <w:tcPr>
            <w:tcW w:w="4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versa</w:t>
            </w:r>
            <w:r>
              <w:rPr>
                <w:rFonts w:ascii="Times New Roman" w:cs="Times New Roman" w:eastAsia="Times New Roman" w:hAnsi="Times New Roman"/>
                <w:sz w:val="14"/>
                <w:szCs w:val="14"/>
                <w:color w:val="auto"/>
              </w:rPr>
              <w:t>, or for any other reason)</w:t>
            </w:r>
          </w:p>
        </w:tc>
        <w:tc>
          <w:tcPr>
            <w:tcW w:w="16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ADSs of one series for ADSs of another series (e.g., upon</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U.S. 5¢ per ADS (or fraction thereof) converted</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Partial Entitlement ADSs for Full Entitlement ADSs, or upon</w:t>
            </w: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Restricted ADSs (each as defined in the Deposit Agreement)</w:t>
            </w: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85"/>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into freely transferable ADSs, and </w:t>
            </w:r>
            <w:r>
              <w:rPr>
                <w:rFonts w:ascii="Times New Roman" w:cs="Times New Roman" w:eastAsia="Times New Roman" w:hAnsi="Times New Roman"/>
                <w:sz w:val="14"/>
                <w:szCs w:val="14"/>
                <w:i w:val="1"/>
                <w:iCs w:val="1"/>
                <w:color w:val="auto"/>
              </w:rPr>
              <w:t>vice versa</w:t>
            </w: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040" w:type="dxa"/>
            <w:vAlign w:val="bottom"/>
          </w:tcPr>
          <w:p>
            <w:pPr>
              <w:spacing w:after="0"/>
              <w:rPr>
                <w:sz w:val="16"/>
                <w:szCs w:val="16"/>
                <w:color w:val="auto"/>
              </w:rPr>
            </w:pPr>
          </w:p>
        </w:tc>
      </w:tr>
    </w:tbl>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an ADS holder, you will also be responsible to pay certain charges such as:</w:t>
      </w:r>
    </w:p>
    <w:p>
      <w:pPr>
        <w:spacing w:after="0" w:line="102" w:lineRule="exact"/>
        <w:rPr>
          <w:sz w:val="20"/>
          <w:szCs w:val="20"/>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(including applicable interest and penalties) and other governmental charges;</w:t>
      </w:r>
    </w:p>
    <w:p>
      <w:pPr>
        <w:spacing w:after="0" w:line="102" w:lineRule="exact"/>
        <w:rPr>
          <w:rFonts w:ascii="Times New Roman" w:cs="Times New Roman" w:eastAsia="Times New Roman" w:hAnsi="Times New Roman"/>
          <w:sz w:val="14"/>
          <w:szCs w:val="14"/>
          <w:color w:val="auto"/>
        </w:rPr>
      </w:pPr>
    </w:p>
    <w:p>
      <w:pPr>
        <w:ind w:left="2100" w:right="539" w:hanging="328"/>
        <w:spacing w:after="0" w:line="267"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cable, telex and facsimile transmission and delivery expenses;</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expenses, spreads, taxes and other charges of the depositary and/or service providers (which may be a division, branch or affiliate of the depositary) in the conversion of foreign currency;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499" w:hanging="328"/>
        <w:spacing w:after="0" w:line="283"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charges, costs and expenses incurred by the depositary, the custodian, or any nominee in connection with the ADR program.</w:t>
      </w:r>
    </w:p>
    <w:p>
      <w:pPr>
        <w:spacing w:after="0" w:line="176"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48"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an offering of ADSs pursuant to this prospectus.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Amendments and Termination</w:t>
      </w:r>
    </w:p>
    <w:p>
      <w:pPr>
        <w:spacing w:after="0" w:line="9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4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3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4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In connection with any termination of the deposit agreement, the depositary may make available to owners of ADSs a means to withdraw the ordinary shares represented by ADSs and to direct the depositary of such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Books of Depositary</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Transmission of Notices, Reports and Proxy Soliciting Material</w:t>
      </w:r>
    </w:p>
    <w:p>
      <w:pPr>
        <w:spacing w:after="0" w:line="9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also provide to you copies of those communications or otherwise make those communications available to you if we ask it to.</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deposit agreement limits our obligations and the depositary’s obligations to you. Please note the following:</w:t>
      </w:r>
    </w:p>
    <w:p>
      <w:pPr>
        <w:spacing w:after="0" w:line="102" w:lineRule="exact"/>
        <w:rPr>
          <w:sz w:val="20"/>
          <w:szCs w:val="20"/>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are obligated only to take the actions specifically stated in the deposit agreement without negligence or bad faith.</w:t>
      </w:r>
    </w:p>
    <w:p>
      <w:pPr>
        <w:spacing w:after="0" w:line="102"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51" w:lineRule="exact"/>
        <w:rPr>
          <w:rFonts w:ascii="Times New Roman" w:cs="Times New Roman" w:eastAsia="Times New Roman" w:hAnsi="Times New Roman"/>
          <w:sz w:val="14"/>
          <w:szCs w:val="14"/>
          <w:color w:val="auto"/>
        </w:rPr>
      </w:pPr>
    </w:p>
    <w:p>
      <w:pPr>
        <w:ind w:left="2100" w:right="239" w:hanging="328"/>
        <w:spacing w:after="0" w:line="257"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359" w:hanging="328"/>
        <w:spacing w:after="0" w:line="283"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shall not be liable for acts or omissions of any successor depositary in connection with any matter arising wholly after the resignation or removal of the depositary.</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will not be obligated to perform any act that is inconsistent with the terms of the deposit agreement.</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59"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by-laws, or any provision of or governing the securities on deposit, or by reason of any act of God or war or other circumstances beyond our control.</w:t>
      </w:r>
    </w:p>
    <w:p>
      <w:pPr>
        <w:spacing w:after="0" w:line="67"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disclaim any liability by reason of any exercise of, or failure to exercise, any discretion provided for in the deposit agreement or in our by-laws or in any provisions of or governing the securities on deposit.</w:t>
      </w:r>
    </w:p>
    <w:p>
      <w:pPr>
        <w:spacing w:after="0" w:line="51" w:lineRule="exact"/>
        <w:rPr>
          <w:rFonts w:ascii="Times New Roman" w:cs="Times New Roman" w:eastAsia="Times New Roman" w:hAnsi="Times New Roman"/>
          <w:sz w:val="14"/>
          <w:szCs w:val="14"/>
          <w:color w:val="auto"/>
        </w:rPr>
      </w:pPr>
    </w:p>
    <w:p>
      <w:pPr>
        <w:ind w:left="2100" w:right="339" w:hanging="328"/>
        <w:spacing w:after="0" w:line="267"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62" w:lineRule="exact"/>
        <w:rPr>
          <w:rFonts w:ascii="Times New Roman" w:cs="Times New Roman" w:eastAsia="Times New Roman" w:hAnsi="Times New Roman"/>
          <w:sz w:val="14"/>
          <w:szCs w:val="14"/>
          <w:color w:val="auto"/>
        </w:rPr>
      </w:pPr>
    </w:p>
    <w:p>
      <w:pPr>
        <w:ind w:left="2100" w:right="499" w:hanging="328"/>
        <w:spacing w:after="0" w:line="267"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also disclaim liability for the inability by a holder or beneficial holder to benefit from any distribution, offering, right or other benefit that is made available to holders of ordinary shares but is not, under the terms of the deposit agreement, made available to you.</w:t>
      </w:r>
    </w:p>
    <w:p>
      <w:pPr>
        <w:spacing w:after="0" w:line="62"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may rely without any liability upon any written notice, request or other document believed to be genuine and to have been signed or presented by the proper parties.</w:t>
      </w:r>
    </w:p>
    <w:p>
      <w:pPr>
        <w:spacing w:after="0" w:line="51" w:lineRule="exact"/>
        <w:rPr>
          <w:rFonts w:ascii="Times New Roman" w:cs="Times New Roman" w:eastAsia="Times New Roman" w:hAnsi="Times New Roman"/>
          <w:sz w:val="14"/>
          <w:szCs w:val="14"/>
          <w:color w:val="auto"/>
        </w:rPr>
      </w:pPr>
    </w:p>
    <w:p>
      <w:pPr>
        <w:ind w:left="2100" w:right="799" w:hanging="328"/>
        <w:spacing w:after="0" w:line="283"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also disclaim liability for any consequential or punitive damages for any breach of the terms of the deposit agreement.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disclaimer of any Securities Act liability is intended by any provision of the deposit agreement.</w:t>
      </w:r>
    </w:p>
    <w:p>
      <w:pPr>
        <w:spacing w:after="0" w:line="176"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Nothing in the deposit agreement gives rise to a partnership or joint venture, or establishes a fiduciary relationship, among us, the depositary and you as ADS holder.</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34"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 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41"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Foreign Currency Conversion</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36"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52" w:lineRule="exact"/>
        <w:rPr>
          <w:sz w:val="20"/>
          <w:szCs w:val="20"/>
          <w:color w:val="auto"/>
        </w:rPr>
      </w:pPr>
    </w:p>
    <w:p>
      <w:pPr>
        <w:ind w:left="2100" w:right="359" w:hanging="328"/>
        <w:spacing w:after="0" w:line="283" w:lineRule="auto"/>
        <w:tabs>
          <w:tab w:leader="none" w:pos="2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the foreign currency to the extent practical and lawful and distribute the U.S. dollars to the holders for whom the conversion and distribution is lawful and practical.</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Distribute the foreign currency to holders for whom the distribution is lawful and practical.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the foreign currency (without liability for interest) for the applicable holders.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Law/Waiver of Jury Trial</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25"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As an owner of ADSs, you irrevocably agree that any legal action arising out of the Deposit Agreement, the ADSs or the ADRs involving us or the Depositary may only be instituted in a state or federal court in the city of New York and irrevocably waive any objection to the laying of venue in, and irrevocably submit to the exclusive jurisdiction of, such courts in any such legal action.</w:t>
      </w:r>
    </w:p>
    <w:p>
      <w:pPr>
        <w:spacing w:after="0" w:line="134" w:lineRule="exact"/>
        <w:rPr>
          <w:sz w:val="20"/>
          <w:szCs w:val="20"/>
          <w:color w:val="auto"/>
        </w:rPr>
      </w:pPr>
    </w:p>
    <w:p>
      <w:pPr>
        <w:ind w:left="1360" w:right="859"/>
        <w:spacing w:after="0" w:line="268" w:lineRule="auto"/>
        <w:rPr>
          <w:sz w:val="20"/>
          <w:szCs w:val="20"/>
          <w:color w:val="auto"/>
        </w:rPr>
      </w:pPr>
      <w:r>
        <w:rPr>
          <w:rFonts w:ascii="Times New Roman" w:cs="Times New Roman" w:eastAsia="Times New Roman" w:hAnsi="Times New Roman"/>
          <w:sz w:val="14"/>
          <w:szCs w:val="14"/>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3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w:t>
      </w:r>
      <w:r>
        <w:rPr>
          <w:rFonts w:ascii="Times New Roman" w:cs="Times New Roman" w:eastAsia="Times New Roman" w:hAnsi="Times New Roman"/>
          <w:sz w:val="14"/>
          <w:szCs w:val="14"/>
          <w:i w:val="1"/>
          <w:iCs w:val="1"/>
          <w:color w:val="auto"/>
        </w:rPr>
        <w:t>If we or the depositary opposed a jury trial demand based on the waiver, the court would determine whether the waiver was enforceable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6" w:lineRule="exact"/>
        <w:rPr>
          <w:sz w:val="20"/>
          <w:szCs w:val="20"/>
          <w:color w:val="auto"/>
        </w:rPr>
      </w:pPr>
    </w:p>
    <w:p>
      <w:pPr>
        <w:ind w:left="1360" w:right="239"/>
        <w:spacing w:after="0" w:line="268" w:lineRule="auto"/>
        <w:rPr>
          <w:sz w:val="20"/>
          <w:szCs w:val="20"/>
          <w:color w:val="auto"/>
        </w:rPr>
      </w:pPr>
      <w:r>
        <w:rPr>
          <w:rFonts w:ascii="Times New Roman" w:cs="Times New Roman" w:eastAsia="Times New Roman" w:hAnsi="Times New Roman"/>
          <w:sz w:val="14"/>
          <w:szCs w:val="14"/>
          <w:color w:val="auto"/>
        </w:rPr>
        <w:t>Warrants (</w:t>
      </w:r>
      <w:r>
        <w:rPr>
          <w:rFonts w:ascii="Times New Roman" w:cs="Times New Roman" w:eastAsia="Times New Roman" w:hAnsi="Times New Roman"/>
          <w:sz w:val="14"/>
          <w:szCs w:val="14"/>
          <w:i w:val="1"/>
          <w:iCs w:val="1"/>
          <w:color w:val="auto"/>
        </w:rPr>
        <w:t>bons de souscription d’actions)</w:t>
      </w:r>
      <w:r>
        <w:rPr>
          <w:rFonts w:ascii="Times New Roman" w:cs="Times New Roman" w:eastAsia="Times New Roman" w:hAnsi="Times New Roman"/>
          <w:sz w:val="14"/>
          <w:szCs w:val="14"/>
          <w:color w:val="auto"/>
        </w:rPr>
        <w:t xml:space="preserve"> may be offered separately or together with ordinary shares or ADSs. Each series of warrants will be issued under any separate warrant agreement to be entered into between us and one or more purchasers of such warrants. The applicable prospectus supplement will include details of the warrant agreements and terms and conditions covering the warrants being offered.</w:t>
      </w:r>
    </w:p>
    <w:p>
      <w:pPr>
        <w:spacing w:after="0" w:line="136"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particular terms of each issue or series of warrants will be described in the related prospectus supplement. If warrants for the purchase of ordinary shares or ADSs are offered, the description will include, where applicable:</w:t>
      </w:r>
    </w:p>
    <w:p>
      <w:pPr>
        <w:spacing w:after="0" w:line="52" w:lineRule="exact"/>
        <w:rPr>
          <w:sz w:val="20"/>
          <w:szCs w:val="20"/>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aggregate number of warrants offered;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warrants will be offered;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 in which the warrants are denominated;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102" w:lineRule="exact"/>
        <w:rPr>
          <w:rFonts w:ascii="Times New Roman" w:cs="Times New Roman" w:eastAsia="Times New Roman" w:hAnsi="Times New Roman"/>
          <w:sz w:val="14"/>
          <w:szCs w:val="14"/>
          <w:color w:val="auto"/>
        </w:rPr>
      </w:pPr>
    </w:p>
    <w:p>
      <w:pPr>
        <w:ind w:left="2100" w:right="639" w:hanging="328"/>
        <w:spacing w:after="0" w:line="283" w:lineRule="auto"/>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ordinary shares or ADSs that may be purchased upon exercise of each warrant and the price at which and currency or currencies in which that amount of ordinary shares or ADSs may be purchased upon exercise of each warrant;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or after which the warrants and the related ordinary shares or ADSs will be transferable separately;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or maximum amount, if any, of warrants that may be exercised at any one time;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subject to redemption or call, and, if so, the terms of such redemption or call provisions;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conditions and rights (or limitations on such rights) of the warrants.</w:t>
      </w:r>
    </w:p>
    <w:p>
      <w:pPr>
        <w:spacing w:after="0" w:line="176"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We reserve the right to set forth in a prospectus supplement or applicable free writing prospectus specific terms of the warrants that are not within the options and parameters set forth in this prospectus. In addition, to the extent that any particular terms and conditions of the warrants described in a prospectus supplement or applicable free writing prospectus differ from any of the terms described in this prospectus, the description of such terms and conditions set forth in this prospectus shall be deemed to have been superseded or supplemented by the description of such differing terms and conditions set forth in such prospectus supplement or applicable free writing prospectus with respect to such warrants.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8"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1" w:lineRule="exact"/>
        <w:rPr>
          <w:sz w:val="20"/>
          <w:szCs w:val="20"/>
          <w:color w:val="auto"/>
        </w:rPr>
      </w:pPr>
    </w:p>
    <w:p>
      <w:pPr>
        <w:jc w:val="both"/>
        <w:ind w:left="1360" w:right="239"/>
        <w:spacing w:after="0" w:line="261"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102" w:lineRule="exact"/>
        <w:rPr>
          <w:sz w:val="20"/>
          <w:szCs w:val="20"/>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319" w:hanging="328"/>
        <w:spacing w:after="0" w:line="261"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67"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67"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2"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2" w:lineRule="exact"/>
        <w:rPr>
          <w:rFonts w:ascii="Times New Roman" w:cs="Times New Roman" w:eastAsia="Times New Roman" w:hAnsi="Times New Roman"/>
          <w:sz w:val="14"/>
          <w:szCs w:val="14"/>
          <w:color w:val="auto"/>
        </w:rPr>
      </w:pPr>
    </w:p>
    <w:p>
      <w:pPr>
        <w:ind w:left="2100" w:right="53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1" w:lineRule="exact"/>
        <w:rPr>
          <w:rFonts w:ascii="Times New Roman" w:cs="Times New Roman" w:eastAsia="Times New Roman" w:hAnsi="Times New Roman"/>
          <w:sz w:val="14"/>
          <w:szCs w:val="14"/>
          <w:color w:val="auto"/>
        </w:rPr>
      </w:pPr>
    </w:p>
    <w:p>
      <w:pPr>
        <w:ind w:left="2100" w:right="579" w:hanging="328"/>
        <w:spacing w:after="0" w:line="267"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Times New Roman" w:cs="Times New Roman" w:eastAsia="Times New Roman" w:hAnsi="Times New Roman"/>
          <w:sz w:val="14"/>
          <w:szCs w:val="14"/>
          <w:color w:val="auto"/>
        </w:rPr>
      </w:pPr>
    </w:p>
    <w:p>
      <w:pPr>
        <w:ind w:left="2100" w:right="239" w:hanging="328"/>
        <w:spacing w:after="0" w:line="261"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7"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51" w:lineRule="exact"/>
        <w:rPr>
          <w:rFonts w:ascii="Times New Roman" w:cs="Times New Roman" w:eastAsia="Times New Roman" w:hAnsi="Times New Roman"/>
          <w:sz w:val="14"/>
          <w:szCs w:val="14"/>
          <w:color w:val="auto"/>
        </w:rPr>
      </w:pPr>
    </w:p>
    <w:p>
      <w:pPr>
        <w:ind w:left="2100" w:right="101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51" w:lineRule="exact"/>
        <w:rPr>
          <w:rFonts w:ascii="Times New Roman" w:cs="Times New Roman" w:eastAsia="Times New Roman" w:hAnsi="Times New Roman"/>
          <w:sz w:val="14"/>
          <w:szCs w:val="14"/>
          <w:color w:val="auto"/>
        </w:rPr>
      </w:pPr>
    </w:p>
    <w:p>
      <w:pPr>
        <w:ind w:left="5580" w:right="339" w:hanging="3808"/>
        <w:spacing w:after="0" w:line="456" w:lineRule="auto"/>
        <w:tabs>
          <w:tab w:leader="none" w:pos="21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47</w:t>
      </w:r>
    </w:p>
    <w:p>
      <w:pPr>
        <w:sectPr>
          <w:pgSz w:w="11900" w:h="16838" w:orient="portrait"/>
          <w:cols w:equalWidth="0" w:num="1">
            <w:col w:w="10159"/>
          </w:cols>
          <w:pgMar w:left="300" w:top="38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299" w:hanging="328"/>
        <w:spacing w:after="0" w:line="283" w:lineRule="auto"/>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51"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in certain circumstances;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4" w:lineRule="exact"/>
        <w:rPr>
          <w:sz w:val="20"/>
          <w:szCs w:val="20"/>
          <w:color w:val="auto"/>
        </w:rPr>
      </w:pPr>
    </w:p>
    <w:p>
      <w:pPr>
        <w:jc w:val="both"/>
        <w:ind w:left="1360" w:right="319"/>
        <w:spacing w:after="0" w:line="261"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2" w:lineRule="exact"/>
        <w:rPr>
          <w:sz w:val="20"/>
          <w:szCs w:val="20"/>
          <w:color w:val="auto"/>
        </w:rPr>
      </w:pPr>
    </w:p>
    <w:p>
      <w:pPr>
        <w:jc w:val="both"/>
        <w:ind w:left="2100" w:right="279" w:hanging="328"/>
        <w:spacing w:after="0" w:line="267" w:lineRule="auto"/>
        <w:tabs>
          <w:tab w:leader="none" w:pos="21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2" w:lineRule="exact"/>
        <w:rPr>
          <w:rFonts w:ascii="Times New Roman" w:cs="Times New Roman" w:eastAsia="Times New Roman" w:hAnsi="Times New Roman"/>
          <w:sz w:val="14"/>
          <w:szCs w:val="14"/>
          <w:color w:val="auto"/>
        </w:rPr>
      </w:pPr>
    </w:p>
    <w:p>
      <w:pPr>
        <w:ind w:left="2100" w:right="279" w:hanging="328"/>
        <w:spacing w:after="0" w:line="261" w:lineRule="auto"/>
        <w:tabs>
          <w:tab w:leader="none" w:pos="21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7" w:lineRule="exact"/>
        <w:rPr>
          <w:rFonts w:ascii="Times New Roman" w:cs="Times New Roman" w:eastAsia="Times New Roman" w:hAnsi="Times New Roman"/>
          <w:sz w:val="14"/>
          <w:szCs w:val="14"/>
          <w:color w:val="auto"/>
        </w:rPr>
      </w:pPr>
    </w:p>
    <w:p>
      <w:pPr>
        <w:ind w:left="2100" w:right="239" w:hanging="328"/>
        <w:spacing w:after="0" w:line="261" w:lineRule="auto"/>
        <w:tabs>
          <w:tab w:leader="none" w:pos="21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7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99"/>
        <w:spacing w:after="0" w:line="261" w:lineRule="auto"/>
        <w:rPr>
          <w:sz w:val="20"/>
          <w:szCs w:val="20"/>
          <w:color w:val="auto"/>
        </w:rPr>
      </w:pPr>
      <w:r>
        <w:rPr>
          <w:rFonts w:ascii="Times New Roman" w:cs="Times New Roman" w:eastAsia="Times New Roman" w:hAnsi="Times New Roman"/>
          <w:sz w:val="14"/>
          <w:szCs w:val="14"/>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6"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and, if requested, provided the trustee indemnity or security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8" w:lineRule="exact"/>
        <w:rPr>
          <w:sz w:val="20"/>
          <w:szCs w:val="20"/>
          <w:color w:val="auto"/>
        </w:rPr>
      </w:pPr>
    </w:p>
    <w:p>
      <w:pPr>
        <w:ind w:left="2100" w:hanging="328"/>
        <w:spacing w:after="0"/>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 (it being understood that the trustee shall have no obligation to determine whether any action is prejudicial to the holders).</w:t>
      </w:r>
    </w:p>
    <w:p>
      <w:pPr>
        <w:spacing w:after="0" w:line="13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52" w:lineRule="exact"/>
        <w:rPr>
          <w:sz w:val="20"/>
          <w:szCs w:val="20"/>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and, if requested, provided to the trustee indemnity or security satisfactory to it against the costs, expenses and liabilities to be incurred by the trustee in compliance with the request; and</w:t>
      </w:r>
    </w:p>
    <w:p>
      <w:pPr>
        <w:spacing w:after="0" w:line="51"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25"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102" w:lineRule="exact"/>
        <w:rPr>
          <w:sz w:val="20"/>
          <w:szCs w:val="20"/>
          <w:color w:val="auto"/>
        </w:rPr>
      </w:pPr>
    </w:p>
    <w:p>
      <w:pPr>
        <w:ind w:left="2100" w:hanging="328"/>
        <w:spacing w:after="0"/>
        <w:tabs>
          <w:tab w:leader="none" w:pos="21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359" w:hanging="328"/>
        <w:spacing w:after="0" w:line="261"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7" w:lineRule="exact"/>
        <w:rPr>
          <w:rFonts w:ascii="Times New Roman" w:cs="Times New Roman" w:eastAsia="Times New Roman" w:hAnsi="Times New Roman"/>
          <w:sz w:val="14"/>
          <w:szCs w:val="14"/>
          <w:color w:val="auto"/>
        </w:rPr>
      </w:pPr>
    </w:p>
    <w:p>
      <w:pPr>
        <w:ind w:left="2100" w:right="839" w:hanging="328"/>
        <w:spacing w:after="0" w:line="283"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102" w:lineRule="exact"/>
        <w:rPr>
          <w:rFonts w:ascii="Times New Roman" w:cs="Times New Roman" w:eastAsia="Times New Roman" w:hAnsi="Times New Roman"/>
          <w:sz w:val="14"/>
          <w:szCs w:val="14"/>
          <w:color w:val="auto"/>
        </w:rPr>
      </w:pPr>
    </w:p>
    <w:p>
      <w:pPr>
        <w:jc w:val="both"/>
        <w:ind w:left="2100" w:right="339" w:hanging="328"/>
        <w:spacing w:after="0" w:line="267"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22"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2" w:lineRule="exact"/>
        <w:rPr>
          <w:sz w:val="20"/>
          <w:szCs w:val="20"/>
          <w:color w:val="auto"/>
        </w:rPr>
      </w:pPr>
    </w:p>
    <w:p>
      <w:pPr>
        <w:ind w:left="2100" w:hanging="328"/>
        <w:spacing w:after="0"/>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52" w:lineRule="exact"/>
        <w:rPr>
          <w:sz w:val="20"/>
          <w:szCs w:val="20"/>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76"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1"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6"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1" w:lineRule="exact"/>
        <w:rPr>
          <w:sz w:val="20"/>
          <w:szCs w:val="20"/>
          <w:color w:val="auto"/>
        </w:rPr>
      </w:pPr>
    </w:p>
    <w:p>
      <w:pPr>
        <w:jc w:val="both"/>
        <w:ind w:left="1360" w:right="339"/>
        <w:spacing w:after="0" w:line="261"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and the trustee will not be required to:</w:t>
      </w:r>
    </w:p>
    <w:p>
      <w:pPr>
        <w:spacing w:after="0" w:line="102" w:lineRule="exact"/>
        <w:rPr>
          <w:sz w:val="20"/>
          <w:szCs w:val="20"/>
          <w:color w:val="auto"/>
        </w:rPr>
      </w:pPr>
    </w:p>
    <w:p>
      <w:pPr>
        <w:jc w:val="both"/>
        <w:ind w:left="2100" w:right="419" w:hanging="328"/>
        <w:spacing w:after="0" w:line="267" w:lineRule="auto"/>
        <w:tabs>
          <w:tab w:leader="none" w:pos="21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and, if requested, provided security and indemnity satisfactory to the trustee against the costs, expenses and liabilities that it might incur.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4"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Subject to applicable abandoned property law, 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4"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of 1939 is applicable.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8"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material French and U.S. federal income tax consequences relating to the purchase, ownership, conversion and, as applicable, disposition of any of the securities offered by this prospectus will be set forth in the prospectus supplement pertaining to those securities.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our ordinary shares, including ordinary shares represented by the ADSs, and certain other matters governed by French law will be passed on for us by Orrick, Herrington &amp; Sutcliffe (Europe) LLP, Paris, France. Unless otherwise indicated in any prospectus supplement, Cooley LLP, New York, New York, will be representing us in regards to certain matters governed by U.S. law in connection with any offering. Additional legal matters may be passed upon for any underwriters, dealers or agents by counsel that we will name in the applicable prospectus supplement.</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by reference to our Annual Report on Form 20-F for the year ended December 31, 2025 have been so incorporated in reliance on the report of PricewaterhouseCoopers Audit, an independent registered public accounting firm, given on the authority of said firm as experts in accounting and auditing.</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offices of PricewaterhouseCoopers Audit are located at 63, rue de Villiers, 92208 Neuilly-sur-Seine, France.</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6" w:lineRule="exact"/>
        <w:rPr>
          <w:sz w:val="20"/>
          <w:szCs w:val="20"/>
          <w:color w:val="auto"/>
        </w:rPr>
      </w:pPr>
    </w:p>
    <w:p>
      <w:pPr>
        <w:ind w:left="1360" w:right="259"/>
        <w:spacing w:after="0" w:line="327" w:lineRule="auto"/>
        <w:rPr>
          <w:sz w:val="20"/>
          <w:szCs w:val="20"/>
          <w:color w:val="auto"/>
        </w:rPr>
      </w:pPr>
      <w:r>
        <w:rPr>
          <w:rFonts w:ascii="Times New Roman" w:cs="Times New Roman" w:eastAsia="Times New Roman" w:hAnsi="Times New Roman"/>
          <w:sz w:val="13"/>
          <w:szCs w:val="13"/>
          <w:color w:val="auto"/>
        </w:rPr>
        <w:t xml:space="preserve">We are a </w:t>
      </w:r>
      <w:r>
        <w:rPr>
          <w:rFonts w:ascii="Times New Roman" w:cs="Times New Roman" w:eastAsia="Times New Roman" w:hAnsi="Times New Roman"/>
          <w:sz w:val="13"/>
          <w:szCs w:val="13"/>
          <w:i w:val="1"/>
          <w:iCs w:val="1"/>
          <w:color w:val="auto"/>
        </w:rPr>
        <w:t>société anonyme</w:t>
      </w:r>
      <w:r>
        <w:rPr>
          <w:rFonts w:ascii="Times New Roman" w:cs="Times New Roman" w:eastAsia="Times New Roman" w:hAnsi="Times New Roman"/>
          <w:sz w:val="13"/>
          <w:szCs w:val="13"/>
          <w:color w:val="auto"/>
        </w:rPr>
        <w:t>, organized under the laws of France. The majority of our directors and officers are residents of countries other than the United States, and the majority of our assets are located outside of the United States. We have appointed an agent for service of process in the United States.</w:t>
      </w:r>
    </w:p>
    <w:p>
      <w:pPr>
        <w:spacing w:after="0" w:line="1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Accordingly, U.S. investors may find it difficult and may be unable:</w:t>
      </w:r>
    </w:p>
    <w:p>
      <w:pPr>
        <w:spacing w:after="0" w:line="102" w:lineRule="exact"/>
        <w:rPr>
          <w:sz w:val="20"/>
          <w:szCs w:val="20"/>
          <w:color w:val="auto"/>
        </w:rPr>
      </w:pPr>
    </w:p>
    <w:p>
      <w:pPr>
        <w:ind w:left="2100" w:right="679" w:hanging="328"/>
        <w:spacing w:after="0" w:line="283" w:lineRule="auto"/>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obtain jurisdiction over us or our non-U.S. resident officers and directors in U.S. courts in actions predicated on the civil liability provisions of the U.S. federal securities laws;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enforce judgments obtained in such actions against us or our non-U.S. resident officers and directors;</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bring an original action in a French court to enforce liabilities based upon the U.S. federal securities laws against us or our officers or directors; and</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enforce against us or our officers or directors in non-U.S. courts, including French courts, judgments of U.S. courts predicated upon the civil liability provisions of the U.S. federal securities laws.</w:t>
      </w:r>
    </w:p>
    <w:p>
      <w:pPr>
        <w:spacing w:after="0" w:line="125" w:lineRule="exact"/>
        <w:rPr>
          <w:sz w:val="20"/>
          <w:szCs w:val="20"/>
          <w:color w:val="auto"/>
        </w:rPr>
      </w:pPr>
    </w:p>
    <w:p>
      <w:pPr>
        <w:ind w:left="1360" w:right="359"/>
        <w:spacing w:after="0" w:line="256" w:lineRule="auto"/>
        <w:rPr>
          <w:sz w:val="20"/>
          <w:szCs w:val="20"/>
          <w:color w:val="auto"/>
        </w:rPr>
      </w:pPr>
      <w:r>
        <w:rPr>
          <w:rFonts w:ascii="Times New Roman" w:cs="Times New Roman" w:eastAsia="Times New Roman" w:hAnsi="Times New Roman"/>
          <w:sz w:val="14"/>
          <w:szCs w:val="14"/>
          <w:color w:val="auto"/>
        </w:rPr>
        <w:t>In addition, actions in the United States under U.S. federal securities laws could be affected under certain circumstances by French Law No. 68-678 of July 26, 1968 (relating to the communication of documents and information of an economic, commercial, industrial, financial or technical nature to foreign authorities or persons), as amended by French Law No. 80-538 of July 16, 1980, and French Ordinance No. 2000-916 of September 19, 2000, and as further specified by Decree No. 2022-707 of February 18, 2022 and Order of March 7, 2022, which may preclude or restrict the obtaining of evidence in France or from French persons in connection with those actions. As a result of the above regulations, the U.S. authorities would have to comply with applicable international treaties or agreements and laws and regulations in force (such as the 1970 Hague Convention on the Taking of Evidence Abroad).</w:t>
      </w:r>
    </w:p>
    <w:p>
      <w:pPr>
        <w:spacing w:after="0" w:line="145"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Similarly, French data protection rules (Law No. 78-17 of January 6, 1978 on data processing, data files and individual liberties, as modified) and the General Data Protection Regulation (i.e., Regulation (EU) 2016/679 of the European Parliament and of the Council of April 27, 2016) can limit under certain circumstances the possibility of obtaining information in France or from French persons in connection with a U.S. action.</w:t>
      </w:r>
    </w:p>
    <w:p>
      <w:pPr>
        <w:spacing w:after="0" w:line="136"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Nevertheless, a final judgment for the payment of money rendered by any federal or state court in the United States based on civil liability, whether or not predicated solely upon the U.S. federal securities laws, would be recognized and be enforceable in France provided that a French judge considers that this judgment meets the requirements under the French rules of international private law concerning the recognition and the enforcement of foreign judgments and is capable of being immediately enforced in the United States. A French court is therefore likely to grant the enforcement of a foreign judgment without a review of the substantive matters thereby adjudicated, only if: (1) the United States federal or state court has jurisdiction and the dispute is clearly connected to the territory of the court which rendered the judgment (2) the judgment is not tainted by fraud, (3) the judgment complies with French substantive and procedural rules of international public policy (</w:t>
      </w:r>
      <w:r>
        <w:rPr>
          <w:rFonts w:ascii="Times New Roman" w:cs="Times New Roman" w:eastAsia="Times New Roman" w:hAnsi="Times New Roman"/>
          <w:sz w:val="14"/>
          <w:szCs w:val="14"/>
          <w:i w:val="1"/>
          <w:iCs w:val="1"/>
          <w:color w:val="auto"/>
        </w:rPr>
        <w:t>ordre public international</w:t>
      </w:r>
      <w:r>
        <w:rPr>
          <w:rFonts w:ascii="Times New Roman" w:cs="Times New Roman" w:eastAsia="Times New Roman" w:hAnsi="Times New Roman"/>
          <w:sz w:val="14"/>
          <w:szCs w:val="14"/>
          <w:color w:val="auto"/>
        </w:rPr>
        <w:t>), including principles of due process (</w:t>
      </w:r>
      <w:r>
        <w:rPr>
          <w:rFonts w:ascii="Times New Roman" w:cs="Times New Roman" w:eastAsia="Times New Roman" w:hAnsi="Times New Roman"/>
          <w:sz w:val="14"/>
          <w:szCs w:val="14"/>
          <w:i w:val="1"/>
          <w:iCs w:val="1"/>
          <w:color w:val="auto"/>
        </w:rPr>
        <w:t>principe du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contradictoire</w:t>
      </w:r>
      <w:r>
        <w:rPr>
          <w:rFonts w:ascii="Times New Roman" w:cs="Times New Roman" w:eastAsia="Times New Roman" w:hAnsi="Times New Roman"/>
          <w:sz w:val="14"/>
          <w:szCs w:val="14"/>
          <w:color w:val="auto"/>
        </w:rPr>
        <w:t>) and notably the right to a fair trial, and (4) the judgment is not irreconcilable with an earlier judgment rendered or recognized by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French court in the same or related matter. The French court may require all relevant supporting documents to be translated into the French language by a “sworn translator” (</w:t>
      </w:r>
      <w:r>
        <w:rPr>
          <w:rFonts w:ascii="Times New Roman" w:cs="Times New Roman" w:eastAsia="Times New Roman" w:hAnsi="Times New Roman"/>
          <w:sz w:val="14"/>
          <w:szCs w:val="14"/>
          <w:i w:val="1"/>
          <w:iCs w:val="1"/>
          <w:color w:val="auto"/>
        </w:rPr>
        <w:t>traducteur assermenté</w:t>
      </w:r>
      <w:r>
        <w:rPr>
          <w:rFonts w:ascii="Times New Roman" w:cs="Times New Roman" w:eastAsia="Times New Roman" w:hAnsi="Times New Roman"/>
          <w:sz w:val="14"/>
          <w:szCs w:val="14"/>
          <w:color w:val="auto"/>
        </w:rPr>
        <w:t>) as a condition to their admissibility into evidence or for purposes of enforcement. The decision granting exequatur is subject to appeal, with the appeal court decision also being rendered on the basis of the above-mentioned criteria.</w:t>
      </w:r>
    </w:p>
    <w:p>
      <w:pPr>
        <w:spacing w:after="0" w:line="146"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judgment awarding punitive and exemplary damages well above actual damages would be granted enforcement in France.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Finally, if an original action is brought in France, French courts may refuse to apply foreign law designated by the applicable French rules of conflict (including the law chosen by the parties to govern their contract) if the application of such law is deemed to contravene French international public policy or in case of overriding mandatory rules (as determined on a case by case basis by French courts) or, where all other elements relevant to the situation at the time of the choice are located in a country other than the country whose law has been chosen, the choice of the parties shall not prejudice the application of provisions of the law of that other country which cannot be derogated from by agreement. Furthermore, in an action brought in France on the basis of U.S. federal or state securities laws, French courts may not have the requisite power to grant all the remedies sought.</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As a result,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France,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and directors and our principal shareholders are exempt from the short-swing profit recovery provisions contained in Section 16 of the Exchange Act.</w:t>
      </w:r>
    </w:p>
    <w:p>
      <w:pPr>
        <w:spacing w:after="0" w:line="14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 xml:space="preserve">The SEC maintains a web 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We also maintain a website at www.abivax.com through which you can access our SEC filings. The information set forth on our website is not part of this prospectus.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78"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74" w:lineRule="exact"/>
        <w:rPr>
          <w:sz w:val="20"/>
          <w:szCs w:val="20"/>
          <w:color w:val="auto"/>
        </w:rPr>
      </w:pPr>
    </w:p>
    <w:p>
      <w:pPr>
        <w:ind w:left="2100" w:hanging="328"/>
        <w:spacing w:after="0"/>
        <w:tabs>
          <w:tab w:leader="none" w:pos="2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20-F for the fiscal year ended December 31, 2025, filed with the SEC on </w:t>
      </w:r>
      <w:hyperlink r:id="rId153">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auto"/>
        </w:rPr>
        <w:t>;</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71"/>
        </w:numPr>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auto"/>
          </w:rPr>
          <w:t xml:space="preserve">our Reports on Form 6-K filed with the SEC on </w:t>
        </w:r>
        <w:r>
          <w:rPr>
            <w:rFonts w:ascii="Times New Roman" w:cs="Times New Roman" w:eastAsia="Times New Roman" w:hAnsi="Times New Roman"/>
            <w:sz w:val="14"/>
            <w:szCs w:val="14"/>
            <w:u w:val="single" w:color="auto"/>
            <w:color w:val="0000EE"/>
          </w:rPr>
          <w:t>February 23,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2,</w:t>
        </w:r>
      </w:hyperlink>
      <w:r>
        <w:rPr>
          <w:rFonts w:ascii="Times New Roman" w:cs="Times New Roman" w:eastAsia="Times New Roman" w:hAnsi="Times New Roman"/>
          <w:sz w:val="14"/>
          <w:szCs w:val="14"/>
          <w:color w:val="auto"/>
        </w:rPr>
        <w:t xml:space="preserve"> </w:t>
      </w:r>
      <w:hyperlink r:id="rId73">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74">
        <w:r>
          <w:rPr>
            <w:rFonts w:ascii="Times New Roman" w:cs="Times New Roman" w:eastAsia="Times New Roman" w:hAnsi="Times New Roman"/>
            <w:sz w:val="14"/>
            <w:szCs w:val="14"/>
            <w:u w:val="single" w:color="auto"/>
            <w:color w:val="0000EE"/>
          </w:rPr>
          <w:t>June 29, 2026</w:t>
        </w:r>
      </w:hyperlink>
      <w:hyperlink r:id="rId73">
        <w:r>
          <w:rPr>
            <w:rFonts w:ascii="Times New Roman" w:cs="Times New Roman" w:eastAsia="Times New Roman" w:hAnsi="Times New Roman"/>
            <w:sz w:val="14"/>
            <w:szCs w:val="14"/>
            <w:color w:val="000000"/>
          </w:rPr>
          <w:t>, solely to the extent the information in such reports has been incorporated by reference into the registration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statement of which this prospectus forms a part; and</w:t>
      </w:r>
    </w:p>
    <w:p>
      <w:pPr>
        <w:spacing w:after="0" w:line="62" w:lineRule="exact"/>
        <w:rPr>
          <w:rFonts w:ascii="Times New Roman" w:cs="Times New Roman" w:eastAsia="Times New Roman" w:hAnsi="Times New Roman"/>
          <w:sz w:val="14"/>
          <w:szCs w:val="14"/>
          <w:color w:val="0000EE"/>
        </w:rPr>
      </w:pPr>
    </w:p>
    <w:p>
      <w:pPr>
        <w:ind w:left="2100" w:right="479" w:hanging="328"/>
        <w:spacing w:after="0" w:line="267" w:lineRule="auto"/>
        <w:tabs>
          <w:tab w:leader="none" w:pos="2100" w:val="left"/>
        </w:tabs>
        <w:numPr>
          <w:ilvl w:val="0"/>
          <w:numId w:val="71"/>
        </w:numPr>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auto"/>
        </w:rPr>
        <w:t xml:space="preserve">the description of ADSs representing our ordinary shares contained in our Registration Statement on Form 8-A filed with the SEC on </w:t>
      </w:r>
      <w:hyperlink r:id="rId75">
        <w:r>
          <w:rPr>
            <w:rFonts w:ascii="Times New Roman" w:cs="Times New Roman" w:eastAsia="Times New Roman" w:hAnsi="Times New Roman"/>
            <w:sz w:val="14"/>
            <w:szCs w:val="14"/>
            <w:u w:val="single" w:color="auto"/>
            <w:color w:val="0000EE"/>
          </w:rPr>
          <w:t>October 18, 2023</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including any amendments or reports filed for the purpose of updating such description, including Exhibit 2.3 to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Annual Report on Form 20-F for the fiscal year ended December 31, 2025, filed with the SEC on </w:t>
      </w:r>
      <w:hyperlink r:id="rId72">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000000"/>
        </w:rPr>
        <w:t>.</w:t>
      </w:r>
    </w:p>
    <w:p>
      <w:pPr>
        <w:spacing w:after="0" w:line="136" w:lineRule="exact"/>
        <w:rPr>
          <w:rFonts w:ascii="Times New Roman" w:cs="Times New Roman" w:eastAsia="Times New Roman" w:hAnsi="Times New Roman"/>
          <w:sz w:val="14"/>
          <w:szCs w:val="14"/>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prospectus. In all cases, you should rely on the later information over different information included in this prospectus or any accompanying prospectus supplement.</w:t>
      </w:r>
    </w:p>
    <w:p>
      <w:pPr>
        <w:spacing w:after="0" w:line="141" w:lineRule="exact"/>
        <w:rPr>
          <w:rFonts w:ascii="Times New Roman" w:cs="Times New Roman" w:eastAsia="Times New Roman" w:hAnsi="Times New Roman"/>
          <w:sz w:val="14"/>
          <w:szCs w:val="14"/>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3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Abivax SA</w:t>
      </w:r>
    </w:p>
    <w:p>
      <w:pPr>
        <w:spacing w:after="0" w:line="2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7-11 boulevard Haussmann</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75009 Paris</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France</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+33 (0) 1 53 83 09 63</w:t>
      </w:r>
    </w:p>
    <w:p>
      <w:pPr>
        <w:spacing w:after="0" w:line="159" w:lineRule="exact"/>
        <w:rPr>
          <w:rFonts w:ascii="Times New Roman" w:cs="Times New Roman" w:eastAsia="Times New Roman" w:hAnsi="Times New Roman"/>
          <w:sz w:val="14"/>
          <w:szCs w:val="14"/>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color w:val="auto"/>
        </w:rPr>
        <w:t xml:space="preserve">You may also access these documents on our website, </w:t>
      </w:r>
      <w:r>
        <w:rPr>
          <w:rFonts w:ascii="Times New Roman" w:cs="Times New Roman" w:eastAsia="Times New Roman" w:hAnsi="Times New Roman"/>
          <w:sz w:val="14"/>
          <w:szCs w:val="14"/>
          <w:i w:val="1"/>
          <w:iCs w:val="1"/>
          <w:color w:val="auto"/>
        </w:rPr>
        <w:t>www.abivax.com</w:t>
      </w:r>
      <w:r>
        <w:rPr>
          <w:rFonts w:ascii="Times New Roman" w:cs="Times New Roman" w:eastAsia="Times New Roman" w:hAnsi="Times New Roman"/>
          <w:sz w:val="14"/>
          <w:szCs w:val="14"/>
          <w:color w:val="auto"/>
        </w:rPr>
        <w:t>. The information contained on, or that can be accessed through, our website is not a part of this prospectus. We have included our website address in this prospectus solely as an inactive textual reference.</w:t>
      </w:r>
    </w:p>
    <w:p>
      <w:pPr>
        <w:spacing w:after="0" w:line="123" w:lineRule="exact"/>
        <w:rPr>
          <w:rFonts w:ascii="Times New Roman" w:cs="Times New Roman" w:eastAsia="Times New Roman" w:hAnsi="Times New Roman"/>
          <w:sz w:val="14"/>
          <w:szCs w:val="14"/>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89"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6"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78" w:lineRule="exact"/>
        <w:rPr>
          <w:sz w:val="20"/>
          <w:szCs w:val="20"/>
          <w:color w:val="auto"/>
        </w:rPr>
      </w:pPr>
    </w:p>
    <w:p>
      <w:pPr>
        <w:jc w:val="both"/>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fees and expenses payable by the registrant, other than underwriting discounts and commissions, in connection with the issuance and distribution of the securities being registered hereby. All amounts set forth below are estimates. All of such expenses are being borne by the registrant.</w:t>
      </w:r>
    </w:p>
    <w:p>
      <w:pPr>
        <w:spacing w:after="0" w:line="142"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3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U.S.</w:t>
            </w:r>
          </w:p>
        </w:tc>
      </w:tr>
      <w:tr>
        <w:trPr>
          <w:trHeight w:val="135"/>
        </w:trPr>
        <w:tc>
          <w:tcPr>
            <w:tcW w:w="3580" w:type="dxa"/>
            <w:vAlign w:val="bottom"/>
            <w:tcBorders>
              <w:bottom w:val="single" w:sz="8" w:color="CCEEFF"/>
            </w:tcBorders>
          </w:tcPr>
          <w:p>
            <w:pPr>
              <w:spacing w:after="0"/>
              <w:rPr>
                <w:sz w:val="11"/>
                <w:szCs w:val="11"/>
                <w:color w:val="auto"/>
              </w:rPr>
            </w:pPr>
          </w:p>
        </w:tc>
        <w:tc>
          <w:tcPr>
            <w:tcW w:w="18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dollar</w:t>
            </w:r>
          </w:p>
        </w:tc>
        <w:tc>
          <w:tcPr>
            <w:tcW w:w="80" w:type="dxa"/>
            <w:vAlign w:val="bottom"/>
            <w:tcBorders>
              <w:bottom w:val="single" w:sz="8" w:color="CCEEFF"/>
            </w:tcBorders>
          </w:tcPr>
          <w:p>
            <w:pPr>
              <w:spacing w:after="0"/>
              <w:rPr>
                <w:sz w:val="11"/>
                <w:szCs w:val="11"/>
                <w:color w:val="auto"/>
              </w:rPr>
            </w:pPr>
          </w:p>
        </w:tc>
      </w:tr>
      <w:tr>
        <w:trPr>
          <w:trHeight w:val="159"/>
        </w:trPr>
        <w:tc>
          <w:tcPr>
            <w:tcW w:w="35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SEC registration fee</w:t>
            </w: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2000" w:type="dxa"/>
            <w:vAlign w:val="bottom"/>
            <w:gridSpan w:val="2"/>
          </w:tcPr>
          <w:p>
            <w:pPr>
              <w:ind w:left="18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r>
    </w:tbl>
    <w:p>
      <w:pPr>
        <w:spacing w:after="0" w:line="80" w:lineRule="exact"/>
        <w:rPr>
          <w:sz w:val="20"/>
          <w:szCs w:val="20"/>
          <w:color w:val="auto"/>
        </w:rPr>
      </w:pPr>
    </w:p>
    <w:p>
      <w:pPr>
        <w:ind w:left="1680" w:right="679" w:hanging="329"/>
        <w:spacing w:after="0" w:line="261" w:lineRule="auto"/>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registration statement relates to the registration of securities having an indeterminate maximum aggregate amount. Payment of the registration fee has been deferred and will be calculated and paid in accordance with Rule 456(b) and Rule 457(r) under the Securities Act.</w:t>
      </w:r>
    </w:p>
    <w:p>
      <w:pPr>
        <w:spacing w:after="0" w:line="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196215</wp:posOffset>
            </wp:positionV>
            <wp:extent cx="545211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5452110" cy="1333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236220</wp:posOffset>
            </wp:positionV>
            <wp:extent cx="545211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510540</wp:posOffset>
            </wp:positionV>
            <wp:extent cx="2900045" cy="414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2900045" cy="414020"/>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6,400,000</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American Depositary Shares</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306705</wp:posOffset>
            </wp:positionV>
            <wp:extent cx="114935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192405</wp:posOffset>
            </wp:positionV>
            <wp:extent cx="114935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pacing w:after="0" w:line="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Piper Sandler</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Guggenheim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326390</wp:posOffset>
            </wp:positionV>
            <wp:extent cx="11493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Bookrunning Manager</w:t>
      </w:r>
    </w:p>
    <w:p>
      <w:pPr>
        <w:spacing w:after="0" w:line="8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LifeSci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315595</wp:posOffset>
            </wp:positionV>
            <wp:extent cx="11493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Lead Manager</w:t>
      </w:r>
    </w:p>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Van Lanschot Kempen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319405</wp:posOffset>
            </wp:positionV>
            <wp:extent cx="114935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356235</wp:posOffset>
            </wp:positionV>
            <wp:extent cx="545211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402590</wp:posOffset>
            </wp:positionV>
            <wp:extent cx="545211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545211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114" w:name="page115"/>
    <w:bookmarkEnd w:id="114"/>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Abivax S.A.</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nominal</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7,360,000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$ 125.00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$ 127,052.00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920,000,000.00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euro 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$ 127,052.00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920,000,000.00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$ 127,052.00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140" w:hanging="184"/>
        <w:spacing w:after="0" w:line="231" w:lineRule="auto"/>
        <w:tabs>
          <w:tab w:leader="none" w:pos="220" w:val="left"/>
        </w:tabs>
        <w:numPr>
          <w:ilvl w:val="0"/>
          <w:numId w:val="73"/>
        </w:numPr>
        <w:rPr>
          <w:rFonts w:ascii="Arial" w:cs="Arial" w:eastAsia="Arial" w:hAnsi="Arial"/>
          <w:sz w:val="21"/>
          <w:szCs w:val="21"/>
          <w:color w:val="auto"/>
          <w:vertAlign w:val="superscript"/>
        </w:rPr>
      </w:pPr>
      <w:r>
        <w:rPr>
          <w:rFonts w:ascii="Arial" w:cs="Arial" w:eastAsia="Arial" w:hAnsi="Arial"/>
          <w:sz w:val="17"/>
          <w:szCs w:val="17"/>
          <w:color w:val="auto"/>
        </w:rPr>
        <w:t>Includes 960,000 ordinary shares that the underwriters have an option to purchase. These ordinary shares are represented by American Depositary Shares ("ADSs") of Abivax SA (the "Registrant"). Each ADS represents the right to receive one ordinary share, nominal value 0.01 euro per share ("Ordinary Shares") of the Registrant. ADSs issuable upon deposit of the ordinary shares registered hereby were registered pursuant to the Registrant's Registration Statement on Form F-6 (File No. 333-274845). 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F-3 (Registration No. 333-288884) (the "Registration Statement"). This "Calculation of Filing Fee Tables" shall be deemed to update the "Calculation of Filing Fee Tables" filed as Exhibit 107 to the Registration Statement in accordance with Rules 456(b) and 457(r) under the Securities Act. The proposed maximum offering price per unit is estimated in accordance with Rule 457(a)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14819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-998220</wp:posOffset>
            </wp:positionV>
            <wp:extent cx="12700" cy="23844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12700" cy="23844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-998220</wp:posOffset>
            </wp:positionV>
            <wp:extent cx="12700" cy="23844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12700" cy="238442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8825" cy="2540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08825" cy="2540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8825" cy="2540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08825" cy="2540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240"/>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7"/>
          </w:tcPr>
          <w:p>
            <w:pPr>
              <w:ind w:left="60"/>
              <w:spacing w:after="0"/>
              <w:rPr>
                <w:sz w:val="20"/>
                <w:szCs w:val="20"/>
                <w:color w:val="auto"/>
              </w:rPr>
            </w:pPr>
            <w:r>
              <w:rPr>
                <w:rFonts w:ascii="Arial" w:cs="Arial" w:eastAsia="Arial" w:hAnsi="Arial"/>
                <w:sz w:val="17"/>
                <w:szCs w:val="17"/>
                <w:b w:val="1"/>
                <w:bCs w:val="1"/>
                <w:color w:val="auto"/>
                <w:w w:val="97"/>
              </w:rPr>
              <w:t>Narrative Disclosure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42" w:right="239" w:bottom="0" w:gutter="0" w:footer="0" w:header="0"/>
        </w:sectPr>
      </w:pPr>
    </w:p>
    <w:bookmarkStart w:id="115" w:name="page116"/>
    <w:bookmarkEnd w:id="115"/>
    <w:p>
      <w:pPr>
        <w:jc w:val="center"/>
        <w:spacing w:after="0" w:line="266" w:lineRule="auto"/>
        <w:rPr>
          <w:sz w:val="20"/>
          <w:szCs w:val="20"/>
          <w:color w:val="auto"/>
        </w:rPr>
      </w:pPr>
      <w:r>
        <w:rPr>
          <w:rFonts w:ascii="Arial" w:cs="Arial" w:eastAsia="Arial" w:hAnsi="Arial"/>
          <w:sz w:val="17"/>
          <w:szCs w:val="17"/>
          <w:color w:val="auto"/>
        </w:rPr>
        <w:t>The maximum aggregate offering price of the securities to which the prospectus relates is $920,000,000.00. The prospectus is a final prospectus for the related offering.</w:t>
      </w:r>
    </w:p>
    <w:sectPr>
      <w:pgSz w:w="11900" w:h="16838" w:orient="portrait"/>
      <w:cols w:equalWidth="0" w:num="1">
        <w:col w:w="11000"/>
      </w:cols>
      <w:pgMar w:left="440" w:top="11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lvl w:ilvl="1">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lowerRoman"/>
      <w:start w:val="1"/>
    </w:lvl>
  </w:abstractNum>
  <w:abstractNum w:abstractNumId="16">
    <w:nsid w:val="57E4CCAF"/>
    <w:multiLevelType w:val="hybridMultilevel"/>
    <w:lvl w:ilvl="0">
      <w:lvlJc w:val="left"/>
      <w:lvlText w:val="(%1)"/>
      <w:numFmt w:val="lowerLetter"/>
      <w:start w:val="1"/>
    </w:lvl>
  </w:abstractNum>
  <w:abstractNum w:abstractNumId="17">
    <w:nsid w:val="7A6D8D3C"/>
    <w:multiLevelType w:val="hybridMultilevel"/>
    <w:lvl w:ilvl="0">
      <w:lvlJc w:val="left"/>
      <w:lvlText w:val="(%1)"/>
      <w:numFmt w:val="lowerLetter"/>
      <w:start w:val="6"/>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lowerLetter"/>
      <w:start w:val="6"/>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2"/>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lowerRoman"/>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lowerRoman"/>
      <w:start w:val="1"/>
    </w:lvl>
  </w:abstractNum>
  <w:abstractNum w:abstractNumId="45">
    <w:nsid w:val="15B5AF5C"/>
    <w:multiLevelType w:val="hybridMultilevel"/>
    <w:lvl w:ilvl="0">
      <w:lvlJc w:val="left"/>
      <w:lvlText w:val="(%1)"/>
      <w:numFmt w:val="lowerRoman"/>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jpe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jpe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72" Type="http://schemas.openxmlformats.org/officeDocument/2006/relationships/hyperlink" Target="http://www.sec.gov/Archives/edgar/data/1956827/000195682726000012/abvx-20251231.htm" TargetMode="External"/><Relationship Id="rId73" Type="http://schemas.openxmlformats.org/officeDocument/2006/relationships/hyperlink" Target="http://www.sec.gov/Archives/edgar/data/1956827/000119312526252360/d98688d6k.htm" TargetMode="External"/><Relationship Id="rId74" Type="http://schemas.openxmlformats.org/officeDocument/2006/relationships/hyperlink" Target="http://www.sec.gov/Archives/edgar/data/1956827/000119312526288752/d110874d6k.htm" TargetMode="External"/><Relationship Id="rId75" Type="http://schemas.openxmlformats.org/officeDocument/2006/relationships/hyperlink" Target="http://www.sec.gov/Archives/edgar/data/1956827/000119312523258649/d533766d8a12b.htm" TargetMode="External"/><Relationship Id="rId153" Type="http://schemas.openxmlformats.org/officeDocument/2006/relationships/hyperlink" Target="http://www.sec.gov/ix?doc=/Archives/edgar/data/0001956827/000195682726000012/abvx-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2026-07-02T15:20:03Z</dcterms:created>
  <dcterms:modified xsi:type="dcterms:W3CDTF">2026-07-02T15:20:03Z</dcterms:modified>
</cp:coreProperties>
</file>