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Abivax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EUR0.01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Armance Bordes</w:t>
              <w:br/>
              <w:t xml:space="preserve">7-11, boulevard Haussmann, </w:t>
              <w:br/>
              <w:t>Paris, I0, 75009</w:t>
              <w:br/>
              <w:t>33 1 76 23 41 09</w:t>
            </w:r>
          </w:p>
          <w:p>
            <w:pPr>
              <w:pStyle w:val="TableContents"/>
              <w:bidi w:val="0"/>
              <w:jc w:val="left"/>
              <w:rPr/>
            </w:pPr>
            <w:r>
              <w:rPr/>
            </w:r>
          </w:p>
          <w:p>
            <w:pPr>
              <w:pStyle w:val="TableContents"/>
              <w:bidi w:val="0"/>
              <w:spacing w:before="0" w:after="0"/>
              <w:jc w:val="center"/>
              <w:rPr>
                <w:b/>
                <w:color w:val="0000FF"/>
              </w:rPr>
            </w:pPr>
            <w:r>
              <w:rPr>
                <w:b/>
                <w:color w:val="0000FF"/>
              </w:rPr>
              <w:t>John Partigan</w:t>
              <w:br/>
              <w:t>Nixon Peabody LLP, 799 9 Street NW Ste 500</w:t>
              <w:br/>
              <w:t>Washington, DC, 20001</w:t>
              <w:br/>
              <w:t>202-585-8000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Sofinnova Crossover I SLP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7 and 8: Sofinnova Partners SAS, a French corporation ("SP SAS"), the management company of Sofinnova Crossover I SLP ("SC"), may be deemed to have sole voting power, and Antoine Papiernik ("Papiernik"), Cedric Moreau ("Moreau"), Kinam Hong ("Hong"), Joseph Anderson ("Anderson") and Jacques Theurillat ("Theurillat"), the members of the investment committee of SC, may be deemed to have shared power to vote these shares. Note in relation to Items 9 and 10: SP SAS, the management company of SC, may be deemed to have sole power to dispose of these shares, and Papiernik, Moreau, Hong, Anderson and Theurillat, the members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Sofinnova Partners SAS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7 and 8: SP SAS, the management company of SC, may be deemed to have sole voting power, and Papiernik, Moreau, Hong, Anderson and Theurillat, the members of the investment committee of SC, may be deemed to have shared power to vote these shares. Note in relation to Items 9 and 10: SP SAS, the management company of SC, may be deemed to have sole power to dispose of these shares, and Papiernik, Moreau, Hong, Anderson and Theurillat, the members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Antoine Papiernik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Items 7 and 8: SP SAS, the management company of SC, may be deemed to have sole voting power, and Papiernik, a member of the investment committee of SC, may be deemed to have shared power to vote these shares. Note to Items 9 and 10: SP SAS, the management company of SC, may be deemed to have sole power to dispose of these shares, and Papiernik, a member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Cedric Moreau</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Items 7 and 8: SP SAS, the management company of SC, may be deemed to have sole voting power, and Moreau, a member of the investment committee of SC, may be deemed to have shared power to vote these shares. Note to Items 9 and 10: SP SAS, the management company of SC, may be deemed to have sole power to dispose of these shares, and Moreau, a member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Kinam Hong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Items 7 and 8: SP SAS, the management company of SC, may be deemed to have sole voting power, and Hong, a member of the investment committee of SC, may be deemed to have shared power to vote these shares. Note to Items 9 and 10: SP SAS, the management company of SC, may be deemed to have sole power to dispose of these shares, and Hong, a member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Anderson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Items 7 and 8: SP SAS, the management company of SC, may be deemed to have sole voting power, and Anderson, a member of the investment committee of SC, may be deemed to have shared power to vote these shares. Note to Items 9 and 10: SP SAS, the management company of SC, may be deemed to have sole power to dispose of these shares, and Anderson, a member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70"/>
        <w:gridCol w:w="7935"/>
      </w:tblGrid>
      <w:tr>
        <w:trPr/>
        <w:tc>
          <w:tcPr>
            <w:tcW w:w="2270" w:type="dxa"/>
            <w:tcBorders/>
            <w:vAlign w:val="center"/>
          </w:tcPr>
          <w:p>
            <w:pPr>
              <w:pStyle w:val="TableContents"/>
              <w:bidi w:val="0"/>
              <w:spacing w:before="0" w:after="283"/>
              <w:jc w:val="left"/>
              <w:rPr/>
            </w:pPr>
            <w:r>
              <w:rPr/>
              <w:t>1</w:t>
            </w:r>
          </w:p>
        </w:tc>
        <w:tc>
          <w:tcPr>
            <w:tcW w:w="79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Jacques Theurillat</w:t>
            </w:r>
          </w:p>
        </w:tc>
      </w:tr>
      <w:tr>
        <w:trPr/>
        <w:tc>
          <w:tcPr>
            <w:tcW w:w="2270" w:type="dxa"/>
            <w:tcBorders/>
            <w:vAlign w:val="center"/>
          </w:tcPr>
          <w:p>
            <w:pPr>
              <w:pStyle w:val="TableContents"/>
              <w:bidi w:val="0"/>
              <w:spacing w:before="0" w:after="283"/>
              <w:jc w:val="left"/>
              <w:rPr/>
            </w:pPr>
            <w:r>
              <w:rPr/>
              <w:t>2</w:t>
            </w:r>
          </w:p>
        </w:tc>
        <w:tc>
          <w:tcPr>
            <w:tcW w:w="79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70" w:type="dxa"/>
            <w:tcBorders/>
            <w:vAlign w:val="center"/>
          </w:tcPr>
          <w:p>
            <w:pPr>
              <w:pStyle w:val="TableContents"/>
              <w:bidi w:val="0"/>
              <w:spacing w:before="0" w:after="283"/>
              <w:jc w:val="left"/>
              <w:rPr/>
            </w:pPr>
            <w:r>
              <w:rPr/>
              <w:t>3</w:t>
            </w:r>
          </w:p>
        </w:tc>
        <w:tc>
          <w:tcPr>
            <w:tcW w:w="7935" w:type="dxa"/>
            <w:tcBorders/>
            <w:vAlign w:val="center"/>
          </w:tcPr>
          <w:p>
            <w:pPr>
              <w:pStyle w:val="TableContents"/>
              <w:bidi w:val="0"/>
              <w:spacing w:before="0" w:after="283"/>
              <w:jc w:val="left"/>
              <w:rPr/>
            </w:pPr>
            <w:r>
              <w:rPr/>
              <w:t>SEC use only</w:t>
            </w:r>
          </w:p>
        </w:tc>
      </w:tr>
      <w:tr>
        <w:trPr/>
        <w:tc>
          <w:tcPr>
            <w:tcW w:w="2270" w:type="dxa"/>
            <w:tcBorders/>
            <w:vAlign w:val="center"/>
          </w:tcPr>
          <w:p>
            <w:pPr>
              <w:pStyle w:val="TableContents"/>
              <w:bidi w:val="0"/>
              <w:spacing w:before="0" w:after="283"/>
              <w:jc w:val="left"/>
              <w:rPr/>
            </w:pPr>
            <w:r>
              <w:rPr/>
              <w:t>4</w:t>
            </w:r>
          </w:p>
        </w:tc>
        <w:tc>
          <w:tcPr>
            <w:tcW w:w="79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70" w:type="dxa"/>
            <w:tcBorders/>
            <w:vAlign w:val="center"/>
          </w:tcPr>
          <w:p>
            <w:pPr>
              <w:pStyle w:val="TableContents"/>
              <w:bidi w:val="0"/>
              <w:spacing w:before="0" w:after="283"/>
              <w:jc w:val="left"/>
              <w:rPr/>
            </w:pPr>
            <w:r>
              <w:rPr/>
              <w:t>5</w:t>
            </w:r>
          </w:p>
        </w:tc>
        <w:tc>
          <w:tcPr>
            <w:tcW w:w="79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70" w:type="dxa"/>
            <w:tcBorders/>
            <w:vAlign w:val="center"/>
          </w:tcPr>
          <w:p>
            <w:pPr>
              <w:pStyle w:val="TableContents"/>
              <w:bidi w:val="0"/>
              <w:spacing w:before="0" w:after="283"/>
              <w:jc w:val="left"/>
              <w:rPr/>
            </w:pPr>
            <w:r>
              <w:rPr/>
              <w:t>6</w:t>
            </w:r>
          </w:p>
        </w:tc>
        <w:tc>
          <w:tcPr>
            <w:tcW w:w="79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3,535,843.00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2,474,299.00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11</w:t>
            </w:r>
          </w:p>
        </w:tc>
        <w:tc>
          <w:tcPr>
            <w:tcW w:w="79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3,535,843.00</w:t>
            </w:r>
          </w:p>
        </w:tc>
      </w:tr>
      <w:tr>
        <w:trPr/>
        <w:tc>
          <w:tcPr>
            <w:tcW w:w="2270" w:type="dxa"/>
            <w:tcBorders/>
            <w:vAlign w:val="center"/>
          </w:tcPr>
          <w:p>
            <w:pPr>
              <w:pStyle w:val="TableContents"/>
              <w:bidi w:val="0"/>
              <w:spacing w:before="0" w:after="283"/>
              <w:jc w:val="left"/>
              <w:rPr/>
            </w:pPr>
            <w:r>
              <w:rPr/>
              <w:t>12</w:t>
            </w:r>
          </w:p>
        </w:tc>
        <w:tc>
          <w:tcPr>
            <w:tcW w:w="79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70" w:type="dxa"/>
            <w:tcBorders/>
            <w:vAlign w:val="center"/>
          </w:tcPr>
          <w:p>
            <w:pPr>
              <w:pStyle w:val="TableContents"/>
              <w:bidi w:val="0"/>
              <w:spacing w:before="0" w:after="283"/>
              <w:jc w:val="left"/>
              <w:rPr/>
            </w:pPr>
            <w:r>
              <w:rPr/>
              <w:t>13</w:t>
            </w:r>
          </w:p>
        </w:tc>
        <w:tc>
          <w:tcPr>
            <w:tcW w:w="79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70" w:type="dxa"/>
            <w:tcBorders/>
            <w:vAlign w:val="center"/>
          </w:tcPr>
          <w:p>
            <w:pPr>
              <w:pStyle w:val="TableContents"/>
              <w:bidi w:val="0"/>
              <w:spacing w:before="0" w:after="283"/>
              <w:jc w:val="left"/>
              <w:rPr/>
            </w:pPr>
            <w:r>
              <w:rPr/>
              <w:t>14</w:t>
            </w:r>
          </w:p>
        </w:tc>
        <w:tc>
          <w:tcPr>
            <w:tcW w:w="79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Items 7 and 8: SP SAS, the management company of SC, may be deemed to have sole voting power, and Theurillat, a member of the investment committee of SC, may be deemed to have shared power to vote these shares. Note to Items 9 and 10: SP SAS, the management company of SC, may be deemed to have sole power to dispose of these shares, and Theurillat, a member of the investment committee of SC, may be deemed to have shared power to dispose of these shares. Note in relation to Items 8, 10, 11 and 13: The Reporting Person beneficially owns 2,474,299 Ordinary Shares (including ordinary shares represented by American depositary shares) and has 3,535,843 voting rights related to such shares. The aggregate amount beneficially owned and percent of class reported above are based on the Reporting Person's voting rights and the 82,130,598 voting rights outstanding as of May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EUR0.01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Abivax S.A.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7-11, boulevard Haussmann, Paris, FRANCE , 75009.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Introductory Statement: This Amendment No. 6 (this "Amendment"), being filed by Sofinnova Crossover I SLP ("SC"), Sofinnova Partners SAS, a French corporation ("SP SAS"), Antoine Papiernik ("Papiernik"), Cedric Moreau ("Moreau"), Kinam Hong ("Hong"), Joseph Anderson ("Anderson") and Jacques Theurillat ("Theurillat") the members of the investment committee of SC (collectively, the "Listed Persons" and together with SC and SP SAS, the "Reporting Persons"), amends and supplements the Schedule 13D filed with the Securities and Exchange Commission (the "SEC") on October 30, 2023, as amended by Amendment No. 1, filed with the SEC on February 14, 2025, as further amended by Amendment No. 2, filed with the SEC on July 31, 2025, as amended by Amendment No. 3, filed with the SEC on October 30, 2025, as further amended by Amendment No. 4, filed with the SEC on January 14, 2026, and as further amended by Amendment No. 5, filed with the SEC on May 11, 2026 (collectively, as amended, the "Schedule 13D"). This Schedule 13D relates to the Ordinary Shares, par value EUR0.01 per share (the "Ordinary Shares"), including ordinary shares represented by American Depositary Shares ("ADS"), of Abivax SA, a societe anonyme incorporated under the laws of the French Republic (the "Issuer"). Except as specifically provided herein, this Amendment No. 6 does not modify any of the information previously reported in the Schedule 13D. Capitalized terms used herein shall have the meanings ascribed to them in the Schedule 13D.</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Item 4 of the Schedule 13D is hereby amended and supplemented as follows: SC sold the amounts of ADS and Ordinary Shares on the date and at the prices set forth below in open market transactions on NASDAQ and Euronext. All daily sales of the shares were sold in multiple transactions at varying prices. The Reporting Persons undertake to provide the Issuer, any security holder of the Issuer, or the staff of the Securities and Exchange Commission, upon request, full information regarding the number of shares sold at each weighted average price set forth in this Schedule 13D. June 30, 2026: -500,000 ADSs at a weighted average price of $132.7347 per share. July 1, 2026: -25,000 ADSs at a weighted average price of $134.2377 per share. July 2, 2026: -275,000 ADSs at a weighted average price of $140.9365 per share.* -35,469 Ordinary Shares at a weighted average price of $144.2752 per share.* July 3, 2026: -25,000 Ordinary Shares at a weighted average price of $156.2041 per share.* -39,531 Ordinary Shares at a weighted average price of $155.0654 per share.* July 6, 2026: -3,195 Ordinary Shares at a weighted average price of $155.0436 per share.* * Transaction completed in Euros. Price per share converted to USD at an exchange rate of $1.1448 as of July 3, 2026. 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 The Reporting Persons may engage from time to time in ordinary course transactions with financial institutions with respect to the securities described herein. 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Item 5(a) of the Schedule 13D is hereby amended and supplemented as follows: As of July 6, 2026, SC held directly 2,474,299 Ordinary Shares representing approximately 3.1% of the Issuer's outstanding Ordinary Shares and 3,535,843 voting rights representing approximately 4.3% of the Issuer's outstanding voting rights. None of the other Reporting Persons hold any Ordinary Shares or ADSs directly. SP SAS is the management company of SC and may be deemed to have shared voting and investment control over the Ordinary Shares and ADSs held by SC. Each of Antoine Papiernik, Cedric Moreau, Kinam Hong, Joseph Anderson and Jacques Theurillat are the members of the investment committee of SC and may be deemed to have shared voting and investment control over the Ordinary Shares and ADSs held by SC. Each of such individuals disclaims beneficial ownership of such Ordinary Shares and ADSs except to the extent of their pecuniary interest therein. The ownership percentages are based upon 79,782,941 of the Issuer's Ordinary Shares outstanding as of May 31, 2026. The voting percentages are based upon 82,130,598 voting rights outstanding as of May 31, 2026.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Item 5(b) of the Schedule 13D is hereby amended and supplemented as follows: See the information contained on the cover pages of this Amendment, which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Item 5(c) of the Schedule 13D is hereby amended and supplemented as follows: Except as disclosed herein, there have been no other reportable transactions with respect to the Ordinary Shares or ADSs of the Issuer within the last 60 days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EX 99.1 - Agreement regarding filing of joint Schedule 13D (incorporated by reference from Exhibit 99.1 to Schedule 13D filed by the Reporting Persons on October 30, 2023)</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Sofinnova Crossover I SLP</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Antoine Papiernik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Representative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Sofinnova Partners SAS</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Antoine Papiernik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Partner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Antoine Papiernik</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Antoine Papiernik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Antoine Papiernik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Cedric Moreau</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Cedric Moreau</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Cedric Moreau</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Kinam Hong</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Kinam Hong</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Kinam Hong</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Joseph Anderson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Joseph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Joseph Anderson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Jacques Theurillat</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Jacques Theurillat</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Jacques Theurillat</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3514</Words>
  <Characters>17858</Characters>
  <CharactersWithSpaces>21188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