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0" w:lineRule="exact"/>
        <w:rPr>
          <w:sz w:val="24"/>
          <w:szCs w:val="24"/>
          <w:color w:val="auto"/>
        </w:rPr>
      </w:pPr>
    </w:p>
    <w:p>
      <w:pPr>
        <w:spacing w:after="0" w:line="25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00" w:lineRule="exact"/>
        <w:rPr>
          <w:sz w:val="24"/>
          <w:szCs w:val="24"/>
          <w:color w:val="auto"/>
        </w:rPr>
      </w:pPr>
    </w:p>
    <w:p>
      <w:pPr>
        <w:spacing w:after="0" w:line="282"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001-41842</w:t>
      </w:r>
    </w:p>
    <w:p>
      <w:pPr>
        <w:spacing w:after="0" w:line="200" w:lineRule="exact"/>
        <w:rPr>
          <w:sz w:val="24"/>
          <w:szCs w:val="24"/>
          <w:color w:val="auto"/>
        </w:rPr>
      </w:pPr>
    </w:p>
    <w:p>
      <w:pPr>
        <w:spacing w:after="0" w:line="26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Abivax SA</w:t>
      </w:r>
    </w:p>
    <w:p>
      <w:pPr>
        <w:spacing w:after="0" w:line="1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7-11 boulevard Haussmann</w:t>
      </w:r>
    </w:p>
    <w:p>
      <w:pPr>
        <w:spacing w:after="0" w:line="1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75009 Paris, France</w:t>
      </w: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+33 (0) 1 53 83 08 41</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82" w:lineRule="exact"/>
        <w:rPr>
          <w:sz w:val="24"/>
          <w:szCs w:val="24"/>
          <w:color w:val="auto"/>
        </w:rPr>
      </w:pPr>
    </w:p>
    <w:p>
      <w:pPr>
        <w:ind w:right="163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p>
    <w:p>
      <w:pPr>
        <w:spacing w:after="0" w:line="25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Abivax SA (the “Company”) held its annual ordinary and extraordinary general meeting of shareholders on May 11, 2026. The final results of each of the agenda items submitted to a vote of the shareholders are as follows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176" w:lineRule="exact"/>
        <w:rPr>
          <w:sz w:val="20"/>
          <w:szCs w:val="20"/>
          <w:color w:val="auto"/>
        </w:rPr>
      </w:pPr>
    </w:p>
    <w:tbl>
      <w:tblPr>
        <w:tblLayout w:type="fixed"/>
        <w:tblInd w:w="44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 with voting rights</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79,291,188</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number of votes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81,641,145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7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shareholders present, represented or voting by post</w:t>
            </w: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7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Number of shares present, represented or voting by post</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68,239,663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7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votes present, represented or voting by post</w:t>
            </w: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70,442,656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8"/>
        </w:trPr>
        <w:tc>
          <w:tcPr>
            <w:tcW w:w="580" w:type="dxa"/>
            <w:vAlign w:val="bottom"/>
          </w:tcPr>
          <w:p>
            <w:pPr>
              <w:spacing w:after="0"/>
              <w:rPr>
                <w:sz w:val="20"/>
                <w:szCs w:val="20"/>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Participation rate</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86.06 %</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585"/>
        </w:trPr>
        <w:tc>
          <w:tcPr>
            <w:tcW w:w="5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For</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6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700" w:type="dxa"/>
            <w:vAlign w:val="bottom"/>
          </w:tcPr>
          <w:p>
            <w:pPr>
              <w:spacing w:after="0"/>
              <w:rPr>
                <w:sz w:val="24"/>
                <w:szCs w:val="24"/>
                <w:color w:val="auto"/>
              </w:rPr>
            </w:pPr>
          </w:p>
        </w:tc>
      </w:tr>
      <w:tr>
        <w:trPr>
          <w:trHeight w:val="183"/>
        </w:trPr>
        <w:tc>
          <w:tcPr>
            <w:tcW w:w="37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Ordinary General Shareholders’ Meeting</w:t>
            </w:r>
          </w:p>
        </w:tc>
        <w:tc>
          <w:tcPr>
            <w:tcW w:w="1560" w:type="dxa"/>
            <w:vAlign w:val="bottom"/>
            <w:tcBorders>
              <w:top w:val="single" w:sz="8" w:color="auto"/>
            </w:tcBorders>
            <w:gridSpan w:val="3"/>
          </w:tcPr>
          <w:p>
            <w:pPr>
              <w:ind w:left="420"/>
              <w:spacing w:after="0" w:line="182" w:lineRule="exact"/>
              <w:rPr>
                <w:sz w:val="20"/>
                <w:szCs w:val="20"/>
                <w:color w:val="auto"/>
              </w:rPr>
            </w:pPr>
            <w:r>
              <w:rPr>
                <w:rFonts w:ascii="Times New Roman" w:cs="Times New Roman" w:eastAsia="Times New Roman" w:hAnsi="Times New Roman"/>
                <w:sz w:val="18"/>
                <w:szCs w:val="18"/>
                <w:b w:val="1"/>
                <w:bCs w:val="1"/>
                <w:color w:val="auto"/>
              </w:rPr>
              <w:t>Votes</w:t>
            </w:r>
          </w:p>
        </w:tc>
        <w:tc>
          <w:tcPr>
            <w:tcW w:w="760" w:type="dxa"/>
            <w:vAlign w:val="bottom"/>
            <w:tcBorders>
              <w:top w:val="single" w:sz="8" w:color="auto"/>
            </w:tcBorders>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5"/>
                <w:szCs w:val="15"/>
                <w:color w:val="auto"/>
              </w:rPr>
            </w:pPr>
          </w:p>
        </w:tc>
        <w:tc>
          <w:tcPr>
            <w:tcW w:w="860" w:type="dxa"/>
            <w:vAlign w:val="bottom"/>
            <w:tcBorders>
              <w:top w:val="single" w:sz="8" w:color="auto"/>
            </w:tcBorders>
          </w:tcPr>
          <w:p>
            <w:pPr>
              <w:ind w:left="420"/>
              <w:spacing w:after="0" w:line="182" w:lineRule="exact"/>
              <w:rPr>
                <w:sz w:val="20"/>
                <w:szCs w:val="20"/>
                <w:color w:val="auto"/>
              </w:rPr>
            </w:pPr>
            <w:r>
              <w:rPr>
                <w:rFonts w:ascii="Times New Roman" w:cs="Times New Roman" w:eastAsia="Times New Roman" w:hAnsi="Times New Roman"/>
                <w:sz w:val="18"/>
                <w:szCs w:val="18"/>
                <w:b w:val="1"/>
                <w:bCs w:val="1"/>
                <w:color w:val="auto"/>
                <w:w w:val="97"/>
              </w:rPr>
              <w:t>Votes</w:t>
            </w:r>
          </w:p>
        </w:tc>
        <w:tc>
          <w:tcPr>
            <w:tcW w:w="1460" w:type="dxa"/>
            <w:vAlign w:val="bottom"/>
            <w:tcBorders>
              <w:top w:val="single" w:sz="8" w:color="auto"/>
            </w:tcBorders>
            <w:gridSpan w:val="3"/>
          </w:tcPr>
          <w:p>
            <w:pPr>
              <w:jc w:val="right"/>
              <w:ind w:right="40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5"/>
                <w:szCs w:val="15"/>
                <w:color w:val="auto"/>
              </w:rPr>
            </w:pPr>
          </w:p>
        </w:tc>
        <w:tc>
          <w:tcPr>
            <w:tcW w:w="1560" w:type="dxa"/>
            <w:vAlign w:val="bottom"/>
            <w:tcBorders>
              <w:top w:val="single" w:sz="8" w:color="auto"/>
            </w:tcBorders>
            <w:gridSpan w:val="4"/>
          </w:tcPr>
          <w:p>
            <w:pPr>
              <w:ind w:left="400"/>
              <w:spacing w:after="0" w:line="182" w:lineRule="exact"/>
              <w:rPr>
                <w:sz w:val="20"/>
                <w:szCs w:val="20"/>
                <w:color w:val="auto"/>
              </w:rPr>
            </w:pPr>
            <w:r>
              <w:rPr>
                <w:rFonts w:ascii="Times New Roman" w:cs="Times New Roman" w:eastAsia="Times New Roman" w:hAnsi="Times New Roman"/>
                <w:sz w:val="18"/>
                <w:szCs w:val="18"/>
                <w:b w:val="1"/>
                <w:bCs w:val="1"/>
                <w:color w:val="auto"/>
              </w:rPr>
              <w:t>Votes</w:t>
            </w:r>
          </w:p>
        </w:tc>
        <w:tc>
          <w:tcPr>
            <w:tcW w:w="70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80" w:type="dxa"/>
            <w:vAlign w:val="bottom"/>
            <w:tcBorders>
              <w:top w:val="single" w:sz="8" w:color="auto"/>
            </w:tcBorders>
          </w:tcPr>
          <w:p>
            <w:pPr>
              <w:spacing w:after="0" w:line="20" w:lineRule="exact"/>
              <w:rPr>
                <w:sz w:val="1"/>
                <w:szCs w:val="1"/>
                <w:color w:val="auto"/>
              </w:rPr>
            </w:pPr>
          </w:p>
        </w:tc>
        <w:tc>
          <w:tcPr>
            <w:tcW w:w="26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265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jc w:val="both"/>
        <w:ind w:left="440" w:right="160" w:hanging="414"/>
        <w:spacing w:after="0"/>
        <w:tabs>
          <w:tab w:leader="none" w:pos="4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the Company's financial statements for the financial year ended 31 December 2025.</w:t>
      </w:r>
    </w:p>
    <w:p>
      <w:pPr>
        <w:spacing w:after="0" w:line="9" w:lineRule="exact"/>
        <w:rPr>
          <w:rFonts w:ascii="Times New Roman" w:cs="Times New Roman" w:eastAsia="Times New Roman" w:hAnsi="Times New Roman"/>
          <w:sz w:val="17"/>
          <w:szCs w:val="17"/>
          <w:color w:val="auto"/>
        </w:rPr>
      </w:pPr>
    </w:p>
    <w:p>
      <w:pPr>
        <w:ind w:left="440" w:right="160" w:hanging="414"/>
        <w:spacing w:after="0" w:line="226"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Company's consolidated financial statements for the financial year ended 31 December 2025.</w:t>
      </w:r>
    </w:p>
    <w:p>
      <w:pPr>
        <w:spacing w:after="0" w:line="9" w:lineRule="exact"/>
        <w:rPr>
          <w:rFonts w:ascii="Times New Roman" w:cs="Times New Roman" w:eastAsia="Times New Roman" w:hAnsi="Times New Roman"/>
          <w:sz w:val="18"/>
          <w:szCs w:val="18"/>
          <w:color w:val="auto"/>
        </w:rPr>
      </w:pPr>
    </w:p>
    <w:p>
      <w:pPr>
        <w:ind w:left="440" w:right="280" w:hanging="414"/>
        <w:spacing w:after="0" w:line="237"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income for the financial year ended 31 December 2025.</w:t>
      </w:r>
    </w:p>
    <w:p>
      <w:pPr>
        <w:spacing w:after="0" w:line="9" w:lineRule="exact"/>
        <w:rPr>
          <w:rFonts w:ascii="Times New Roman" w:cs="Times New Roman" w:eastAsia="Times New Roman" w:hAnsi="Times New Roman"/>
          <w:sz w:val="18"/>
          <w:szCs w:val="18"/>
          <w:color w:val="auto"/>
        </w:rPr>
      </w:pPr>
    </w:p>
    <w:p>
      <w:pPr>
        <w:ind w:left="440" w:right="40" w:hanging="414"/>
        <w:spacing w:after="0" w:line="226"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agreements referred to Articles L. 225-38 et seq. of the French Commercial Code (</w:t>
      </w:r>
      <w:r>
        <w:rPr>
          <w:rFonts w:ascii="Times New Roman" w:cs="Times New Roman" w:eastAsia="Times New Roman" w:hAnsi="Times New Roman"/>
          <w:sz w:val="18"/>
          <w:szCs w:val="18"/>
          <w:i w:val="1"/>
          <w:iCs w:val="1"/>
          <w:color w:val="auto"/>
        </w:rPr>
        <w:t>Code de commerce</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440" w:right="300" w:hanging="414"/>
        <w:spacing w:after="0" w:line="237"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 of a Director’s term of office (Sylvie Grégoire).</w:t>
      </w:r>
    </w:p>
    <w:p>
      <w:pPr>
        <w:spacing w:after="0" w:line="9" w:lineRule="exact"/>
        <w:rPr>
          <w:rFonts w:ascii="Times New Roman" w:cs="Times New Roman" w:eastAsia="Times New Roman" w:hAnsi="Times New Roman"/>
          <w:sz w:val="18"/>
          <w:szCs w:val="18"/>
          <w:color w:val="auto"/>
        </w:rPr>
      </w:pPr>
    </w:p>
    <w:p>
      <w:pPr>
        <w:ind w:left="440" w:hanging="414"/>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 of a Director's term of office (June Lee).</w:t>
      </w:r>
    </w:p>
    <w:p>
      <w:pPr>
        <w:spacing w:after="0" w:line="27" w:lineRule="exact"/>
        <w:rPr>
          <w:rFonts w:ascii="Times New Roman" w:cs="Times New Roman" w:eastAsia="Times New Roman" w:hAnsi="Times New Roman"/>
          <w:sz w:val="18"/>
          <w:szCs w:val="18"/>
          <w:color w:val="auto"/>
        </w:rPr>
      </w:pPr>
    </w:p>
    <w:p>
      <w:pPr>
        <w:ind w:left="440" w:right="440" w:hanging="414"/>
        <w:spacing w:after="0" w:line="234"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 of a Director's term of office (Troy Ignelzi).</w:t>
      </w:r>
    </w:p>
    <w:p>
      <w:pPr>
        <w:spacing w:after="0" w:line="10" w:lineRule="exact"/>
        <w:rPr>
          <w:rFonts w:ascii="Times New Roman" w:cs="Times New Roman" w:eastAsia="Times New Roman" w:hAnsi="Times New Roman"/>
          <w:sz w:val="18"/>
          <w:szCs w:val="18"/>
          <w:color w:val="auto"/>
        </w:rPr>
      </w:pPr>
    </w:p>
    <w:p>
      <w:pPr>
        <w:ind w:left="440" w:hanging="414"/>
        <w:spacing w:after="0" w:line="220"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compensation items mentioned in Article L. 22-10-9 I of the French Commercial Code, pursuant to Article L. 22-10-34 of the French Commercial Code.</w:t>
      </w:r>
    </w:p>
    <w:p>
      <w:pPr>
        <w:spacing w:after="0" w:line="10" w:lineRule="exact"/>
        <w:rPr>
          <w:rFonts w:ascii="Times New Roman" w:cs="Times New Roman" w:eastAsia="Times New Roman" w:hAnsi="Times New Roman"/>
          <w:sz w:val="18"/>
          <w:szCs w:val="18"/>
          <w:color w:val="auto"/>
        </w:rPr>
      </w:pPr>
    </w:p>
    <w:p>
      <w:pPr>
        <w:ind w:left="440" w:right="80" w:hanging="414"/>
        <w:spacing w:after="0" w:line="220"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compensation items paid during, or allocated for, the financial year 2025 to Ms. Sylvie Grégoire as Chair of the Board of Directors.</w:t>
      </w:r>
    </w:p>
    <w:p>
      <w:pPr>
        <w:spacing w:after="0" w:line="10" w:lineRule="exact"/>
        <w:rPr>
          <w:rFonts w:ascii="Times New Roman" w:cs="Times New Roman" w:eastAsia="Times New Roman" w:hAnsi="Times New Roman"/>
          <w:sz w:val="18"/>
          <w:szCs w:val="18"/>
          <w:color w:val="auto"/>
        </w:rPr>
      </w:pPr>
    </w:p>
    <w:p>
      <w:pPr>
        <w:ind w:left="440" w:right="80" w:hanging="414"/>
        <w:spacing w:after="0" w:line="226"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compensation items paid during, or allocated for, the financial year 2025 to Mr. Marc de Garidel as Chief Executive Officer.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70,397,339</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99.99 %</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7,309</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0.01 %</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38,008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499"/>
        </w:trPr>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70,397,224</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99.99 %</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7,424</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0.01 %</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38,008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513"/>
        </w:trPr>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70,402,942</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99.98 %</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11,373</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0.02 %</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28,341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0.04 %</w:t>
            </w:r>
          </w:p>
        </w:tc>
      </w:tr>
      <w:tr>
        <w:trPr>
          <w:trHeight w:val="499"/>
        </w:trPr>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56,468,772</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80.20 %</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13,938,330</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19.80 %</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35,554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513"/>
        </w:trPr>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56,618,519</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80.42 %</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13,787,828</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19.58 %</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36,309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324"/>
        </w:trPr>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54,899,841</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77.98 %</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15,506,517</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22.02 %</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36,298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324"/>
        </w:trPr>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54,855,681</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77.91 %</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15,550,677</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22.09 %</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36,298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594"/>
        </w:trPr>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56,120,261</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79.71 %</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14,282,632</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20.29 %</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39,763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r>
      <w:tr>
        <w:trPr>
          <w:trHeight w:val="770"/>
        </w:trPr>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55,464,315</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78.78 %</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14,942,341</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21.22 %</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36,000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675"/>
        </w:trPr>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53,796,881</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76.41 %</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16,609,775</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23.59 %</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36,000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-2553970</wp:posOffset>
            </wp:positionV>
            <wp:extent cx="7132320" cy="265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-1910715</wp:posOffset>
            </wp:positionV>
            <wp:extent cx="7132320" cy="265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-1499870</wp:posOffset>
            </wp:positionV>
            <wp:extent cx="7132320" cy="26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-745490</wp:posOffset>
            </wp:positionV>
            <wp:extent cx="7132320" cy="488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sectPr>
          <w:pgSz w:w="11900" w:h="16838" w:orient="portrait"/>
          <w:cols w:equalWidth="0" w:num="2">
            <w:col w:w="4060" w:space="520"/>
            <w:col w:w="6660"/>
          </w:cols>
          <w:pgMar w:left="320" w:top="1440" w:right="339" w:bottom="1440" w:gutter="0" w:footer="0" w:header="0"/>
          <w:type w:val="continuous"/>
        </w:sectPr>
      </w:pPr>
    </w:p>
    <w:bookmarkStart w:id="2" w:name="page3"/>
    <w:bookmarkEnd w:id="2"/>
    <w:p>
      <w:pPr>
        <w:spacing w:after="0" w:line="257" w:lineRule="exact"/>
        <w:rPr>
          <w:sz w:val="20"/>
          <w:szCs w:val="20"/>
          <w:color w:val="auto"/>
        </w:rPr>
      </w:pPr>
    </w:p>
    <w:p>
      <w:pPr>
        <w:ind w:left="414"/>
        <w:spacing w:after="0"/>
        <w:rPr>
          <w:sz w:val="20"/>
          <w:szCs w:val="20"/>
          <w:color w:val="auto"/>
        </w:rPr>
      </w:pPr>
      <w:r>
        <w:rPr>
          <w:rFonts w:ascii="Times New Roman" w:cs="Times New Roman" w:eastAsia="Times New Roman" w:hAnsi="Times New Roman"/>
          <w:sz w:val="18"/>
          <w:szCs w:val="18"/>
          <w:b w:val="1"/>
          <w:bCs w:val="1"/>
          <w:u w:val="single" w:color="auto"/>
          <w:color w:val="auto"/>
        </w:rPr>
        <w:t>Ordinary General Shareholders’ Meeting</w:t>
      </w:r>
    </w:p>
    <w:p>
      <w:pPr>
        <w:spacing w:after="0" w:line="31" w:lineRule="exact"/>
        <w:rPr>
          <w:sz w:val="20"/>
          <w:szCs w:val="20"/>
          <w:color w:val="auto"/>
        </w:rPr>
      </w:pPr>
    </w:p>
    <w:p>
      <w:pPr>
        <w:ind w:left="414" w:hanging="414"/>
        <w:spacing w:after="0" w:line="223" w:lineRule="auto"/>
        <w:tabs>
          <w:tab w:leader="none" w:pos="41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information on corporate officers' compensation included in the corporate governance report and referred to in Article L.22-10-9 I. of the French Commercial Code).</w:t>
      </w:r>
    </w:p>
    <w:p>
      <w:pPr>
        <w:ind w:left="414" w:right="160" w:hanging="414"/>
        <w:spacing w:after="0" w:line="253" w:lineRule="auto"/>
        <w:tabs>
          <w:tab w:leader="none" w:pos="41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the compensation policy applicable to the Chair of the Board of Directors.</w:t>
      </w:r>
    </w:p>
    <w:p>
      <w:pPr>
        <w:spacing w:after="0" w:line="1" w:lineRule="exact"/>
        <w:rPr>
          <w:rFonts w:ascii="Times New Roman" w:cs="Times New Roman" w:eastAsia="Times New Roman" w:hAnsi="Times New Roman"/>
          <w:sz w:val="17"/>
          <w:szCs w:val="17"/>
          <w:color w:val="auto"/>
        </w:rPr>
      </w:pPr>
    </w:p>
    <w:p>
      <w:pPr>
        <w:ind w:left="414" w:right="160" w:hanging="414"/>
        <w:spacing w:after="0" w:line="237" w:lineRule="auto"/>
        <w:tabs>
          <w:tab w:leader="none" w:pos="41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compensation policy applicable to the Chief Executive Officer.</w:t>
      </w:r>
    </w:p>
    <w:p>
      <w:pPr>
        <w:spacing w:after="0" w:line="9" w:lineRule="exact"/>
        <w:rPr>
          <w:rFonts w:ascii="Times New Roman" w:cs="Times New Roman" w:eastAsia="Times New Roman" w:hAnsi="Times New Roman"/>
          <w:sz w:val="18"/>
          <w:szCs w:val="18"/>
          <w:color w:val="auto"/>
        </w:rPr>
      </w:pPr>
    </w:p>
    <w:p>
      <w:pPr>
        <w:ind w:left="414" w:right="160" w:hanging="414"/>
        <w:spacing w:after="0" w:line="237" w:lineRule="auto"/>
        <w:tabs>
          <w:tab w:leader="none" w:pos="41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compensation policy applicable to the Board members.</w:t>
      </w:r>
    </w:p>
    <w:p>
      <w:pPr>
        <w:spacing w:after="0" w:line="9" w:lineRule="exact"/>
        <w:rPr>
          <w:rFonts w:ascii="Times New Roman" w:cs="Times New Roman" w:eastAsia="Times New Roman" w:hAnsi="Times New Roman"/>
          <w:sz w:val="18"/>
          <w:szCs w:val="18"/>
          <w:color w:val="auto"/>
        </w:rPr>
      </w:pPr>
    </w:p>
    <w:p>
      <w:pPr>
        <w:ind w:left="414" w:right="520" w:hanging="414"/>
        <w:spacing w:after="0" w:line="237" w:lineRule="auto"/>
        <w:tabs>
          <w:tab w:leader="none" w:pos="41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be granted to the Board to purchase the Company's own shares.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5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For</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700" w:type="dxa"/>
            <w:vAlign w:val="bottom"/>
            <w:tcBorders>
              <w:bottom w:val="single" w:sz="8" w:color="auto"/>
            </w:tcBorders>
          </w:tcPr>
          <w:p>
            <w:pPr>
              <w:spacing w:after="0"/>
              <w:rPr>
                <w:sz w:val="20"/>
                <w:szCs w:val="20"/>
                <w:color w:val="auto"/>
              </w:rPr>
            </w:pPr>
          </w:p>
        </w:tc>
      </w:tr>
      <w:tr>
        <w:trPr>
          <w:trHeight w:val="232"/>
        </w:trPr>
        <w:tc>
          <w:tcPr>
            <w:tcW w:w="15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5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7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5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91"/>
        </w:trPr>
        <w:tc>
          <w:tcPr>
            <w:tcW w:w="1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56,062,432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79.63 %</w:t>
            </w:r>
          </w:p>
        </w:tc>
        <w:tc>
          <w:tcPr>
            <w:tcW w:w="80" w:type="dxa"/>
            <w:vAlign w:val="bottom"/>
          </w:tcPr>
          <w:p>
            <w:pPr>
              <w:spacing w:after="0"/>
              <w:rPr>
                <w:sz w:val="24"/>
                <w:szCs w:val="24"/>
                <w:color w:val="auto"/>
              </w:rPr>
            </w:pP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14,339,261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20.37 %</w:t>
            </w:r>
          </w:p>
        </w:tc>
        <w:tc>
          <w:tcPr>
            <w:tcW w:w="100" w:type="dxa"/>
            <w:vAlign w:val="bottom"/>
          </w:tcPr>
          <w:p>
            <w:pPr>
              <w:spacing w:after="0"/>
              <w:rPr>
                <w:sz w:val="24"/>
                <w:szCs w:val="24"/>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39,963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r>
      <w:tr>
        <w:trPr>
          <w:trHeight w:val="594"/>
        </w:trPr>
        <w:tc>
          <w:tcPr>
            <w:tcW w:w="1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55,454,495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78.76 %</w:t>
            </w:r>
          </w:p>
        </w:tc>
        <w:tc>
          <w:tcPr>
            <w:tcW w:w="80" w:type="dxa"/>
            <w:vAlign w:val="bottom"/>
          </w:tcPr>
          <w:p>
            <w:pPr>
              <w:spacing w:after="0"/>
              <w:rPr>
                <w:sz w:val="24"/>
                <w:szCs w:val="24"/>
                <w:color w:val="auto"/>
              </w:rPr>
            </w:pP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14,952,161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21.24 %</w:t>
            </w:r>
          </w:p>
        </w:tc>
        <w:tc>
          <w:tcPr>
            <w:tcW w:w="100" w:type="dxa"/>
            <w:vAlign w:val="bottom"/>
          </w:tcPr>
          <w:p>
            <w:pPr>
              <w:spacing w:after="0"/>
              <w:rPr>
                <w:sz w:val="24"/>
                <w:szCs w:val="24"/>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36,000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418"/>
        </w:trPr>
        <w:tc>
          <w:tcPr>
            <w:tcW w:w="1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54,969,580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78.07 %</w:t>
            </w:r>
          </w:p>
        </w:tc>
        <w:tc>
          <w:tcPr>
            <w:tcW w:w="80" w:type="dxa"/>
            <w:vAlign w:val="bottom"/>
          </w:tcPr>
          <w:p>
            <w:pPr>
              <w:spacing w:after="0"/>
              <w:rPr>
                <w:sz w:val="24"/>
                <w:szCs w:val="24"/>
                <w:color w:val="auto"/>
              </w:rPr>
            </w:pP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15,437,276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21.93 %</w:t>
            </w:r>
          </w:p>
        </w:tc>
        <w:tc>
          <w:tcPr>
            <w:tcW w:w="100" w:type="dxa"/>
            <w:vAlign w:val="bottom"/>
          </w:tcPr>
          <w:p>
            <w:pPr>
              <w:spacing w:after="0"/>
              <w:rPr>
                <w:sz w:val="24"/>
                <w:szCs w:val="24"/>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35,800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418"/>
        </w:trPr>
        <w:tc>
          <w:tcPr>
            <w:tcW w:w="1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69,487,277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98.68 %</w:t>
            </w:r>
          </w:p>
        </w:tc>
        <w:tc>
          <w:tcPr>
            <w:tcW w:w="80" w:type="dxa"/>
            <w:vAlign w:val="bottom"/>
          </w:tcPr>
          <w:p>
            <w:pPr>
              <w:spacing w:after="0"/>
              <w:rPr>
                <w:sz w:val="24"/>
                <w:szCs w:val="24"/>
                <w:color w:val="auto"/>
              </w:rPr>
            </w:pP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926,792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00" w:type="dxa"/>
            <w:vAlign w:val="bottom"/>
          </w:tcPr>
          <w:p>
            <w:pPr>
              <w:spacing w:after="0"/>
              <w:rPr>
                <w:sz w:val="24"/>
                <w:szCs w:val="24"/>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28,587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0.04 %</w:t>
            </w:r>
          </w:p>
        </w:tc>
      </w:tr>
      <w:tr>
        <w:trPr>
          <w:trHeight w:val="419"/>
        </w:trPr>
        <w:tc>
          <w:tcPr>
            <w:tcW w:w="1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55,326,277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78.59 %</w:t>
            </w:r>
          </w:p>
        </w:tc>
        <w:tc>
          <w:tcPr>
            <w:tcW w:w="80" w:type="dxa"/>
            <w:vAlign w:val="bottom"/>
          </w:tcPr>
          <w:p>
            <w:pPr>
              <w:spacing w:after="0"/>
              <w:rPr>
                <w:sz w:val="24"/>
                <w:szCs w:val="24"/>
                <w:color w:val="auto"/>
              </w:rPr>
            </w:pP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15,076,566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21.41 %</w:t>
            </w:r>
          </w:p>
        </w:tc>
        <w:tc>
          <w:tcPr>
            <w:tcW w:w="100" w:type="dxa"/>
            <w:vAlign w:val="bottom"/>
          </w:tcPr>
          <w:p>
            <w:pPr>
              <w:spacing w:after="0"/>
              <w:rPr>
                <w:sz w:val="24"/>
                <w:szCs w:val="24"/>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39,813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-1490980</wp:posOffset>
            </wp:positionV>
            <wp:extent cx="7132320" cy="488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8831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-736600</wp:posOffset>
            </wp:positionV>
            <wp:extent cx="7132320" cy="266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-205105</wp:posOffset>
            </wp:positionV>
            <wp:extent cx="7132320" cy="265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ectPr>
          <w:pgSz w:w="11900" w:h="16838" w:orient="portrait"/>
          <w:cols w:equalWidth="0" w:num="2">
            <w:col w:w="4034" w:space="100"/>
            <w:col w:w="7080"/>
          </w:cols>
          <w:pgMar w:left="346" w:top="1440" w:right="339" w:bottom="1440" w:gutter="0" w:footer="0" w:header="0"/>
        </w:sectPr>
      </w:pPr>
    </w:p>
    <w:bookmarkStart w:id="3" w:name="page4"/>
    <w:bookmarkEnd w:id="3"/>
    <w:p>
      <w:pPr>
        <w:spacing w:after="0" w:line="200" w:lineRule="exact"/>
        <w:rPr>
          <w:sz w:val="20"/>
          <w:szCs w:val="20"/>
          <w:color w:val="auto"/>
        </w:rPr>
      </w:pPr>
    </w:p>
    <w:p>
      <w:pPr>
        <w:spacing w:after="0" w:line="300" w:lineRule="exact"/>
        <w:rPr>
          <w:sz w:val="20"/>
          <w:szCs w:val="20"/>
          <w:color w:val="auto"/>
        </w:rPr>
      </w:pPr>
    </w:p>
    <w:p>
      <w:pPr>
        <w:ind w:left="414"/>
        <w:spacing w:after="0"/>
        <w:rPr>
          <w:sz w:val="20"/>
          <w:szCs w:val="20"/>
          <w:color w:val="auto"/>
        </w:rPr>
      </w:pPr>
      <w:r>
        <w:rPr>
          <w:rFonts w:ascii="Times New Roman" w:cs="Times New Roman" w:eastAsia="Times New Roman" w:hAnsi="Times New Roman"/>
          <w:sz w:val="17"/>
          <w:szCs w:val="17"/>
          <w:b w:val="1"/>
          <w:bCs w:val="1"/>
          <w:u w:val="single" w:color="auto"/>
          <w:color w:val="auto"/>
        </w:rPr>
        <w:t>Extraordinary General Shareholders’ Meeting</w:t>
      </w:r>
    </w:p>
    <w:p>
      <w:pPr>
        <w:spacing w:after="0" w:line="43" w:lineRule="exact"/>
        <w:rPr>
          <w:sz w:val="20"/>
          <w:szCs w:val="20"/>
          <w:color w:val="auto"/>
        </w:rPr>
      </w:pPr>
    </w:p>
    <w:p>
      <w:pPr>
        <w:ind w:left="414" w:right="20" w:hanging="414"/>
        <w:spacing w:after="0" w:line="234" w:lineRule="auto"/>
        <w:tabs>
          <w:tab w:leader="none" w:pos="4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the Board of Directors to reduce share capital by cancelling treasury shares.</w:t>
      </w:r>
    </w:p>
    <w:p>
      <w:pPr>
        <w:spacing w:after="0" w:line="10" w:lineRule="exact"/>
        <w:rPr>
          <w:rFonts w:ascii="Times New Roman" w:cs="Times New Roman" w:eastAsia="Times New Roman" w:hAnsi="Times New Roman"/>
          <w:sz w:val="18"/>
          <w:szCs w:val="18"/>
          <w:color w:val="auto"/>
        </w:rPr>
      </w:pPr>
    </w:p>
    <w:p>
      <w:pPr>
        <w:ind w:left="414" w:right="60" w:hanging="414"/>
        <w:spacing w:after="0" w:line="217" w:lineRule="auto"/>
        <w:tabs>
          <w:tab w:leader="none" w:pos="4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 of authority to the Board of Directors to carry out a capital increase by issuing shares, equity securities giving access to other equity securities or giving the right to the allocation of debt securities and/or securities giving access to equity securities, maintaining preferential subscription rights.</w:t>
      </w:r>
    </w:p>
    <w:p>
      <w:pPr>
        <w:spacing w:after="0" w:line="4" w:lineRule="exact"/>
        <w:rPr>
          <w:rFonts w:ascii="Times New Roman" w:cs="Times New Roman" w:eastAsia="Times New Roman" w:hAnsi="Times New Roman"/>
          <w:sz w:val="18"/>
          <w:szCs w:val="18"/>
          <w:color w:val="auto"/>
        </w:rPr>
      </w:pPr>
    </w:p>
    <w:p>
      <w:pPr>
        <w:ind w:left="414" w:hanging="414"/>
        <w:spacing w:after="0" w:line="215" w:lineRule="auto"/>
        <w:tabs>
          <w:tab w:leader="none" w:pos="4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 of authority to the Board of Directors to carry out a capital increase by issuing shares, equity securities giving access to other equity securities or giving the right to the allocation of debt securities and/or securities giving access to equity securities, with cancellation of the preferential subscription rights by way of an offer to the public, and with the ability to confer a right of priority.</w:t>
      </w:r>
    </w:p>
    <w:p>
      <w:pPr>
        <w:spacing w:after="0" w:line="5" w:lineRule="exact"/>
        <w:rPr>
          <w:rFonts w:ascii="Times New Roman" w:cs="Times New Roman" w:eastAsia="Times New Roman" w:hAnsi="Times New Roman"/>
          <w:sz w:val="18"/>
          <w:szCs w:val="18"/>
          <w:color w:val="auto"/>
        </w:rPr>
      </w:pPr>
    </w:p>
    <w:p>
      <w:pPr>
        <w:ind w:left="414" w:right="60" w:hanging="414"/>
        <w:spacing w:after="0" w:line="215" w:lineRule="auto"/>
        <w:tabs>
          <w:tab w:leader="none" w:pos="4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 of authority to the Board of Directors to carry out a capital increase by issuing shares, equity securities giving access to other equity securities or giving the right to the allocation of debt securities and/or securities giving access to equity securities, with cancellation of the preferential subscription rights in favor of a specific category of persons.</w:t>
      </w:r>
    </w:p>
    <w:p>
      <w:pPr>
        <w:spacing w:after="0" w:line="10" w:lineRule="exact"/>
        <w:rPr>
          <w:rFonts w:ascii="Times New Roman" w:cs="Times New Roman" w:eastAsia="Times New Roman" w:hAnsi="Times New Roman"/>
          <w:sz w:val="18"/>
          <w:szCs w:val="18"/>
          <w:color w:val="auto"/>
        </w:rPr>
      </w:pPr>
    </w:p>
    <w:p>
      <w:pPr>
        <w:ind w:left="414" w:hanging="414"/>
        <w:spacing w:after="0" w:line="213" w:lineRule="auto"/>
        <w:tabs>
          <w:tab w:leader="none" w:pos="4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 of authority to the Board of Directors to carry out a capital increase, within the limit of 30% of the share capital per year, by issuing shares, equity securities conferring access to other equity securities or conferring the right to an allotment of debt securities and/or securities conferring access to equity securities, with cancellation of the preferential subscription rights by way of a public offer to qualified investors or a restricted group of investors, within the meaning of Article L. 411-2, paragraph 1°, of the French Monetary and Financial Code (Code monétaire et financier).</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5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For</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700" w:type="dxa"/>
            <w:vAlign w:val="bottom"/>
            <w:tcBorders>
              <w:bottom w:val="single" w:sz="8" w:color="auto"/>
            </w:tcBorders>
          </w:tcPr>
          <w:p>
            <w:pPr>
              <w:spacing w:after="0"/>
              <w:rPr>
                <w:sz w:val="20"/>
                <w:szCs w:val="20"/>
                <w:color w:val="auto"/>
              </w:rPr>
            </w:pPr>
          </w:p>
        </w:tc>
      </w:tr>
      <w:tr>
        <w:trPr>
          <w:trHeight w:val="232"/>
        </w:trPr>
        <w:tc>
          <w:tcPr>
            <w:tcW w:w="15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5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7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5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15"/>
        </w:trPr>
        <w:tc>
          <w:tcPr>
            <w:tcW w:w="1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70,276,682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99.81 %</w:t>
            </w:r>
          </w:p>
        </w:tc>
        <w:tc>
          <w:tcPr>
            <w:tcW w:w="80" w:type="dxa"/>
            <w:vAlign w:val="bottom"/>
          </w:tcPr>
          <w:p>
            <w:pPr>
              <w:spacing w:after="0"/>
              <w:rPr>
                <w:sz w:val="24"/>
                <w:szCs w:val="24"/>
                <w:color w:val="auto"/>
              </w:rPr>
            </w:pP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133,617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0.19 %</w:t>
            </w:r>
          </w:p>
        </w:tc>
        <w:tc>
          <w:tcPr>
            <w:tcW w:w="100" w:type="dxa"/>
            <w:vAlign w:val="bottom"/>
          </w:tcPr>
          <w:p>
            <w:pPr>
              <w:spacing w:after="0"/>
              <w:rPr>
                <w:sz w:val="24"/>
                <w:szCs w:val="24"/>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32,357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864"/>
        </w:trPr>
        <w:tc>
          <w:tcPr>
            <w:tcW w:w="1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54,873,990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77.94 %</w:t>
            </w:r>
          </w:p>
        </w:tc>
        <w:tc>
          <w:tcPr>
            <w:tcW w:w="80" w:type="dxa"/>
            <w:vAlign w:val="bottom"/>
          </w:tcPr>
          <w:p>
            <w:pPr>
              <w:spacing w:after="0"/>
              <w:rPr>
                <w:sz w:val="24"/>
                <w:szCs w:val="24"/>
                <w:color w:val="auto"/>
              </w:rPr>
            </w:pP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15,533,112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22.06 %</w:t>
            </w:r>
          </w:p>
        </w:tc>
        <w:tc>
          <w:tcPr>
            <w:tcW w:w="100" w:type="dxa"/>
            <w:vAlign w:val="bottom"/>
          </w:tcPr>
          <w:p>
            <w:pPr>
              <w:spacing w:after="0"/>
              <w:rPr>
                <w:sz w:val="24"/>
                <w:szCs w:val="24"/>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35,554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-753745</wp:posOffset>
            </wp:positionV>
            <wp:extent cx="7132320" cy="266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342900</wp:posOffset>
            </wp:positionV>
            <wp:extent cx="7132320" cy="1062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20"/>
        <w:spacing w:after="0"/>
        <w:tabs>
          <w:tab w:leader="none" w:pos="1660" w:val="left"/>
          <w:tab w:leader="none" w:pos="2800" w:val="left"/>
          <w:tab w:leader="none" w:pos="4080" w:val="left"/>
          <w:tab w:leader="none" w:pos="5500" w:val="left"/>
          <w:tab w:leader="none" w:pos="6520" w:val="left"/>
        </w:tabs>
        <w:rPr>
          <w:sz w:val="20"/>
          <w:szCs w:val="20"/>
          <w:color w:val="auto"/>
        </w:rPr>
      </w:pPr>
      <w:r>
        <w:rPr>
          <w:rFonts w:ascii="Times New Roman" w:cs="Times New Roman" w:eastAsia="Times New Roman" w:hAnsi="Times New Roman"/>
          <w:sz w:val="18"/>
          <w:szCs w:val="18"/>
          <w:color w:val="auto"/>
        </w:rPr>
        <w:t>54,823,677</w:t>
      </w:r>
      <w:r>
        <w:rPr>
          <w:sz w:val="20"/>
          <w:szCs w:val="20"/>
          <w:color w:val="auto"/>
        </w:rPr>
        <w:tab/>
      </w:r>
      <w:r>
        <w:rPr>
          <w:rFonts w:ascii="Times New Roman" w:cs="Times New Roman" w:eastAsia="Times New Roman" w:hAnsi="Times New Roman"/>
          <w:sz w:val="18"/>
          <w:szCs w:val="18"/>
          <w:color w:val="auto"/>
        </w:rPr>
        <w:t>77.87 %</w:t>
      </w:r>
      <w:r>
        <w:rPr>
          <w:sz w:val="20"/>
          <w:szCs w:val="20"/>
          <w:color w:val="auto"/>
        </w:rPr>
        <w:tab/>
      </w:r>
      <w:r>
        <w:rPr>
          <w:rFonts w:ascii="Times New Roman" w:cs="Times New Roman" w:eastAsia="Times New Roman" w:hAnsi="Times New Roman"/>
          <w:sz w:val="18"/>
          <w:szCs w:val="18"/>
          <w:color w:val="auto"/>
        </w:rPr>
        <w:t>15,579,450</w:t>
      </w:r>
      <w:r>
        <w:rPr>
          <w:sz w:val="20"/>
          <w:szCs w:val="20"/>
          <w:color w:val="auto"/>
        </w:rPr>
        <w:tab/>
      </w:r>
      <w:r>
        <w:rPr>
          <w:rFonts w:ascii="Times New Roman" w:cs="Times New Roman" w:eastAsia="Times New Roman" w:hAnsi="Times New Roman"/>
          <w:sz w:val="18"/>
          <w:szCs w:val="18"/>
          <w:color w:val="auto"/>
        </w:rPr>
        <w:t>22.13 %</w:t>
      </w:r>
      <w:r>
        <w:rPr>
          <w:sz w:val="20"/>
          <w:szCs w:val="20"/>
          <w:color w:val="auto"/>
        </w:rPr>
        <w:tab/>
      </w:r>
      <w:r>
        <w:rPr>
          <w:rFonts w:ascii="Times New Roman" w:cs="Times New Roman" w:eastAsia="Times New Roman" w:hAnsi="Times New Roman"/>
          <w:sz w:val="18"/>
          <w:szCs w:val="18"/>
          <w:color w:val="auto"/>
        </w:rPr>
        <w:t>39,529</w:t>
      </w:r>
      <w:r>
        <w:rPr>
          <w:sz w:val="20"/>
          <w:szCs w:val="20"/>
          <w:color w:val="auto"/>
        </w:rPr>
        <w:tab/>
      </w:r>
      <w:r>
        <w:rPr>
          <w:rFonts w:ascii="Times New Roman" w:cs="Times New Roman" w:eastAsia="Times New Roman" w:hAnsi="Times New Roman"/>
          <w:sz w:val="18"/>
          <w:szCs w:val="18"/>
          <w:color w:val="auto"/>
        </w:rPr>
        <w:t>0.06 %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20"/>
        <w:spacing w:after="0"/>
        <w:tabs>
          <w:tab w:leader="none" w:pos="1660" w:val="left"/>
          <w:tab w:leader="none" w:pos="2800" w:val="left"/>
          <w:tab w:leader="none" w:pos="4080" w:val="left"/>
          <w:tab w:leader="none" w:pos="5500" w:val="left"/>
          <w:tab w:leader="none" w:pos="6520" w:val="left"/>
        </w:tabs>
        <w:rPr>
          <w:sz w:val="20"/>
          <w:szCs w:val="20"/>
          <w:color w:val="auto"/>
        </w:rPr>
      </w:pPr>
      <w:r>
        <w:rPr>
          <w:rFonts w:ascii="Times New Roman" w:cs="Times New Roman" w:eastAsia="Times New Roman" w:hAnsi="Times New Roman"/>
          <w:sz w:val="18"/>
          <w:szCs w:val="18"/>
          <w:color w:val="auto"/>
        </w:rPr>
        <w:t>54,946,334</w:t>
      </w:r>
      <w:r>
        <w:rPr>
          <w:sz w:val="20"/>
          <w:szCs w:val="20"/>
          <w:color w:val="auto"/>
        </w:rPr>
        <w:tab/>
      </w:r>
      <w:r>
        <w:rPr>
          <w:rFonts w:ascii="Times New Roman" w:cs="Times New Roman" w:eastAsia="Times New Roman" w:hAnsi="Times New Roman"/>
          <w:sz w:val="18"/>
          <w:szCs w:val="18"/>
          <w:color w:val="auto"/>
        </w:rPr>
        <w:t>78.05 %</w:t>
      </w:r>
      <w:r>
        <w:rPr>
          <w:sz w:val="20"/>
          <w:szCs w:val="20"/>
          <w:color w:val="auto"/>
        </w:rPr>
        <w:tab/>
      </w:r>
      <w:r>
        <w:rPr>
          <w:rFonts w:ascii="Times New Roman" w:cs="Times New Roman" w:eastAsia="Times New Roman" w:hAnsi="Times New Roman"/>
          <w:sz w:val="18"/>
          <w:szCs w:val="18"/>
          <w:color w:val="auto"/>
        </w:rPr>
        <w:t>15,456,743</w:t>
      </w:r>
      <w:r>
        <w:rPr>
          <w:sz w:val="20"/>
          <w:szCs w:val="20"/>
          <w:color w:val="auto"/>
        </w:rPr>
        <w:tab/>
      </w:r>
      <w:r>
        <w:rPr>
          <w:rFonts w:ascii="Times New Roman" w:cs="Times New Roman" w:eastAsia="Times New Roman" w:hAnsi="Times New Roman"/>
          <w:sz w:val="18"/>
          <w:szCs w:val="18"/>
          <w:color w:val="auto"/>
        </w:rPr>
        <w:t>21.95 %</w:t>
      </w:r>
      <w:r>
        <w:rPr>
          <w:sz w:val="20"/>
          <w:szCs w:val="20"/>
          <w:color w:val="auto"/>
        </w:rPr>
        <w:tab/>
      </w:r>
      <w:r>
        <w:rPr>
          <w:rFonts w:ascii="Times New Roman" w:cs="Times New Roman" w:eastAsia="Times New Roman" w:hAnsi="Times New Roman"/>
          <w:sz w:val="18"/>
          <w:szCs w:val="18"/>
          <w:color w:val="auto"/>
        </w:rPr>
        <w:t>39,579</w:t>
      </w:r>
      <w:r>
        <w:rPr>
          <w:sz w:val="20"/>
          <w:szCs w:val="20"/>
          <w:color w:val="auto"/>
        </w:rPr>
        <w:tab/>
      </w:r>
      <w:r>
        <w:rPr>
          <w:rFonts w:ascii="Times New Roman" w:cs="Times New Roman" w:eastAsia="Times New Roman" w:hAnsi="Times New Roman"/>
          <w:sz w:val="18"/>
          <w:szCs w:val="18"/>
          <w:color w:val="auto"/>
        </w:rPr>
        <w:t>0.06 %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420370</wp:posOffset>
            </wp:positionV>
            <wp:extent cx="7132320" cy="1517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20"/>
        <w:spacing w:after="0"/>
        <w:tabs>
          <w:tab w:leader="none" w:pos="1660" w:val="left"/>
          <w:tab w:leader="none" w:pos="2820" w:val="left"/>
          <w:tab w:leader="none" w:pos="4080" w:val="left"/>
          <w:tab w:leader="none" w:pos="5500" w:val="left"/>
          <w:tab w:leader="none" w:pos="6520" w:val="left"/>
        </w:tabs>
        <w:rPr>
          <w:sz w:val="20"/>
          <w:szCs w:val="20"/>
          <w:color w:val="auto"/>
        </w:rPr>
      </w:pPr>
      <w:r>
        <w:rPr>
          <w:rFonts w:ascii="Times New Roman" w:cs="Times New Roman" w:eastAsia="Times New Roman" w:hAnsi="Times New Roman"/>
          <w:sz w:val="18"/>
          <w:szCs w:val="18"/>
          <w:color w:val="auto"/>
        </w:rPr>
        <w:t>54,946,016</w:t>
      </w:r>
      <w:r>
        <w:rPr>
          <w:sz w:val="20"/>
          <w:szCs w:val="20"/>
          <w:color w:val="auto"/>
        </w:rPr>
        <w:tab/>
      </w:r>
      <w:r>
        <w:rPr>
          <w:rFonts w:ascii="Times New Roman" w:cs="Times New Roman" w:eastAsia="Times New Roman" w:hAnsi="Times New Roman"/>
          <w:sz w:val="18"/>
          <w:szCs w:val="18"/>
          <w:color w:val="auto"/>
        </w:rPr>
        <w:t>78.04 %</w:t>
      </w:r>
      <w:r>
        <w:rPr>
          <w:sz w:val="20"/>
          <w:szCs w:val="20"/>
          <w:color w:val="auto"/>
        </w:rPr>
        <w:tab/>
      </w:r>
      <w:r>
        <w:rPr>
          <w:rFonts w:ascii="Times New Roman" w:cs="Times New Roman" w:eastAsia="Times New Roman" w:hAnsi="Times New Roman"/>
          <w:sz w:val="18"/>
          <w:szCs w:val="18"/>
          <w:color w:val="auto"/>
        </w:rPr>
        <w:t>15,457,111</w:t>
      </w:r>
      <w:r>
        <w:rPr>
          <w:sz w:val="20"/>
          <w:szCs w:val="20"/>
          <w:color w:val="auto"/>
        </w:rPr>
        <w:tab/>
      </w:r>
      <w:r>
        <w:rPr>
          <w:rFonts w:ascii="Times New Roman" w:cs="Times New Roman" w:eastAsia="Times New Roman" w:hAnsi="Times New Roman"/>
          <w:sz w:val="18"/>
          <w:szCs w:val="18"/>
          <w:color w:val="auto"/>
        </w:rPr>
        <w:t>21.96 %</w:t>
      </w:r>
      <w:r>
        <w:rPr>
          <w:sz w:val="20"/>
          <w:szCs w:val="20"/>
          <w:color w:val="auto"/>
        </w:rPr>
        <w:tab/>
      </w:r>
      <w:r>
        <w:rPr>
          <w:rFonts w:ascii="Times New Roman" w:cs="Times New Roman" w:eastAsia="Times New Roman" w:hAnsi="Times New Roman"/>
          <w:sz w:val="18"/>
          <w:szCs w:val="18"/>
          <w:color w:val="auto"/>
        </w:rPr>
        <w:t>39,529</w:t>
      </w:r>
      <w:r>
        <w:rPr>
          <w:sz w:val="20"/>
          <w:szCs w:val="20"/>
          <w:color w:val="auto"/>
        </w:rPr>
        <w:tab/>
      </w:r>
      <w:r>
        <w:rPr>
          <w:rFonts w:ascii="Times New Roman" w:cs="Times New Roman" w:eastAsia="Times New Roman" w:hAnsi="Times New Roman"/>
          <w:sz w:val="18"/>
          <w:szCs w:val="18"/>
          <w:color w:val="auto"/>
        </w:rPr>
        <w:t>0.06 %</w:t>
      </w:r>
    </w:p>
    <w:p>
      <w:pPr>
        <w:sectPr>
          <w:pgSz w:w="11900" w:h="16838" w:orient="portrait"/>
          <w:cols w:equalWidth="0" w:num="2">
            <w:col w:w="3994" w:space="140"/>
            <w:col w:w="7080"/>
          </w:cols>
          <w:pgMar w:left="346" w:top="1440" w:right="339" w:bottom="1440" w:gutter="0" w:footer="0" w:header="0"/>
        </w:sectPr>
      </w:pPr>
    </w:p>
    <w:bookmarkStart w:id="4" w:name="page5"/>
    <w:bookmarkEnd w:id="4"/>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Extraordinary General Shareholders’ Meeting</w:t>
      </w:r>
    </w:p>
    <w:p>
      <w:pPr>
        <w:spacing w:after="0" w:line="31" w:lineRule="exact"/>
        <w:rPr>
          <w:sz w:val="20"/>
          <w:szCs w:val="20"/>
          <w:color w:val="auto"/>
        </w:rPr>
      </w:pPr>
    </w:p>
    <w:p>
      <w:pPr>
        <w:ind w:left="420" w:hanging="414"/>
        <w:spacing w:after="0" w:line="213"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 of authority to the Board of Directors to carry out a capital increase by issuing shares, equity securities conferring access to other equity securities or conferring the right to an allotment of debt securities and/or securities conferring access to equity securities, with cancellation of the preferential subscription rights in favor of certain categories of investors within the framework of an equity financing agreement in the United States stock market known as an “At-The-Market” or “ATM Program”.</w:t>
      </w:r>
    </w:p>
    <w:p>
      <w:pPr>
        <w:spacing w:after="0" w:line="12" w:lineRule="exact"/>
        <w:rPr>
          <w:rFonts w:ascii="Times New Roman" w:cs="Times New Roman" w:eastAsia="Times New Roman" w:hAnsi="Times New Roman"/>
          <w:sz w:val="18"/>
          <w:szCs w:val="18"/>
          <w:color w:val="auto"/>
        </w:rPr>
      </w:pPr>
    </w:p>
    <w:p>
      <w:pPr>
        <w:ind w:left="420" w:right="60" w:hanging="414"/>
        <w:spacing w:after="0" w:line="215"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 of authority to the Board of Directors to carry out a capital increase by issuing shares, equity securities giving access to other equity securities or giving the right to the allocation of debt securities and/or securities giving access to equity securities, with cancellation of the preferential subscription rights in favor of designated beneficiaries.</w:t>
      </w:r>
    </w:p>
    <w:p>
      <w:pPr>
        <w:spacing w:after="0" w:line="15" w:lineRule="exact"/>
        <w:rPr>
          <w:rFonts w:ascii="Times New Roman" w:cs="Times New Roman" w:eastAsia="Times New Roman" w:hAnsi="Times New Roman"/>
          <w:sz w:val="18"/>
          <w:szCs w:val="18"/>
          <w:color w:val="auto"/>
        </w:rPr>
      </w:pPr>
    </w:p>
    <w:p>
      <w:pPr>
        <w:ind w:left="420" w:right="60" w:hanging="414"/>
        <w:spacing w:after="0" w:line="224"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 of authority to the Board of Directors to increase the number of shares to be issued in the event of a capital increase with or without preferential subscription rights.</w:t>
      </w:r>
    </w:p>
    <w:p>
      <w:pPr>
        <w:spacing w:after="0" w:line="1" w:lineRule="exact"/>
        <w:rPr>
          <w:rFonts w:ascii="Times New Roman" w:cs="Times New Roman" w:eastAsia="Times New Roman" w:hAnsi="Times New Roman"/>
          <w:sz w:val="18"/>
          <w:szCs w:val="18"/>
          <w:color w:val="auto"/>
        </w:rPr>
      </w:pPr>
    </w:p>
    <w:p>
      <w:pPr>
        <w:ind w:left="420" w:right="60" w:hanging="414"/>
        <w:spacing w:after="0" w:line="229"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 of authority to the Board of Directors to increase capital by capitalizing premiums, reserves, profits or other items.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For</w:t>
            </w:r>
          </w:p>
        </w:tc>
        <w:tc>
          <w:tcPr>
            <w:tcW w:w="160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96"/>
              </w:rPr>
              <w:t>Abstain</w:t>
            </w:r>
          </w:p>
        </w:tc>
      </w:tr>
      <w:tr>
        <w:trPr>
          <w:trHeight w:val="232"/>
        </w:trPr>
        <w:tc>
          <w:tcPr>
            <w:tcW w:w="9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4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6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7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82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14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-5080</wp:posOffset>
            </wp:positionV>
            <wp:extent cx="7132320" cy="129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20"/>
        <w:spacing w:after="0"/>
        <w:tabs>
          <w:tab w:leader="none" w:pos="1660" w:val="left"/>
          <w:tab w:leader="none" w:pos="2800" w:val="left"/>
          <w:tab w:leader="none" w:pos="4080" w:val="left"/>
          <w:tab w:leader="none" w:pos="5500" w:val="left"/>
          <w:tab w:leader="none" w:pos="6520" w:val="left"/>
        </w:tabs>
        <w:rPr>
          <w:sz w:val="20"/>
          <w:szCs w:val="20"/>
          <w:color w:val="auto"/>
        </w:rPr>
      </w:pPr>
      <w:r>
        <w:rPr>
          <w:rFonts w:ascii="Times New Roman" w:cs="Times New Roman" w:eastAsia="Times New Roman" w:hAnsi="Times New Roman"/>
          <w:sz w:val="18"/>
          <w:szCs w:val="18"/>
          <w:color w:val="auto"/>
        </w:rPr>
        <w:t>55,053,391</w:t>
      </w:r>
      <w:r>
        <w:rPr>
          <w:sz w:val="20"/>
          <w:szCs w:val="20"/>
          <w:color w:val="auto"/>
        </w:rPr>
        <w:tab/>
      </w:r>
      <w:r>
        <w:rPr>
          <w:rFonts w:ascii="Times New Roman" w:cs="Times New Roman" w:eastAsia="Times New Roman" w:hAnsi="Times New Roman"/>
          <w:sz w:val="18"/>
          <w:szCs w:val="18"/>
          <w:color w:val="auto"/>
        </w:rPr>
        <w:t>78.20 %</w:t>
      </w:r>
      <w:r>
        <w:rPr>
          <w:sz w:val="20"/>
          <w:szCs w:val="20"/>
          <w:color w:val="auto"/>
        </w:rPr>
        <w:tab/>
      </w:r>
      <w:r>
        <w:rPr>
          <w:rFonts w:ascii="Times New Roman" w:cs="Times New Roman" w:eastAsia="Times New Roman" w:hAnsi="Times New Roman"/>
          <w:sz w:val="18"/>
          <w:szCs w:val="18"/>
          <w:color w:val="auto"/>
        </w:rPr>
        <w:t>15,349,736</w:t>
      </w:r>
      <w:r>
        <w:rPr>
          <w:sz w:val="20"/>
          <w:szCs w:val="20"/>
          <w:color w:val="auto"/>
        </w:rPr>
        <w:tab/>
      </w:r>
      <w:r>
        <w:rPr>
          <w:rFonts w:ascii="Times New Roman" w:cs="Times New Roman" w:eastAsia="Times New Roman" w:hAnsi="Times New Roman"/>
          <w:sz w:val="18"/>
          <w:szCs w:val="18"/>
          <w:color w:val="auto"/>
        </w:rPr>
        <w:t>21.80 %</w:t>
      </w:r>
      <w:r>
        <w:rPr>
          <w:sz w:val="20"/>
          <w:szCs w:val="20"/>
          <w:color w:val="auto"/>
        </w:rPr>
        <w:tab/>
      </w:r>
      <w:r>
        <w:rPr>
          <w:rFonts w:ascii="Times New Roman" w:cs="Times New Roman" w:eastAsia="Times New Roman" w:hAnsi="Times New Roman"/>
          <w:sz w:val="18"/>
          <w:szCs w:val="18"/>
          <w:color w:val="auto"/>
        </w:rPr>
        <w:t>39,529</w:t>
      </w:r>
      <w:r>
        <w:rPr>
          <w:sz w:val="20"/>
          <w:szCs w:val="20"/>
          <w:color w:val="auto"/>
        </w:rPr>
        <w:tab/>
      </w:r>
      <w:r>
        <w:rPr>
          <w:rFonts w:ascii="Times New Roman" w:cs="Times New Roman" w:eastAsia="Times New Roman" w:hAnsi="Times New Roman"/>
          <w:sz w:val="18"/>
          <w:szCs w:val="18"/>
          <w:color w:val="auto"/>
        </w:rPr>
        <w:t>0.06 %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20"/>
        <w:spacing w:after="0"/>
        <w:tabs>
          <w:tab w:leader="none" w:pos="1660" w:val="left"/>
          <w:tab w:leader="none" w:pos="2800" w:val="left"/>
          <w:tab w:leader="none" w:pos="4080" w:val="left"/>
          <w:tab w:leader="none" w:pos="5500" w:val="left"/>
          <w:tab w:leader="none" w:pos="6520" w:val="left"/>
        </w:tabs>
        <w:rPr>
          <w:sz w:val="20"/>
          <w:szCs w:val="20"/>
          <w:color w:val="auto"/>
        </w:rPr>
      </w:pPr>
      <w:r>
        <w:rPr>
          <w:rFonts w:ascii="Times New Roman" w:cs="Times New Roman" w:eastAsia="Times New Roman" w:hAnsi="Times New Roman"/>
          <w:sz w:val="18"/>
          <w:szCs w:val="18"/>
          <w:color w:val="auto"/>
        </w:rPr>
        <w:t>54,946,335</w:t>
      </w:r>
      <w:r>
        <w:rPr>
          <w:sz w:val="20"/>
          <w:szCs w:val="20"/>
          <w:color w:val="auto"/>
        </w:rPr>
        <w:tab/>
      </w:r>
      <w:r>
        <w:rPr>
          <w:rFonts w:ascii="Times New Roman" w:cs="Times New Roman" w:eastAsia="Times New Roman" w:hAnsi="Times New Roman"/>
          <w:sz w:val="18"/>
          <w:szCs w:val="18"/>
          <w:color w:val="auto"/>
        </w:rPr>
        <w:t>78.05 %</w:t>
      </w:r>
      <w:r>
        <w:rPr>
          <w:sz w:val="20"/>
          <w:szCs w:val="20"/>
          <w:color w:val="auto"/>
        </w:rPr>
        <w:tab/>
      </w:r>
      <w:r>
        <w:rPr>
          <w:rFonts w:ascii="Times New Roman" w:cs="Times New Roman" w:eastAsia="Times New Roman" w:hAnsi="Times New Roman"/>
          <w:sz w:val="18"/>
          <w:szCs w:val="18"/>
          <w:color w:val="auto"/>
        </w:rPr>
        <w:t>15,456,792</w:t>
      </w:r>
      <w:r>
        <w:rPr>
          <w:sz w:val="20"/>
          <w:szCs w:val="20"/>
          <w:color w:val="auto"/>
        </w:rPr>
        <w:tab/>
      </w:r>
      <w:r>
        <w:rPr>
          <w:rFonts w:ascii="Times New Roman" w:cs="Times New Roman" w:eastAsia="Times New Roman" w:hAnsi="Times New Roman"/>
          <w:sz w:val="18"/>
          <w:szCs w:val="18"/>
          <w:color w:val="auto"/>
        </w:rPr>
        <w:t>21.95 %</w:t>
      </w:r>
      <w:r>
        <w:rPr>
          <w:sz w:val="20"/>
          <w:szCs w:val="20"/>
          <w:color w:val="auto"/>
        </w:rPr>
        <w:tab/>
      </w:r>
      <w:r>
        <w:rPr>
          <w:rFonts w:ascii="Times New Roman" w:cs="Times New Roman" w:eastAsia="Times New Roman" w:hAnsi="Times New Roman"/>
          <w:sz w:val="18"/>
          <w:szCs w:val="18"/>
          <w:color w:val="auto"/>
        </w:rPr>
        <w:t>39,529</w:t>
      </w:r>
      <w:r>
        <w:rPr>
          <w:sz w:val="20"/>
          <w:szCs w:val="20"/>
          <w:color w:val="auto"/>
        </w:rPr>
        <w:tab/>
      </w:r>
      <w:r>
        <w:rPr>
          <w:rFonts w:ascii="Times New Roman" w:cs="Times New Roman" w:eastAsia="Times New Roman" w:hAnsi="Times New Roman"/>
          <w:sz w:val="18"/>
          <w:szCs w:val="18"/>
          <w:color w:val="auto"/>
        </w:rPr>
        <w:t>0.06 %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420370</wp:posOffset>
            </wp:positionV>
            <wp:extent cx="713232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54,875,278</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77.94 %</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15,527,861</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22.06 %</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39,517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r>
      <w:tr>
        <w:trPr>
          <w:trHeight w:val="675"/>
        </w:trPr>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70,246,176</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99.77 %</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164,279</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0.23 %</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32,201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r>
    </w:tbl>
    <w:p>
      <w:pPr>
        <w:sectPr>
          <w:pgSz w:w="11900" w:h="16838" w:orient="portrait"/>
          <w:cols w:equalWidth="0" w:num="2">
            <w:col w:w="4000" w:space="140"/>
            <w:col w:w="7080"/>
          </w:cols>
          <w:pgMar w:left="340" w:top="1440" w:right="339" w:bottom="1440" w:gutter="0" w:footer="0" w:header="0"/>
        </w:sectPr>
      </w:pPr>
    </w:p>
    <w:bookmarkStart w:id="5" w:name="page6"/>
    <w:bookmarkEnd w:id="5"/>
    <w:p>
      <w:pPr>
        <w:spacing w:after="0" w:line="257" w:lineRule="exact"/>
        <w:rPr>
          <w:sz w:val="20"/>
          <w:szCs w:val="20"/>
          <w:color w:val="auto"/>
        </w:rPr>
      </w:pPr>
    </w:p>
    <w:p>
      <w:pPr>
        <w:ind w:left="414"/>
        <w:spacing w:after="0"/>
        <w:rPr>
          <w:sz w:val="20"/>
          <w:szCs w:val="20"/>
          <w:color w:val="auto"/>
        </w:rPr>
      </w:pPr>
      <w:r>
        <w:rPr>
          <w:rFonts w:ascii="Times New Roman" w:cs="Times New Roman" w:eastAsia="Times New Roman" w:hAnsi="Times New Roman"/>
          <w:sz w:val="17"/>
          <w:szCs w:val="17"/>
          <w:b w:val="1"/>
          <w:bCs w:val="1"/>
          <w:u w:val="single" w:color="auto"/>
          <w:color w:val="auto"/>
        </w:rPr>
        <w:t>Extraordinary General Shareholders’ Meeting</w:t>
      </w:r>
    </w:p>
    <w:p>
      <w:pPr>
        <w:spacing w:after="0" w:line="43" w:lineRule="exact"/>
        <w:rPr>
          <w:sz w:val="20"/>
          <w:szCs w:val="20"/>
          <w:color w:val="auto"/>
        </w:rPr>
      </w:pPr>
    </w:p>
    <w:p>
      <w:pPr>
        <w:ind w:left="414" w:right="60" w:hanging="414"/>
        <w:spacing w:after="0" w:line="223" w:lineRule="auto"/>
        <w:tabs>
          <w:tab w:leader="none" w:pos="4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 of authority to the Board of Directors to issue shares and securities leading to a capital increase in consideration of non-cash contributions.</w:t>
      </w:r>
    </w:p>
    <w:p>
      <w:pPr>
        <w:ind w:left="414" w:right="60" w:hanging="414"/>
        <w:spacing w:after="0" w:line="223" w:lineRule="auto"/>
        <w:tabs>
          <w:tab w:leader="none" w:pos="4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 of authority to the Board of Directors to issue shares and securities entailing a capital increase in the event of a public exchange offer initiated by the Company.</w:t>
      </w:r>
    </w:p>
    <w:p>
      <w:pPr>
        <w:ind w:left="414" w:right="80" w:hanging="414"/>
        <w:spacing w:after="0" w:line="229" w:lineRule="auto"/>
        <w:tabs>
          <w:tab w:leader="none" w:pos="4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of the overall limits on the amount of the issues carried out pursuant to the delegations granted.</w:t>
      </w:r>
    </w:p>
    <w:p>
      <w:pPr>
        <w:spacing w:after="0" w:line="1" w:lineRule="exact"/>
        <w:rPr>
          <w:rFonts w:ascii="Times New Roman" w:cs="Times New Roman" w:eastAsia="Times New Roman" w:hAnsi="Times New Roman"/>
          <w:sz w:val="18"/>
          <w:szCs w:val="18"/>
          <w:color w:val="auto"/>
        </w:rPr>
      </w:pPr>
    </w:p>
    <w:p>
      <w:pPr>
        <w:ind w:left="414" w:right="140" w:hanging="414"/>
        <w:spacing w:after="0" w:line="219" w:lineRule="auto"/>
        <w:tabs>
          <w:tab w:leader="none" w:pos="4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the Board of Directors to grant share subscription and/or purchase options ("Options"), with cancellation of the shareholders' preferential subscription rights in favor of a specific category of persons.</w:t>
      </w:r>
    </w:p>
    <w:p>
      <w:pPr>
        <w:spacing w:after="0" w:line="9" w:lineRule="exact"/>
        <w:rPr>
          <w:rFonts w:ascii="Times New Roman" w:cs="Times New Roman" w:eastAsia="Times New Roman" w:hAnsi="Times New Roman"/>
          <w:sz w:val="18"/>
          <w:szCs w:val="18"/>
          <w:color w:val="auto"/>
        </w:rPr>
      </w:pPr>
    </w:p>
    <w:p>
      <w:pPr>
        <w:ind w:left="414" w:right="60" w:hanging="414"/>
        <w:spacing w:after="0" w:line="220" w:lineRule="auto"/>
        <w:tabs>
          <w:tab w:leader="none" w:pos="4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 of authority to the Board of Directors to issue and allot ordinary share warrants ("Warrants"), with cancellation of the shareholders’ preferential subscription rights in favor of a specific category of persons.</w:t>
      </w:r>
    </w:p>
    <w:p>
      <w:pPr>
        <w:spacing w:after="0" w:line="9" w:lineRule="exact"/>
        <w:rPr>
          <w:rFonts w:ascii="Times New Roman" w:cs="Times New Roman" w:eastAsia="Times New Roman" w:hAnsi="Times New Roman"/>
          <w:sz w:val="18"/>
          <w:szCs w:val="18"/>
          <w:color w:val="auto"/>
        </w:rPr>
      </w:pPr>
    </w:p>
    <w:p>
      <w:pPr>
        <w:ind w:left="414" w:right="180" w:hanging="414"/>
        <w:spacing w:after="0" w:line="220" w:lineRule="auto"/>
        <w:tabs>
          <w:tab w:leader="none" w:pos="4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the Board of Directors to allot free shares, whether existing or to be issued ("Free Shares"), with cancellation of the shareholders' preferential subscription rights in favor of a specific category of persons.</w:t>
      </w:r>
    </w:p>
    <w:p>
      <w:pPr>
        <w:spacing w:after="0" w:line="9" w:lineRule="exact"/>
        <w:rPr>
          <w:rFonts w:ascii="Times New Roman" w:cs="Times New Roman" w:eastAsia="Times New Roman" w:hAnsi="Times New Roman"/>
          <w:sz w:val="18"/>
          <w:szCs w:val="18"/>
          <w:color w:val="auto"/>
        </w:rPr>
      </w:pPr>
    </w:p>
    <w:p>
      <w:pPr>
        <w:ind w:left="414" w:right="80" w:hanging="414"/>
        <w:spacing w:after="0" w:line="220" w:lineRule="auto"/>
        <w:tabs>
          <w:tab w:leader="none" w:pos="4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of the overall limits on the amount of the issues carried out pursuant to the authorizations to grant Options and Free Shares and the delegations of authority in order to issue Warrants.</w:t>
      </w:r>
    </w:p>
    <w:p>
      <w:pPr>
        <w:spacing w:after="0" w:line="9" w:lineRule="exact"/>
        <w:rPr>
          <w:rFonts w:ascii="Times New Roman" w:cs="Times New Roman" w:eastAsia="Times New Roman" w:hAnsi="Times New Roman"/>
          <w:sz w:val="18"/>
          <w:szCs w:val="18"/>
          <w:color w:val="auto"/>
        </w:rPr>
      </w:pPr>
    </w:p>
    <w:p>
      <w:pPr>
        <w:ind w:left="414" w:hanging="414"/>
        <w:spacing w:after="0" w:line="217" w:lineRule="auto"/>
        <w:tabs>
          <w:tab w:leader="none" w:pos="4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 of authority to the Board of Directors to carry out a capital increase by issuing shares or securities conferring access to the Company's capital restricted to members of a company savings plan, with cancellation of the shareholders’ preferential subscription rights in favor thereof.</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320" w:type="dxa"/>
            <w:vAlign w:val="bottom"/>
            <w:tcBorders>
              <w:bottom w:val="single" w:sz="8" w:color="auto"/>
            </w:tcBorders>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For</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700" w:type="dxa"/>
            <w:vAlign w:val="bottom"/>
            <w:tcBorders>
              <w:bottom w:val="single" w:sz="8" w:color="auto"/>
            </w:tcBorders>
          </w:tcPr>
          <w:p>
            <w:pPr>
              <w:spacing w:after="0"/>
              <w:rPr>
                <w:sz w:val="20"/>
                <w:szCs w:val="20"/>
                <w:color w:val="auto"/>
              </w:rPr>
            </w:pPr>
          </w:p>
        </w:tc>
      </w:tr>
      <w:tr>
        <w:trPr>
          <w:trHeight w:val="223"/>
        </w:trPr>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56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7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58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79"/>
        </w:trPr>
        <w:tc>
          <w:tcPr>
            <w:tcW w:w="124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54,871,283</w:t>
            </w:r>
          </w:p>
        </w:tc>
        <w:tc>
          <w:tcPr>
            <w:tcW w:w="80" w:type="dxa"/>
            <w:vAlign w:val="bottom"/>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77.94 %</w:t>
            </w:r>
          </w:p>
        </w:tc>
        <w:tc>
          <w:tcPr>
            <w:tcW w:w="100" w:type="dxa"/>
            <w:vAlign w:val="bottom"/>
          </w:tcPr>
          <w:p>
            <w:pPr>
              <w:spacing w:after="0"/>
              <w:rPr>
                <w:sz w:val="24"/>
                <w:szCs w:val="2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15,531,856</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22.06 %</w:t>
            </w:r>
          </w:p>
        </w:tc>
        <w:tc>
          <w:tcPr>
            <w:tcW w:w="100" w:type="dxa"/>
            <w:vAlign w:val="bottom"/>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39,517</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0.06 %</w:t>
            </w:r>
          </w:p>
        </w:tc>
      </w:tr>
      <w:tr>
        <w:trPr>
          <w:trHeight w:val="770"/>
        </w:trPr>
        <w:tc>
          <w:tcPr>
            <w:tcW w:w="1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54,844,834</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77.90 %</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15,558,305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22.10 %</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r>
      <w:tr>
        <w:trPr>
          <w:trHeight w:val="675"/>
        </w:trPr>
        <w:tc>
          <w:tcPr>
            <w:tcW w:w="1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69,568,526</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98.80 %</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841,719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783"/>
        </w:trPr>
        <w:tc>
          <w:tcPr>
            <w:tcW w:w="1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54,161,043</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76.93 %</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16,242,096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23.07 %</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r>
      <w:tr>
        <w:trPr>
          <w:trHeight w:val="958"/>
        </w:trPr>
        <w:tc>
          <w:tcPr>
            <w:tcW w:w="12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54,143,113</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76.90 %</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16,260,026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23.10 %</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r>
      <w:tr>
        <w:trPr>
          <w:trHeight w:val="958"/>
        </w:trPr>
        <w:tc>
          <w:tcPr>
            <w:tcW w:w="1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53,983,571</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76.79 %</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16,318,396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23.21 %</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140,689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0.20 %</w:t>
            </w:r>
          </w:p>
        </w:tc>
      </w:tr>
      <w:tr>
        <w:trPr>
          <w:trHeight w:val="959"/>
        </w:trPr>
        <w:tc>
          <w:tcPr>
            <w:tcW w:w="1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70,380,891</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99.96 %</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1134"/>
        </w:trPr>
        <w:tc>
          <w:tcPr>
            <w:tcW w:w="1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70,200,401</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99.70 %</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209,994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0.30 %</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-4276725</wp:posOffset>
            </wp:positionV>
            <wp:extent cx="7132320" cy="488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8831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-3299460</wp:posOffset>
            </wp:positionV>
            <wp:extent cx="7132320"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-2313940</wp:posOffset>
            </wp:positionV>
            <wp:extent cx="7132320" cy="6089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60896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-1096645</wp:posOffset>
            </wp:positionV>
            <wp:extent cx="7132320" cy="608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ectPr>
          <w:pgSz w:w="11900" w:h="16838" w:orient="portrait"/>
          <w:cols w:equalWidth="0" w:num="2">
            <w:col w:w="3994" w:space="140"/>
            <w:col w:w="7080"/>
          </w:cols>
          <w:pgMar w:left="346" w:top="1440" w:right="339" w:bottom="1440" w:gutter="0" w:footer="0" w:header="0"/>
        </w:sectPr>
      </w:pPr>
    </w:p>
    <w:bookmarkStart w:id="6" w:name="page7"/>
    <w:bookmarkEnd w:id="6"/>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For</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720" w:type="dxa"/>
            <w:vAlign w:val="bottom"/>
            <w:tcBorders>
              <w:bottom w:val="single" w:sz="8" w:color="auto"/>
            </w:tcBorders>
          </w:tcPr>
          <w:p>
            <w:pPr>
              <w:spacing w:after="0"/>
              <w:rPr>
                <w:sz w:val="20"/>
                <w:szCs w:val="20"/>
                <w:color w:val="auto"/>
              </w:rPr>
            </w:pPr>
          </w:p>
        </w:tc>
      </w:tr>
      <w:tr>
        <w:trPr>
          <w:trHeight w:val="183"/>
        </w:trPr>
        <w:tc>
          <w:tcPr>
            <w:tcW w:w="4180" w:type="dxa"/>
            <w:vAlign w:val="bottom"/>
            <w:gridSpan w:val="3"/>
          </w:tcPr>
          <w:p>
            <w:pPr>
              <w:ind w:left="440"/>
              <w:spacing w:after="0" w:line="182" w:lineRule="exact"/>
              <w:rPr>
                <w:sz w:val="20"/>
                <w:szCs w:val="20"/>
                <w:color w:val="auto"/>
              </w:rPr>
            </w:pPr>
            <w:r>
              <w:rPr>
                <w:rFonts w:ascii="Times New Roman" w:cs="Times New Roman" w:eastAsia="Times New Roman" w:hAnsi="Times New Roman"/>
                <w:sz w:val="18"/>
                <w:szCs w:val="18"/>
                <w:b w:val="1"/>
                <w:bCs w:val="1"/>
                <w:color w:val="auto"/>
              </w:rPr>
              <w:t>Ordinary General Shareholders’ Meeting</w:t>
            </w:r>
          </w:p>
        </w:tc>
        <w:tc>
          <w:tcPr>
            <w:tcW w:w="1340" w:type="dxa"/>
            <w:vAlign w:val="bottom"/>
            <w:gridSpan w:val="2"/>
          </w:tcPr>
          <w:p>
            <w:pPr>
              <w:ind w:left="420"/>
              <w:spacing w:after="0" w:line="182" w:lineRule="exact"/>
              <w:rPr>
                <w:sz w:val="20"/>
                <w:szCs w:val="20"/>
                <w:color w:val="auto"/>
              </w:rPr>
            </w:pPr>
            <w:r>
              <w:rPr>
                <w:rFonts w:ascii="Times New Roman" w:cs="Times New Roman" w:eastAsia="Times New Roman" w:hAnsi="Times New Roman"/>
                <w:sz w:val="18"/>
                <w:szCs w:val="18"/>
                <w:b w:val="1"/>
                <w:bCs w:val="1"/>
                <w:color w:val="auto"/>
              </w:rPr>
              <w:t>Votes</w:t>
            </w:r>
          </w:p>
        </w:tc>
        <w:tc>
          <w:tcPr>
            <w:tcW w:w="960" w:type="dxa"/>
            <w:vAlign w:val="bottom"/>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5"/>
                <w:szCs w:val="15"/>
                <w:color w:val="auto"/>
              </w:rPr>
            </w:pPr>
          </w:p>
        </w:tc>
        <w:tc>
          <w:tcPr>
            <w:tcW w:w="1560" w:type="dxa"/>
            <w:vAlign w:val="bottom"/>
            <w:gridSpan w:val="3"/>
          </w:tcPr>
          <w:p>
            <w:pPr>
              <w:ind w:left="400"/>
              <w:spacing w:after="0" w:line="182" w:lineRule="exact"/>
              <w:rPr>
                <w:sz w:val="20"/>
                <w:szCs w:val="20"/>
                <w:color w:val="auto"/>
              </w:rPr>
            </w:pPr>
            <w:r>
              <w:rPr>
                <w:rFonts w:ascii="Times New Roman" w:cs="Times New Roman" w:eastAsia="Times New Roman" w:hAnsi="Times New Roman"/>
                <w:sz w:val="18"/>
                <w:szCs w:val="18"/>
                <w:b w:val="1"/>
                <w:bCs w:val="1"/>
                <w:color w:val="auto"/>
              </w:rPr>
              <w:t>Votes</w:t>
            </w:r>
          </w:p>
        </w:tc>
        <w:tc>
          <w:tcPr>
            <w:tcW w:w="72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5"/>
                <w:szCs w:val="15"/>
                <w:color w:val="auto"/>
              </w:rPr>
            </w:pPr>
          </w:p>
        </w:tc>
        <w:tc>
          <w:tcPr>
            <w:tcW w:w="1580" w:type="dxa"/>
            <w:vAlign w:val="bottom"/>
            <w:gridSpan w:val="3"/>
          </w:tcPr>
          <w:p>
            <w:pPr>
              <w:ind w:left="420"/>
              <w:spacing w:after="0" w:line="182" w:lineRule="exact"/>
              <w:rPr>
                <w:sz w:val="20"/>
                <w:szCs w:val="20"/>
                <w:color w:val="auto"/>
              </w:rPr>
            </w:pPr>
            <w:r>
              <w:rPr>
                <w:rFonts w:ascii="Times New Roman" w:cs="Times New Roman" w:eastAsia="Times New Roman" w:hAnsi="Times New Roman"/>
                <w:sz w:val="18"/>
                <w:szCs w:val="18"/>
                <w:b w:val="1"/>
                <w:bCs w:val="1"/>
                <w:color w:val="auto"/>
              </w:rPr>
              <w:t>Votes</w:t>
            </w:r>
          </w:p>
        </w:tc>
        <w:tc>
          <w:tcPr>
            <w:tcW w:w="72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440" w:type="dxa"/>
            <w:vAlign w:val="bottom"/>
            <w:tcBorders>
              <w:bottom w:val="single" w:sz="8" w:color="CCEEFF"/>
            </w:tcBorders>
          </w:tcPr>
          <w:p>
            <w:pPr>
              <w:spacing w:after="0" w:line="20" w:lineRule="exact"/>
              <w:rPr>
                <w:sz w:val="1"/>
                <w:szCs w:val="1"/>
                <w:color w:val="auto"/>
              </w:rPr>
            </w:pPr>
          </w:p>
        </w:tc>
        <w:tc>
          <w:tcPr>
            <w:tcW w:w="320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3"/>
        </w:trPr>
        <w:tc>
          <w:tcPr>
            <w:tcW w:w="4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  Powers for formalities.</w:t>
            </w:r>
          </w:p>
        </w:tc>
        <w:tc>
          <w:tcPr>
            <w:tcW w:w="1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8"/>
              </w:rPr>
              <w:t>70,402,455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0.05 %</w:t>
            </w:r>
          </w:p>
        </w:tc>
      </w:tr>
    </w:tbl>
    <w:p>
      <w:pPr>
        <w:spacing w:after="0" w:line="304" w:lineRule="exact"/>
        <w:rPr>
          <w:sz w:val="20"/>
          <w:szCs w:val="20"/>
          <w:color w:val="auto"/>
        </w:rPr>
      </w:pPr>
    </w:p>
    <w:p>
      <w:pPr>
        <w:jc w:val="both"/>
        <w:ind w:firstLine="8"/>
        <w:spacing w:after="0" w:line="226" w:lineRule="auto"/>
        <w:tabs>
          <w:tab w:leader="none" w:pos="104" w:val="left"/>
        </w:tabs>
        <w:numPr>
          <w:ilvl w:val="0"/>
          <w:numId w:val="6"/>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8"/>
          <w:szCs w:val="18"/>
          <w:i w:val="1"/>
          <w:iCs w:val="1"/>
          <w:color w:val="auto"/>
        </w:rPr>
        <w:t>Percentages of votes “For” and “Against” are calculated based on the total number of votes cast, excluding abstentions. The percentage of abstentions is provided for completeness and reflects the proportion of shares present or represented at the meeting that did not participate in the vote on the relevant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Press Release</w:t>
      </w:r>
    </w:p>
    <w:p>
      <w:pPr>
        <w:spacing w:after="0" w:line="2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May 11, 2026, the Company published a press release entitled “Abivax Announces Results of its May 11, 2026 Annual General Meeting.” A copy of the press release is filed as Exhibit 99.1 to this Report on Form 6-K and is incorporated herein by reference.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Incorporation by Reference</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Report on Form 6-K, including Exhibit 99.1 shall be deemed to be incorporated by reference into the Registrant’s registration statements on Form F-3 (File Nos. 333-283336 and 333-288884) and Form S-8 (File Nos. 333-286069 and 333294544) and to be part thereof from the date on which this Report is filed, to the extent not superseded by documents or reports subsequently filed.</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Exhibit Index</w:t>
      </w:r>
    </w:p>
    <w:p>
      <w:pPr>
        <w:spacing w:after="0" w:line="152" w:lineRule="exact"/>
        <w:rPr>
          <w:sz w:val="20"/>
          <w:szCs w:val="20"/>
          <w:color w:val="auto"/>
        </w:rPr>
      </w:pPr>
    </w:p>
    <w:p>
      <w:pPr>
        <w:ind w:left="20"/>
        <w:spacing w:after="0"/>
        <w:tabs>
          <w:tab w:leader="none" w:pos="1660" w:val="left"/>
        </w:tabs>
        <w:rPr>
          <w:sz w:val="20"/>
          <w:szCs w:val="20"/>
          <w:color w:val="auto"/>
        </w:rPr>
      </w:pPr>
      <w:r>
        <w:rPr>
          <w:rFonts w:ascii="Times New Roman" w:cs="Times New Roman" w:eastAsia="Times New Roman" w:hAnsi="Times New Roman"/>
          <w:sz w:val="14"/>
          <w:szCs w:val="14"/>
          <w:color w:val="auto"/>
        </w:rPr>
        <w:t>Exhibit 99.1</w:t>
      </w:r>
      <w:r>
        <w:rPr>
          <w:sz w:val="20"/>
          <w:szCs w:val="20"/>
          <w:color w:val="auto"/>
        </w:rPr>
        <w:tab/>
      </w:r>
      <w:r>
        <w:rPr>
          <w:rFonts w:ascii="Times New Roman" w:cs="Times New Roman" w:eastAsia="Times New Roman" w:hAnsi="Times New Roman"/>
          <w:sz w:val="14"/>
          <w:szCs w:val="14"/>
          <w:color w:val="auto"/>
        </w:rPr>
        <w:t>Press release, dated May 11, 2026</w:t>
      </w:r>
    </w:p>
    <w:p>
      <w:pPr>
        <w:sectPr>
          <w:pgSz w:w="11900" w:h="16838" w:orient="portrait"/>
          <w:cols w:equalWidth="0" w:num="1">
            <w:col w:w="11240"/>
          </w:cols>
          <w:pgMar w:left="320" w:top="1440" w:right="339" w:bottom="1440" w:gutter="0" w:footer="0" w:header="0"/>
        </w:sectPr>
      </w:pPr>
    </w:p>
    <w:bookmarkStart w:id="7" w:name="page8"/>
    <w:bookmarkEnd w:id="7"/>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b w:val="1"/>
          <w:bCs w:val="1"/>
          <w:u w:val="single" w:color="auto"/>
          <w:color w:val="auto"/>
        </w:rPr>
        <w:t>Abivax SA</w:t>
      </w:r>
    </w:p>
    <w:p>
      <w:pPr>
        <w:spacing w:after="0" w:line="20"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color w:val="auto"/>
        </w:rPr>
        <w:t>(Registrant)</w:t>
      </w:r>
    </w:p>
    <w:p>
      <w:pPr>
        <w:spacing w:after="0" w:line="300" w:lineRule="exact"/>
        <w:rPr>
          <w:sz w:val="20"/>
          <w:szCs w:val="20"/>
          <w:color w:val="auto"/>
        </w:rPr>
      </w:pPr>
    </w:p>
    <w:p>
      <w:pPr>
        <w:ind w:left="20"/>
        <w:spacing w:after="0"/>
        <w:tabs>
          <w:tab w:leader="none" w:pos="9100" w:val="left"/>
        </w:tabs>
        <w:rPr>
          <w:sz w:val="20"/>
          <w:szCs w:val="20"/>
          <w:color w:val="auto"/>
        </w:rPr>
      </w:pPr>
      <w:r>
        <w:rPr>
          <w:rFonts w:ascii="Times New Roman" w:cs="Times New Roman" w:eastAsia="Times New Roman" w:hAnsi="Times New Roman"/>
          <w:sz w:val="18"/>
          <w:szCs w:val="18"/>
          <w:color w:val="auto"/>
        </w:rPr>
        <w:t>Date: May 20, 2026</w:t>
      </w:r>
      <w:r>
        <w:rPr>
          <w:sz w:val="20"/>
          <w:szCs w:val="20"/>
          <w:color w:val="auto"/>
        </w:rPr>
        <w:tab/>
      </w:r>
      <w:r>
        <w:rPr>
          <w:rFonts w:ascii="Times New Roman" w:cs="Times New Roman" w:eastAsia="Times New Roman" w:hAnsi="Times New Roman"/>
          <w:sz w:val="18"/>
          <w:szCs w:val="18"/>
          <w:u w:val="single" w:color="auto"/>
          <w:color w:val="auto"/>
        </w:rPr>
        <w:t>/s/ Marc de Garidel</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680"/>
          </w:cols>
          <w:pgMar w:left="320" w:top="1400" w:right="8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56" w:lineRule="exact"/>
        <w:rPr>
          <w:sz w:val="20"/>
          <w:szCs w:val="20"/>
          <w:color w:val="auto"/>
        </w:rPr>
      </w:pPr>
    </w:p>
    <w:p>
      <w:pPr>
        <w:jc w:val="center"/>
        <w:spacing w:after="0" w:line="235" w:lineRule="auto"/>
        <w:rPr>
          <w:sz w:val="20"/>
          <w:szCs w:val="20"/>
          <w:color w:val="auto"/>
        </w:rPr>
      </w:pPr>
      <w:r>
        <w:rPr>
          <w:rFonts w:ascii="Verdana" w:cs="Verdana" w:eastAsia="Verdana" w:hAnsi="Verdana"/>
          <w:sz w:val="31"/>
          <w:szCs w:val="31"/>
          <w:b w:val="1"/>
          <w:bCs w:val="1"/>
          <w:color w:val="614DD1"/>
        </w:rPr>
        <w:t>Abivax Annouces Results of its May 11, 2026 Annual General Meeting</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auto"/>
        </w:rPr>
        <w:t xml:space="preserve">PARIS, France – May 11, 2026 – 10:05 pm CEST </w:t>
      </w:r>
      <w:r>
        <w:rPr>
          <w:rFonts w:ascii="Verdana" w:cs="Verdana" w:eastAsia="Verdana" w:hAnsi="Verdana"/>
          <w:sz w:val="20"/>
          <w:szCs w:val="20"/>
          <w:color w:val="auto"/>
        </w:rPr>
        <w:t>–</w:t>
      </w:r>
      <w:r>
        <w:rPr>
          <w:rFonts w:ascii="Verdana" w:cs="Verdana" w:eastAsia="Verdana" w:hAnsi="Verdana"/>
          <w:sz w:val="20"/>
          <w:szCs w:val="20"/>
          <w:b w:val="1"/>
          <w:bCs w:val="1"/>
          <w:color w:val="auto"/>
        </w:rPr>
        <w:t xml:space="preserve"> </w:t>
      </w:r>
      <w:r>
        <w:rPr>
          <w:rFonts w:ascii="Verdana" w:cs="Verdana" w:eastAsia="Verdana" w:hAnsi="Verdana"/>
          <w:sz w:val="20"/>
          <w:szCs w:val="20"/>
          <w:color w:val="0000FF"/>
        </w:rPr>
        <w:t>Abivax SA</w:t>
      </w:r>
      <w:r>
        <w:rPr>
          <w:rFonts w:ascii="Verdana" w:cs="Verdana" w:eastAsia="Verdana" w:hAnsi="Verdana"/>
          <w:sz w:val="20"/>
          <w:szCs w:val="20"/>
          <w:b w:val="1"/>
          <w:bCs w:val="1"/>
          <w:color w:val="auto"/>
        </w:rPr>
        <w:t xml:space="preserve"> </w:t>
      </w:r>
      <w:r>
        <w:rPr>
          <w:rFonts w:ascii="Verdana" w:cs="Verdana" w:eastAsia="Verdana" w:hAnsi="Verdana"/>
          <w:sz w:val="20"/>
          <w:szCs w:val="20"/>
          <w:color w:val="auto"/>
        </w:rPr>
        <w:t>(Euronext Paris: FR0012333284 – ABVX /</w:t>
      </w:r>
    </w:p>
    <w:p>
      <w:pPr>
        <w:jc w:val="both"/>
        <w:spacing w:after="0" w:line="219" w:lineRule="auto"/>
        <w:rPr>
          <w:sz w:val="20"/>
          <w:szCs w:val="20"/>
          <w:color w:val="auto"/>
        </w:rPr>
      </w:pPr>
      <w:r>
        <w:rPr>
          <w:rFonts w:ascii="Verdana" w:cs="Verdana" w:eastAsia="Verdana" w:hAnsi="Verdana"/>
          <w:sz w:val="20"/>
          <w:szCs w:val="20"/>
          <w:color w:val="auto"/>
        </w:rPr>
        <w:t>Nasdaq: ABVX) (“Abivax” or the “Company”), a clinical-stage biotechnology company focused on developing therapeutics that harness the body’s natural regulatory mechanisms to stabilize the immune response in</w:t>
      </w:r>
    </w:p>
    <w:p>
      <w:pPr>
        <w:spacing w:after="0" w:line="2" w:lineRule="exact"/>
        <w:rPr>
          <w:sz w:val="20"/>
          <w:szCs w:val="20"/>
          <w:color w:val="auto"/>
        </w:rPr>
      </w:pPr>
    </w:p>
    <w:p>
      <w:pPr>
        <w:jc w:val="both"/>
        <w:spacing w:after="0" w:line="226" w:lineRule="auto"/>
        <w:rPr>
          <w:sz w:val="20"/>
          <w:szCs w:val="20"/>
          <w:color w:val="auto"/>
        </w:rPr>
      </w:pPr>
      <w:r>
        <w:rPr>
          <w:rFonts w:ascii="Verdana" w:cs="Verdana" w:eastAsia="Verdana" w:hAnsi="Verdana"/>
          <w:sz w:val="20"/>
          <w:szCs w:val="20"/>
          <w:color w:val="auto"/>
        </w:rPr>
        <w:t>patients with chronic inflammatory diseases, held its annual general meeting of shareholders on May 11, 2026 (the “General Meeting”), which was chaired by Ms. Sylvie Grégoire, Chair of the Board of Directors of Abivax (the “Board”).</w:t>
      </w:r>
    </w:p>
    <w:p>
      <w:pPr>
        <w:spacing w:after="0" w:line="218" w:lineRule="exact"/>
        <w:rPr>
          <w:sz w:val="20"/>
          <w:szCs w:val="20"/>
          <w:color w:val="auto"/>
        </w:rPr>
      </w:pPr>
    </w:p>
    <w:p>
      <w:pPr>
        <w:jc w:val="both"/>
        <w:spacing w:after="0" w:line="231" w:lineRule="auto"/>
        <w:rPr>
          <w:sz w:val="20"/>
          <w:szCs w:val="20"/>
          <w:color w:val="auto"/>
        </w:rPr>
      </w:pPr>
      <w:r>
        <w:rPr>
          <w:rFonts w:ascii="Verdana" w:cs="Verdana" w:eastAsia="Verdana" w:hAnsi="Verdana"/>
          <w:sz w:val="19"/>
          <w:szCs w:val="19"/>
          <w:color w:val="auto"/>
        </w:rPr>
        <w:t>The shareholders have adopted all the resolutions proposed by the Board, and particularly the financial statements for the 2025 financial year, the compensation policy applicable to the Chairman, the Chief Executive</w:t>
      </w:r>
    </w:p>
    <w:p>
      <w:pPr>
        <w:spacing w:after="0" w:line="1" w:lineRule="exact"/>
        <w:rPr>
          <w:sz w:val="20"/>
          <w:szCs w:val="20"/>
          <w:color w:val="auto"/>
        </w:rPr>
      </w:pPr>
    </w:p>
    <w:p>
      <w:pPr>
        <w:ind w:right="1080"/>
        <w:spacing w:after="0" w:line="377" w:lineRule="auto"/>
        <w:rPr>
          <w:sz w:val="20"/>
          <w:szCs w:val="20"/>
          <w:color w:val="auto"/>
        </w:rPr>
      </w:pPr>
      <w:r>
        <w:rPr>
          <w:rFonts w:ascii="Verdana" w:cs="Verdana" w:eastAsia="Verdana" w:hAnsi="Verdana"/>
          <w:sz w:val="20"/>
          <w:szCs w:val="20"/>
          <w:color w:val="auto"/>
        </w:rPr>
        <w:t>Officer and the directors, as well as delegations granted to the Board related to financial transactions. Details of the vote results will be available on the Company’s website (</w:t>
      </w:r>
      <w:r>
        <w:rPr>
          <w:rFonts w:ascii="Verdana" w:cs="Verdana" w:eastAsia="Verdana" w:hAnsi="Verdana"/>
          <w:sz w:val="20"/>
          <w:szCs w:val="20"/>
          <w:color w:val="0000FF"/>
        </w:rPr>
        <w:t>www.abivax.com</w:t>
      </w:r>
      <w:r>
        <w:rPr>
          <w:rFonts w:ascii="Verdana" w:cs="Verdana" w:eastAsia="Verdana" w:hAnsi="Verdana"/>
          <w:sz w:val="20"/>
          <w:szCs w:val="20"/>
          <w:color w:val="auto"/>
        </w:rPr>
        <w:t xml:space="preserve">). </w:t>
      </w:r>
      <w:r>
        <w:rPr>
          <w:rFonts w:ascii="Verdana" w:cs="Verdana" w:eastAsia="Verdana" w:hAnsi="Verdana"/>
          <w:sz w:val="20"/>
          <w:szCs w:val="20"/>
          <w:b w:val="1"/>
          <w:bCs w:val="1"/>
          <w:color w:val="auto"/>
        </w:rPr>
        <w:t>About Abivax</w:t>
      </w:r>
    </w:p>
    <w:p>
      <w:pPr>
        <w:spacing w:after="0" w:line="2" w:lineRule="exact"/>
        <w:rPr>
          <w:sz w:val="20"/>
          <w:szCs w:val="20"/>
          <w:color w:val="auto"/>
        </w:rPr>
      </w:pPr>
    </w:p>
    <w:p>
      <w:pPr>
        <w:jc w:val="both"/>
        <w:spacing w:after="0" w:line="219" w:lineRule="auto"/>
        <w:rPr>
          <w:sz w:val="20"/>
          <w:szCs w:val="20"/>
          <w:color w:val="auto"/>
        </w:rPr>
      </w:pPr>
      <w:r>
        <w:rPr>
          <w:rFonts w:ascii="Verdana" w:cs="Verdana" w:eastAsia="Verdana" w:hAnsi="Verdana"/>
          <w:sz w:val="20"/>
          <w:szCs w:val="20"/>
          <w:color w:val="auto"/>
        </w:rPr>
        <w:t>Abivax is a clinical-stage biotechnology company focused on developing therapeutics that harness the body’s natural regulatory mechanisms to stabilize the immune response in patients with chronic inflammatory</w:t>
      </w:r>
    </w:p>
    <w:p>
      <w:pPr>
        <w:spacing w:after="0" w:line="2" w:lineRule="exact"/>
        <w:rPr>
          <w:sz w:val="20"/>
          <w:szCs w:val="20"/>
          <w:color w:val="auto"/>
        </w:rPr>
      </w:pPr>
    </w:p>
    <w:p>
      <w:pPr>
        <w:jc w:val="both"/>
        <w:spacing w:after="0" w:line="233" w:lineRule="auto"/>
        <w:rPr>
          <w:sz w:val="20"/>
          <w:szCs w:val="20"/>
          <w:color w:val="auto"/>
        </w:rPr>
      </w:pPr>
      <w:r>
        <w:rPr>
          <w:rFonts w:ascii="Verdana" w:cs="Verdana" w:eastAsia="Verdana" w:hAnsi="Verdana"/>
          <w:sz w:val="20"/>
          <w:szCs w:val="20"/>
          <w:color w:val="auto"/>
        </w:rPr>
        <w:t>diseases. Based in France and the United States, Abivax’s lead drug candidate, obefazimod (ABX464), is in Phase 3 clinical trials for the treatment of moderately to severely active ulcerative colitis.</w:t>
      </w:r>
    </w:p>
    <w:p>
      <w:pPr>
        <w:spacing w:after="0" w:line="189"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auto"/>
        </w:rPr>
        <w:t>Contact:</w:t>
      </w:r>
    </w:p>
    <w:p>
      <w:pPr>
        <w:spacing w:after="0" w:line="213" w:lineRule="auto"/>
        <w:rPr>
          <w:sz w:val="20"/>
          <w:szCs w:val="20"/>
          <w:color w:val="auto"/>
        </w:rPr>
      </w:pPr>
      <w:r>
        <w:rPr>
          <w:rFonts w:ascii="Verdana" w:cs="Verdana" w:eastAsia="Verdana" w:hAnsi="Verdana"/>
          <w:sz w:val="20"/>
          <w:szCs w:val="20"/>
          <w:color w:val="auto"/>
        </w:rPr>
        <w:t>Patrick Malloy</w:t>
      </w:r>
    </w:p>
    <w:p>
      <w:pPr>
        <w:spacing w:after="0" w:line="226" w:lineRule="auto"/>
        <w:rPr>
          <w:sz w:val="20"/>
          <w:szCs w:val="20"/>
          <w:color w:val="auto"/>
        </w:rPr>
      </w:pPr>
      <w:r>
        <w:rPr>
          <w:rFonts w:ascii="Verdana" w:cs="Verdana" w:eastAsia="Verdana" w:hAnsi="Verdana"/>
          <w:sz w:val="20"/>
          <w:szCs w:val="20"/>
          <w:color w:val="auto"/>
        </w:rPr>
        <w:t>SVP, Investor Relations</w:t>
      </w:r>
    </w:p>
    <w:p>
      <w:pPr>
        <w:spacing w:after="0" w:line="214" w:lineRule="auto"/>
        <w:rPr>
          <w:sz w:val="20"/>
          <w:szCs w:val="20"/>
          <w:color w:val="auto"/>
        </w:rPr>
      </w:pPr>
      <w:r>
        <w:rPr>
          <w:rFonts w:ascii="Verdana" w:cs="Verdana" w:eastAsia="Verdana" w:hAnsi="Verdana"/>
          <w:sz w:val="20"/>
          <w:szCs w:val="20"/>
          <w:color w:val="auto"/>
        </w:rPr>
        <w:t>Abivax SA</w:t>
      </w:r>
    </w:p>
    <w:p>
      <w:pPr>
        <w:spacing w:after="0" w:line="226" w:lineRule="auto"/>
        <w:rPr>
          <w:sz w:val="20"/>
          <w:szCs w:val="20"/>
          <w:color w:val="auto"/>
        </w:rPr>
      </w:pPr>
      <w:r>
        <w:rPr>
          <w:rFonts w:ascii="Verdana" w:cs="Verdana" w:eastAsia="Verdana" w:hAnsi="Verdana"/>
          <w:sz w:val="20"/>
          <w:szCs w:val="20"/>
          <w:color w:val="0000FF"/>
        </w:rPr>
        <w:t>patrick.malloy@abivax.com</w:t>
      </w:r>
    </w:p>
    <w:p>
      <w:pPr>
        <w:spacing w:after="0" w:line="1" w:lineRule="exact"/>
        <w:rPr>
          <w:sz w:val="20"/>
          <w:szCs w:val="20"/>
          <w:color w:val="auto"/>
        </w:rPr>
      </w:pPr>
    </w:p>
    <w:p>
      <w:pPr>
        <w:spacing w:after="0"/>
        <w:rPr>
          <w:sz w:val="20"/>
          <w:szCs w:val="20"/>
          <w:color w:val="auto"/>
        </w:rPr>
      </w:pPr>
      <w:r>
        <w:rPr>
          <w:rFonts w:ascii="Verdana" w:cs="Verdana" w:eastAsia="Verdana" w:hAnsi="Verdana"/>
          <w:sz w:val="20"/>
          <w:szCs w:val="20"/>
          <w:color w:val="auto"/>
        </w:rPr>
        <w:t>+1 847 987 4878</w:t>
      </w:r>
    </w:p>
    <w:sectPr>
      <w:pgSz w:w="11900" w:h="16838" w:orient="portrait"/>
      <w:cols w:equalWidth="0" w:num="1">
        <w:col w:w="11240"/>
      </w:cols>
      <w:pgMar w:left="320" w:top="8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1"/>
    </w:lvl>
  </w:abstractNum>
  <w:abstractNum w:abstractNumId="2">
    <w:nsid w:val="238E1F29"/>
    <w:multiLevelType w:val="hybridMultilevel"/>
    <w:lvl w:ilvl="0">
      <w:lvlJc w:val="left"/>
      <w:lvlText w:val="%1."/>
      <w:numFmt w:val="decimal"/>
      <w:start w:val="16"/>
    </w:lvl>
  </w:abstractNum>
  <w:abstractNum w:abstractNumId="3">
    <w:nsid w:val="46E87CCD"/>
    <w:multiLevelType w:val="hybridMultilevel"/>
    <w:lvl w:ilvl="0">
      <w:lvlJc w:val="left"/>
      <w:lvlText w:val="%1."/>
      <w:numFmt w:val="decimal"/>
      <w:start w:val="21"/>
    </w:lvl>
  </w:abstractNum>
  <w:abstractNum w:abstractNumId="4">
    <w:nsid w:val="3D1B58BA"/>
    <w:multiLevelType w:val="hybridMultilevel"/>
    <w:lvl w:ilvl="0">
      <w:lvlJc w:val="left"/>
      <w:lvlText w:val="%1."/>
      <w:numFmt w:val="decimal"/>
      <w:start w:val="25"/>
    </w:lvl>
  </w:abstractNum>
  <w:abstractNum w:abstractNumId="5">
    <w:nsid w:val="507ED7A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2026-05-20T16:08:19Z</dcterms:created>
  <dcterms:modified xsi:type="dcterms:W3CDTF">2026-05-20T16:08:19Z</dcterms:modified>
</cp:coreProperties>
</file>