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5785_f6ef-abivax.htm"/>
      <w:bookmarkStart w:id="1" w:name="kse665785_f6efabivax"/>
      <w:bookmarkEnd w:id="0"/>
      <w:bookmarkEnd w:id="1"/>
      <w:r>
        <w:rPr/>
        <w:t> </w:t>
      </w:r>
    </w:p>
    <w:tbl>
      <w:tblPr>
        <w:tblW w:w="8890" w:type="dxa"/>
        <w:jc w:val="left"/>
        <w:tblInd w:w="0" w:type="dxa"/>
        <w:tblLayout w:type="fixed"/>
        <w:tblCellMar>
          <w:top w:w="0" w:type="dxa"/>
          <w:left w:w="0" w:type="dxa"/>
          <w:bottom w:w="0" w:type="dxa"/>
          <w:right w:w="0" w:type="dxa"/>
        </w:tblCellMar>
      </w:tblPr>
      <w:tblGrid>
        <w:gridCol w:w="6905"/>
        <w:gridCol w:w="1985"/>
      </w:tblGrid>
      <w:tr>
        <w:trPr/>
        <w:tc>
          <w:tcPr>
            <w:tcW w:w="69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21, 2026</w:t>
            </w:r>
            <w:r>
              <w:rPr>
                <w:rFonts w:ascii="Times New Roman;Times;Serif" w:hAnsi="Times New Roman;Times;Serif"/>
                <w:b w:val="false"/>
                <w:i w:val="false"/>
                <w:caps w:val="false"/>
                <w:smallCaps w:val="false"/>
                <w:sz w:val="20"/>
              </w:rPr>
              <w:t>        </w:t>
            </w:r>
          </w:p>
        </w:tc>
        <w:tc>
          <w:tcPr>
            <w:tcW w:w="19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Registration No. 333  -</w:t>
            </w:r>
          </w:p>
        </w:tc>
      </w:tr>
    </w:tbl>
    <w:p>
      <w:pPr>
        <w:pStyle w:val="TextBody"/>
        <w:pBdr>
          <w:bottom w:val="double" w:sz="6" w:space="1" w:color="000000"/>
        </w:pBdr>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 FOR AMERICAN DEPOSITARY SHARES EVIDENCED 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RECEIPTS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Abivax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issuer of deposited securities as specified in its charter)</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issuer’s name into English)</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 of issuer</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depositary as specified in its charter</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 248-4237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depositary’s principal executive offices)</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880 Winter Street, Suite 1020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Waltham, MA 02451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(0) 1 53 83 09 63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tbl>
      <w:tblPr>
        <w:tblW w:w="5680" w:type="dxa"/>
        <w:jc w:val="left"/>
        <w:tblInd w:w="0" w:type="dxa"/>
        <w:tblLayout w:type="fixed"/>
        <w:tblCellMar>
          <w:top w:w="0" w:type="dxa"/>
          <w:left w:w="0" w:type="dxa"/>
          <w:bottom w:w="0" w:type="dxa"/>
          <w:right w:w="0" w:type="dxa"/>
        </w:tblCellMar>
      </w:tblPr>
      <w:tblGrid>
        <w:gridCol w:w="2375"/>
        <w:gridCol w:w="3305"/>
      </w:tblGrid>
      <w:tr>
        <w:trPr/>
        <w:tc>
          <w:tcPr>
            <w:tcW w:w="23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Divakar Gupta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Sansom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Minkyu Park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Hudson Yards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+1 212 479-6000</w:t>
            </w:r>
          </w:p>
        </w:tc>
        <w:tc>
          <w:tcPr>
            <w:tcW w:w="33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Herman H. Raspé,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Jean-Claude Lanza,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Patterson Belknap Webb &amp; Tyler LLP</w:t>
              <w:br/>
              <w:t>1133 Avenue of the Americas</w:t>
              <w:br/>
              <w:t>New York, New York 10036</w:t>
              <w:br/>
              <w:t>+1 212 336-2000</w:t>
            </w:r>
          </w:p>
        </w:tc>
      </w:tr>
    </w:tbl>
    <w:p>
      <w:pPr>
        <w:pStyle w:val="TextBody"/>
        <w:bidi w:val="0"/>
        <w:jc w:val="center"/>
        <w:rPr/>
      </w:pPr>
      <w:r>
        <w:rPr/>
        <w:t>_________________________________</w:t>
      </w:r>
    </w:p>
    <w:p>
      <w:pPr>
        <w:pStyle w:val="TextBody"/>
        <w:bidi w:val="0"/>
        <w:spacing w:before="0" w:after="0"/>
        <w:ind w:left="342" w:right="0" w:hanging="0"/>
        <w:jc w:val="left"/>
        <w:rPr>
          <w:caps w:val="false"/>
          <w:smallCaps w:val="false"/>
        </w:rPr>
      </w:pPr>
      <w:r>
        <w:rPr>
          <w:caps w:val="false"/>
          <w:smallCaps w:val="false"/>
        </w:rPr>
        <w:t> </w:t>
      </w:r>
    </w:p>
    <w:tbl>
      <w:tblPr>
        <w:tblW w:w="8869" w:type="dxa"/>
        <w:jc w:val="left"/>
        <w:tblInd w:w="0" w:type="dxa"/>
        <w:tblLayout w:type="fixed"/>
        <w:tblCellMar>
          <w:top w:w="0" w:type="dxa"/>
          <w:left w:w="0" w:type="dxa"/>
          <w:bottom w:w="0" w:type="dxa"/>
          <w:right w:w="0" w:type="dxa"/>
        </w:tblCellMar>
      </w:tblPr>
      <w:tblGrid>
        <w:gridCol w:w="6023"/>
        <w:gridCol w:w="2846"/>
      </w:tblGrid>
      <w:tr>
        <w:trPr/>
        <w:tc>
          <w:tcPr>
            <w:tcW w:w="6023" w:type="dxa"/>
            <w:tcBorders/>
            <w:vAlign w:val="center"/>
          </w:tcPr>
          <w:p>
            <w:pPr>
              <w:pStyle w:val="TableContents"/>
              <w:bidi w:val="0"/>
              <w:spacing w:before="0" w:after="283"/>
              <w:jc w:val="left"/>
              <w:rPr>
                <w:sz w:val="20"/>
              </w:rPr>
            </w:pPr>
            <w:r>
              <w:rPr>
                <w:sz w:val="20"/>
              </w:rPr>
              <w:t>It is proposed that this filing become effective under Rule 466:</w:t>
            </w:r>
          </w:p>
        </w:tc>
        <w:tc>
          <w:tcPr>
            <w:tcW w:w="2846" w:type="dxa"/>
            <w:tcBorders/>
            <w:vAlign w:val="center"/>
          </w:tcPr>
          <w:p>
            <w:pPr>
              <w:pStyle w:val="TableContents"/>
              <w:bidi w:val="0"/>
              <w:spacing w:before="0" w:after="283"/>
              <w:jc w:val="left"/>
              <w:rPr/>
            </w:pPr>
            <w:r>
              <w:rPr/>
              <w:t xml:space="preserve">☒ </w:t>
            </w:r>
            <w:r>
              <w:rPr>
                <w:sz w:val="20"/>
              </w:rPr>
              <w:t>immediately upon filing.  </w:t>
            </w:r>
          </w:p>
        </w:tc>
      </w:tr>
      <w:tr>
        <w:trPr/>
        <w:tc>
          <w:tcPr>
            <w:tcW w:w="6023" w:type="dxa"/>
            <w:tcBorders/>
            <w:vAlign w:val="center"/>
          </w:tcPr>
          <w:p>
            <w:pPr>
              <w:pStyle w:val="TableContents"/>
              <w:bidi w:val="0"/>
              <w:spacing w:before="0" w:after="283"/>
              <w:jc w:val="left"/>
              <w:rPr/>
            </w:pPr>
            <w:r>
              <w:rPr/>
              <w:t> </w:t>
            </w:r>
          </w:p>
        </w:tc>
        <w:tc>
          <w:tcPr>
            <w:tcW w:w="2846" w:type="dxa"/>
            <w:tcBorders/>
            <w:vAlign w:val="center"/>
          </w:tcPr>
          <w:p>
            <w:pPr>
              <w:pStyle w:val="TableContents"/>
              <w:bidi w:val="0"/>
              <w:spacing w:before="0" w:after="283"/>
              <w:jc w:val="left"/>
              <w:rPr/>
            </w:pPr>
            <w:r>
              <w:rPr/>
              <w:t> </w:t>
            </w:r>
          </w:p>
        </w:tc>
      </w:tr>
      <w:tr>
        <w:trPr/>
        <w:tc>
          <w:tcPr>
            <w:tcW w:w="6023" w:type="dxa"/>
            <w:tcBorders/>
            <w:vAlign w:val="center"/>
          </w:tcPr>
          <w:p>
            <w:pPr>
              <w:pStyle w:val="TableContents"/>
              <w:bidi w:val="0"/>
              <w:spacing w:before="0" w:after="283"/>
              <w:jc w:val="left"/>
              <w:rPr/>
            </w:pPr>
            <w:r>
              <w:rPr/>
              <w:t> </w:t>
            </w:r>
          </w:p>
        </w:tc>
        <w:tc>
          <w:tcPr>
            <w:tcW w:w="2846" w:type="dxa"/>
            <w:tcBorders/>
            <w:vAlign w:val="center"/>
          </w:tcPr>
          <w:p>
            <w:pPr>
              <w:pStyle w:val="TableContents"/>
              <w:bidi w:val="0"/>
              <w:spacing w:before="0" w:after="283"/>
              <w:jc w:val="left"/>
              <w:rPr/>
            </w:pPr>
            <w:r>
              <w:rPr/>
              <w:t xml:space="preserve">☐ </w:t>
            </w:r>
            <w:r>
              <w:rPr>
                <w:sz w:val="20"/>
              </w:rPr>
              <w:t>on (Date) at (Time).</w:t>
            </w:r>
          </w:p>
        </w:tc>
      </w:tr>
      <w:tr>
        <w:trPr/>
        <w:tc>
          <w:tcPr>
            <w:tcW w:w="6023" w:type="dxa"/>
            <w:tcBorders/>
            <w:vAlign w:val="center"/>
          </w:tcPr>
          <w:p>
            <w:pPr>
              <w:pStyle w:val="TableContents"/>
              <w:bidi w:val="0"/>
              <w:spacing w:before="0" w:after="283"/>
              <w:jc w:val="left"/>
              <w:rPr/>
            </w:pPr>
            <w:r>
              <w:rPr/>
              <w:t> </w:t>
            </w:r>
          </w:p>
        </w:tc>
        <w:tc>
          <w:tcPr>
            <w:tcW w:w="2846" w:type="dxa"/>
            <w:tcBorders/>
            <w:vAlign w:val="center"/>
          </w:tcPr>
          <w:p>
            <w:pPr>
              <w:pStyle w:val="TableContents"/>
              <w:bidi w:val="0"/>
              <w:spacing w:before="0" w:after="283"/>
              <w:jc w:val="left"/>
              <w:rPr/>
            </w:pPr>
            <w:r>
              <w:rPr/>
              <w:t> </w:t>
            </w:r>
          </w:p>
        </w:tc>
      </w:tr>
      <w:tr>
        <w:trPr/>
        <w:tc>
          <w:tcPr>
            <w:tcW w:w="8869" w:type="dxa"/>
            <w:gridSpan w:val="2"/>
            <w:tcBorders/>
            <w:vAlign w:val="center"/>
          </w:tcPr>
          <w:p>
            <w:pPr>
              <w:pStyle w:val="TableContents"/>
              <w:bidi w:val="0"/>
              <w:spacing w:before="0" w:after="283"/>
              <w:jc w:val="left"/>
              <w:rPr>
                <w:sz w:val="20"/>
              </w:rPr>
            </w:pPr>
            <w:r>
              <w:rPr>
                <w:sz w:val="20"/>
              </w:rPr>
              <w:t>If a separate registration statement has been filed to register the deposited shares, check the following box: ☐</w:t>
            </w:r>
          </w:p>
        </w:tc>
      </w:tr>
    </w:tbl>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_________________________________</w:t>
      </w:r>
    </w:p>
    <w:p>
      <w:pPr>
        <w:pStyle w:val="TextBody"/>
        <w:bidi w:val="0"/>
        <w:spacing w:before="0" w:after="0"/>
        <w:ind w:left="346"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REGISTRATION FEE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4847"/>
        <w:gridCol w:w="1245"/>
        <w:gridCol w:w="1343"/>
        <w:gridCol w:w="1602"/>
        <w:gridCol w:w="1168"/>
      </w:tblGrid>
      <w:tr>
        <w:trPr/>
        <w:tc>
          <w:tcPr>
            <w:tcW w:w="4847"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 of</w:t>
              <w:br/>
              <w:t>Securities to be Registered</w:t>
            </w:r>
          </w:p>
        </w:tc>
        <w:tc>
          <w:tcPr>
            <w:tcW w:w="124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Amount to be</w:t>
              <w:br/>
              <w:t>Registered</w:t>
            </w:r>
          </w:p>
        </w:tc>
        <w:tc>
          <w:tcPr>
            <w:tcW w:w="1343" w:type="dxa"/>
            <w:tcBorders>
              <w:top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Price Per Unit*</w:t>
            </w:r>
          </w:p>
        </w:tc>
        <w:tc>
          <w:tcPr>
            <w:tcW w:w="1602" w:type="dxa"/>
            <w:tcBorders>
              <w:top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Offering Price**</w:t>
            </w:r>
          </w:p>
        </w:tc>
        <w:tc>
          <w:tcPr>
            <w:tcW w:w="1168" w:type="dxa"/>
            <w:tcBorders>
              <w:top w:val="single" w:sz="8" w:space="0" w:color="000000"/>
              <w:bottom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Fee</w:t>
            </w:r>
          </w:p>
        </w:tc>
      </w:tr>
      <w:tr>
        <w:trPr/>
        <w:tc>
          <w:tcPr>
            <w:tcW w:w="4847" w:type="dxa"/>
            <w:tcBorders>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American Depositary Shares (</w:t>
            </w:r>
            <w:r>
              <w:rPr>
                <w:sz w:val="20"/>
                <w:u w:val="single"/>
              </w:rPr>
              <w:t>ADS(s)</w:t>
            </w:r>
            <w:r>
              <w:rPr>
                <w:sz w:val="20"/>
              </w:rPr>
              <w:t>), each ADS representing the right to receive one (1) ordinary share of Abivax SA (the “Company”)</w:t>
            </w:r>
          </w:p>
        </w:tc>
        <w:tc>
          <w:tcPr>
            <w:tcW w:w="1245" w:type="dxa"/>
            <w:tcBorders>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100,000,000 ADSs</w:t>
            </w:r>
          </w:p>
        </w:tc>
        <w:tc>
          <w:tcPr>
            <w:tcW w:w="1343" w:type="dxa"/>
            <w:tcBorders>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$5.00</w:t>
            </w:r>
          </w:p>
        </w:tc>
        <w:tc>
          <w:tcPr>
            <w:tcW w:w="1602" w:type="dxa"/>
            <w:tcBorders>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$5,000,000.00</w:t>
            </w:r>
          </w:p>
        </w:tc>
        <w:tc>
          <w:tcPr>
            <w:tcW w:w="1168" w:type="dxa"/>
            <w:tcBorders>
              <w:bottom w:val="single" w:sz="8" w:space="0" w:color="000000"/>
            </w:tcBorders>
            <w:tcMar>
              <w:top w:w="0" w:type="dxa"/>
              <w:right w:w="0" w:type="dxa"/>
            </w:tcMar>
            <w:vAlign w:val="center"/>
          </w:tcPr>
          <w:p>
            <w:pPr>
              <w:pStyle w:val="TableContents"/>
              <w:bidi w:val="0"/>
              <w:spacing w:before="0" w:after="283"/>
              <w:jc w:val="center"/>
              <w:rPr>
                <w:sz w:val="20"/>
              </w:rPr>
            </w:pPr>
            <w:r>
              <w:rPr>
                <w:sz w:val="20"/>
              </w:rPr>
              <w:t>$690.50</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sz w:val="20"/>
              </w:rPr>
            </w:pPr>
            <w:r>
              <w:rPr>
                <w:sz w:val="20"/>
              </w:rPr>
              <w:t>*</w:t>
            </w:r>
          </w:p>
        </w:tc>
        <w:tc>
          <w:tcPr>
            <w:tcW w:w="10012" w:type="dxa"/>
            <w:tcBorders/>
            <w:vAlign w:val="center"/>
          </w:tcPr>
          <w:p>
            <w:pPr>
              <w:pStyle w:val="TableContents"/>
              <w:bidi w:val="0"/>
              <w:spacing w:before="0" w:after="283"/>
              <w:jc w:val="left"/>
              <w:rPr>
                <w:sz w:val="20"/>
              </w:rPr>
            </w:pPr>
            <w:r>
              <w:rPr>
                <w:sz w:val="20"/>
              </w:rPr>
              <w:t>Each unit represents 100 ADSs.</w:t>
            </w:r>
          </w:p>
        </w:tc>
      </w:tr>
      <w:tr>
        <w:trPr/>
        <w:tc>
          <w:tcPr>
            <w:tcW w:w="193" w:type="dxa"/>
            <w:tcBorders/>
            <w:vAlign w:val="center"/>
          </w:tcPr>
          <w:p>
            <w:pPr>
              <w:pStyle w:val="TableContents"/>
              <w:bidi w:val="0"/>
              <w:spacing w:before="0" w:after="283"/>
              <w:jc w:val="left"/>
              <w:rPr>
                <w:sz w:val="20"/>
              </w:rPr>
            </w:pPr>
            <w:r>
              <w:rPr>
                <w:sz w:val="20"/>
              </w:rPr>
              <w:t>**</w:t>
            </w:r>
          </w:p>
        </w:tc>
        <w:tc>
          <w:tcPr>
            <w:tcW w:w="10012" w:type="dxa"/>
            <w:tcBorders/>
            <w:vAlign w:val="center"/>
          </w:tcPr>
          <w:p>
            <w:pPr>
              <w:pStyle w:val="TableContents"/>
              <w:bidi w:val="0"/>
              <w:spacing w:before="0" w:after="283"/>
              <w:jc w:val="left"/>
              <w:rPr>
                <w:sz w:val="20"/>
              </w:rPr>
            </w:pPr>
            <w:r>
              <w:rPr>
                <w:sz w:val="20"/>
              </w:rPr>
              <w:t>Estimated solely for the purpose of calculating the registration fee.  Pursuant to Rule 457(k), such estimate is computed on the basis of the maximum aggregate fees or charges to be imposed in connection with the issuance of ADSs.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may be executed in any number of counterparts, each of which shall be deemed an original, and all of such counterparts together shall constitute one and the same instrument.</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center"/>
        <w:rPr>
          <w:bdr w:val="single" w:sz="8" w:space="1" w:color="000000"/>
        </w:rPr>
      </w:pPr>
      <w:r>
        <w:rPr>
          <w:bdr w:val="single" w:sz="8" w:space="1" w:color="000000"/>
        </w:rPr>
        <w:t>ii</w:t>
      </w:r>
    </w:p>
    <w:p>
      <w:pPr>
        <w:pStyle w:val="TextBody"/>
        <w:bidi w:val="0"/>
        <w:spacing w:before="0" w:after="0"/>
        <w:jc w:val="center"/>
        <w:rPr/>
      </w:pPr>
      <w:r>
        <w:rPr/>
        <w:t> </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 Reference Sheet</w:t>
      </w:r>
    </w:p>
    <w:p>
      <w:pPr>
        <w:pStyle w:val="TextBody"/>
        <w:bidi w:val="0"/>
        <w:spacing w:before="0" w:after="0"/>
        <w:ind w:left="0" w:right="0" w:hanging="0"/>
        <w:jc w:val="center"/>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95"/>
        <w:gridCol w:w="5765"/>
      </w:tblGrid>
      <w:tr>
        <w:trPr/>
        <w:tc>
          <w:tcPr>
            <w:tcW w:w="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w:t>
            </w:r>
          </w:p>
        </w:tc>
        <w:tc>
          <w:tcPr>
            <w:tcW w:w="5765" w:type="dxa"/>
            <w:tcBorders/>
            <w:vAlign w:val="center"/>
          </w:tcPr>
          <w:p>
            <w:pPr>
              <w:pStyle w:val="TableContents"/>
              <w:bidi w:val="0"/>
              <w:spacing w:before="0" w:after="283"/>
              <w:jc w:val="left"/>
              <w:rPr/>
            </w:pPr>
            <w:r>
              <w:rPr/>
              <w:t>DESCRIPTION OF SECURITIES TO BE REGISTERED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427"/>
        <w:gridCol w:w="5214"/>
        <w:gridCol w:w="60"/>
        <w:gridCol w:w="4323"/>
      </w:tblGrid>
      <w:tr>
        <w:trPr/>
        <w:tc>
          <w:tcPr>
            <w:tcW w:w="5822"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Number and Caption</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 in Form of American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Receipt (“</w:t>
            </w:r>
            <w:r>
              <w:rPr>
                <w:rFonts w:ascii="Times New Roman;Times;Serif" w:hAnsi="Times New Roman;Times;Serif"/>
                <w:b/>
                <w:i w:val="false"/>
                <w:caps w:val="false"/>
                <w:smallCaps w:val="false"/>
                <w:sz w:val="20"/>
                <w:u w:val="single"/>
              </w:rPr>
              <w:t>Receipt</w:t>
            </w:r>
            <w:r>
              <w:rPr>
                <w:rFonts w:ascii="Times New Roman;Times;Serif" w:hAnsi="Times New Roman;Times;Serif"/>
                <w:b/>
                <w:i w:val="false"/>
                <w:caps w:val="false"/>
                <w:smallCaps w:val="false"/>
                <w:sz w:val="20"/>
              </w:rPr>
              <w:t>”)</w:t>
              <w:br/>
            </w:r>
            <w:r>
              <w:rPr>
                <w:rFonts w:ascii="Times New Roman;Times;Serif" w:hAnsi="Times New Roman;Times;Serif"/>
                <w:b/>
                <w:i w:val="false"/>
                <w:caps w:val="false"/>
                <w:smallCaps w:val="false"/>
                <w:sz w:val="20"/>
                <w:u w:val="single"/>
              </w:rPr>
              <w:t>Filed Herewith as Prospectus</w:t>
              <w:tab/>
            </w:r>
          </w:p>
        </w:tc>
      </w:tr>
      <w:tr>
        <w:trPr/>
        <w:tc>
          <w:tcPr>
            <w:tcW w:w="5822" w:type="dxa"/>
            <w:gridSpan w:val="3"/>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1.</w:t>
            </w:r>
          </w:p>
        </w:tc>
        <w:tc>
          <w:tcPr>
            <w:tcW w:w="5641" w:type="dxa"/>
            <w:gridSpan w:val="2"/>
            <w:tcBorders/>
            <w:vAlign w:val="center"/>
          </w:tcPr>
          <w:p>
            <w:pPr>
              <w:pStyle w:val="TableContents"/>
              <w:bidi w:val="0"/>
              <w:spacing w:before="0" w:after="283"/>
              <w:ind w:left="0" w:right="0" w:hanging="0"/>
              <w:jc w:val="left"/>
              <w:rPr/>
            </w:pPr>
            <w:r>
              <w:rPr/>
              <w:t>Name of Depositary and address of its principal executive office</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u w:val="single"/>
              </w:rPr>
              <w:t>Face of Receipt</w:t>
            </w:r>
            <w:r>
              <w:rPr/>
              <w:t xml:space="preserve"> -  Introductory Article.</w:t>
            </w:r>
          </w:p>
        </w:tc>
      </w:tr>
      <w:tr>
        <w:trPr/>
        <w:tc>
          <w:tcPr>
            <w:tcW w:w="181" w:type="dxa"/>
            <w:tcBorders/>
            <w:vAlign w:val="center"/>
          </w:tcPr>
          <w:p>
            <w:pPr>
              <w:pStyle w:val="TableContents"/>
              <w:bidi w:val="0"/>
              <w:spacing w:before="0" w:after="283"/>
              <w:ind w:left="0" w:right="0" w:hanging="0"/>
              <w:jc w:val="left"/>
              <w:rPr/>
            </w:pPr>
            <w:r>
              <w:rPr/>
              <w:t> </w:t>
            </w:r>
          </w:p>
        </w:tc>
        <w:tc>
          <w:tcPr>
            <w:tcW w:w="5641"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2.</w:t>
            </w:r>
          </w:p>
        </w:tc>
        <w:tc>
          <w:tcPr>
            <w:tcW w:w="5641" w:type="dxa"/>
            <w:gridSpan w:val="2"/>
            <w:tcBorders/>
            <w:vAlign w:val="center"/>
          </w:tcPr>
          <w:p>
            <w:pPr>
              <w:pStyle w:val="TableContents"/>
              <w:bidi w:val="0"/>
              <w:spacing w:before="0" w:after="283"/>
              <w:ind w:left="0" w:right="0" w:hanging="0"/>
              <w:jc w:val="left"/>
              <w:rPr/>
            </w:pPr>
            <w:r>
              <w:rPr/>
              <w:t>Title of Receipts and identity of deposited securities</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u w:val="single"/>
              </w:rPr>
              <w:t>Face of Receipt</w:t>
            </w:r>
            <w:r>
              <w:rPr/>
              <w:t>  - Top Center.</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5822" w:type="dxa"/>
            <w:gridSpan w:val="3"/>
            <w:tcBorders/>
            <w:vAlign w:val="center"/>
          </w:tcPr>
          <w:p>
            <w:pPr>
              <w:pStyle w:val="TableContents"/>
              <w:bidi w:val="0"/>
              <w:spacing w:before="0" w:after="283"/>
              <w:ind w:left="0" w:right="0" w:hanging="0"/>
              <w:jc w:val="left"/>
              <w:rPr/>
            </w:pPr>
            <w:r>
              <w:rPr/>
              <w:t>Terms of Deposit:</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5822" w:type="dxa"/>
            <w:gridSpan w:val="3"/>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(i)</w:t>
            </w:r>
          </w:p>
        </w:tc>
        <w:tc>
          <w:tcPr>
            <w:tcW w:w="5214" w:type="dxa"/>
            <w:tcBorders/>
            <w:vAlign w:val="center"/>
          </w:tcPr>
          <w:p>
            <w:pPr>
              <w:pStyle w:val="TableContents"/>
              <w:bidi w:val="0"/>
              <w:spacing w:before="0" w:after="283"/>
              <w:ind w:left="0" w:right="0" w:hanging="0"/>
              <w:jc w:val="left"/>
              <w:rPr/>
            </w:pPr>
            <w:r>
              <w:rPr/>
              <w:t>The amount of deposited securities represented by one American Depositary Share (“ADSs”)</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u w:val="single"/>
              </w:rPr>
              <w:t>Face of Receipt</w:t>
            </w:r>
            <w:r>
              <w:rPr/>
              <w:t>  - Upper right corner.</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(ii)</w:t>
            </w:r>
          </w:p>
        </w:tc>
        <w:tc>
          <w:tcPr>
            <w:tcW w:w="5214" w:type="dxa"/>
            <w:tcBorders/>
            <w:vAlign w:val="center"/>
          </w:tcPr>
          <w:p>
            <w:pPr>
              <w:pStyle w:val="TableContents"/>
              <w:bidi w:val="0"/>
              <w:spacing w:before="0" w:after="283"/>
              <w:ind w:left="0" w:right="0" w:hanging="0"/>
              <w:jc w:val="left"/>
              <w:rPr/>
            </w:pPr>
            <w:r>
              <w:rPr/>
              <w:t>The procedure for voting, if any, the deposited securities</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u w:val="single"/>
              </w:rPr>
              <w:t>Reverse of Receipt</w:t>
            </w:r>
            <w:r>
              <w:rPr/>
              <w:t>  - Paragraphs (17)</w:t>
              <w:br/>
              <w:t>and (18).</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(iii)</w:t>
            </w:r>
          </w:p>
        </w:tc>
        <w:tc>
          <w:tcPr>
            <w:tcW w:w="5214" w:type="dxa"/>
            <w:tcBorders/>
            <w:vAlign w:val="center"/>
          </w:tcPr>
          <w:p>
            <w:pPr>
              <w:pStyle w:val="TableContents"/>
              <w:bidi w:val="0"/>
              <w:spacing w:before="0" w:after="283"/>
              <w:ind w:left="0" w:right="0" w:hanging="0"/>
              <w:jc w:val="left"/>
              <w:rPr/>
            </w:pPr>
            <w:r>
              <w:rPr/>
              <w:t>The collection and distribution of dividends</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u w:val="single"/>
              </w:rPr>
              <w:t>Reverse of Receipt</w:t>
            </w:r>
            <w:r>
              <w:rPr/>
              <w:t xml:space="preserve"> - Paragraph (15).</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(iv)</w:t>
            </w:r>
          </w:p>
        </w:tc>
        <w:tc>
          <w:tcPr>
            <w:tcW w:w="5214" w:type="dxa"/>
            <w:tcBorders/>
            <w:vAlign w:val="center"/>
          </w:tcPr>
          <w:p>
            <w:pPr>
              <w:pStyle w:val="TableContents"/>
              <w:bidi w:val="0"/>
              <w:spacing w:before="0" w:after="283"/>
              <w:ind w:left="0" w:right="0" w:hanging="0"/>
              <w:jc w:val="left"/>
              <w:rPr/>
            </w:pPr>
            <w:r>
              <w:rPr/>
              <w:t>The transmission of notices, reports and proxy soliciting material</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u w:val="single"/>
              </w:rPr>
              <w:t>Face of Receipt</w:t>
            </w:r>
            <w:r>
              <w:rPr/>
              <w:t>  - Paragraph (14);</w:t>
              <w:br/>
            </w:r>
            <w:r>
              <w:rPr>
                <w:u w:val="single"/>
              </w:rPr>
              <w:t>Reverse of Receipt</w:t>
            </w:r>
            <w:r>
              <w:rPr/>
              <w:t xml:space="preserve"> - Paragraph (18).</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(v)</w:t>
            </w:r>
          </w:p>
        </w:tc>
        <w:tc>
          <w:tcPr>
            <w:tcW w:w="5214" w:type="dxa"/>
            <w:tcBorders/>
            <w:vAlign w:val="center"/>
          </w:tcPr>
          <w:p>
            <w:pPr>
              <w:pStyle w:val="TableContents"/>
              <w:bidi w:val="0"/>
              <w:spacing w:before="0" w:after="283"/>
              <w:ind w:left="0" w:right="0" w:hanging="0"/>
              <w:jc w:val="left"/>
              <w:rPr/>
            </w:pPr>
            <w:r>
              <w:rPr/>
              <w:t>The sale or exercise of rights</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Reverse of Receipt </w:t>
            </w:r>
            <w:r>
              <w:rPr>
                <w:rFonts w:ascii="Times New Roman;Times;Serif" w:hAnsi="Times New Roman;Times;Serif"/>
                <w:b w:val="false"/>
                <w:i w:val="false"/>
                <w:caps w:val="false"/>
                <w:smallCaps w:val="false"/>
                <w:sz w:val="20"/>
              </w:rPr>
              <w:t>– Paragraphs (15)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(17).</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(vi)</w:t>
            </w:r>
          </w:p>
        </w:tc>
        <w:tc>
          <w:tcPr>
            <w:tcW w:w="5214" w:type="dxa"/>
            <w:tcBorders/>
            <w:vAlign w:val="center"/>
          </w:tcPr>
          <w:p>
            <w:pPr>
              <w:pStyle w:val="TableContents"/>
              <w:bidi w:val="0"/>
              <w:spacing w:before="0" w:after="283"/>
              <w:ind w:left="0" w:right="0" w:hanging="0"/>
              <w:jc w:val="left"/>
              <w:rPr/>
            </w:pPr>
            <w:r>
              <w:rPr/>
              <w:t>The deposit or sale of securities resulting from dividends, splits or plans of reorganization</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Face of Receipt</w:t>
            </w:r>
            <w:r>
              <w:rPr>
                <w:rFonts w:ascii="Times New Roman;Times;Serif" w:hAnsi="Times New Roman;Times;Serif"/>
                <w:b w:val="false"/>
                <w:i w:val="false"/>
                <w:caps w:val="false"/>
                <w:smallCaps w:val="false"/>
                <w:sz w:val="20"/>
              </w:rPr>
              <w:t xml:space="preserve"> - Paragraphs (3) and (6);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Reverse of Receipt</w:t>
            </w:r>
            <w:r>
              <w:rPr>
                <w:rFonts w:ascii="Times New Roman;Times;Serif" w:hAnsi="Times New Roman;Times;Serif"/>
                <w:b w:val="false"/>
                <w:i w:val="false"/>
                <w:caps w:val="false"/>
                <w:smallCaps w:val="false"/>
                <w:sz w:val="20"/>
              </w:rPr>
              <w:t xml:space="preserve"> - Paragraphs (15) and (17).</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(vii)</w:t>
            </w:r>
          </w:p>
        </w:tc>
        <w:tc>
          <w:tcPr>
            <w:tcW w:w="5214" w:type="dxa"/>
            <w:tcBorders/>
            <w:vAlign w:val="center"/>
          </w:tcPr>
          <w:p>
            <w:pPr>
              <w:pStyle w:val="TableContents"/>
              <w:bidi w:val="0"/>
              <w:spacing w:before="0" w:after="283"/>
              <w:ind w:left="0" w:right="0" w:hanging="0"/>
              <w:jc w:val="left"/>
              <w:rPr/>
            </w:pPr>
            <w:r>
              <w:rPr/>
              <w:t>Amendment, extension or termination of the deposit agreement</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u w:val="single"/>
              </w:rPr>
              <w:t>Reverse of Receipt</w:t>
            </w:r>
            <w:r>
              <w:rPr/>
              <w:t xml:space="preserve"> - Paragraphs (23) and (24) (no provision for extensions).</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 </w:t>
            </w:r>
          </w:p>
        </w:tc>
        <w:tc>
          <w:tcPr>
            <w:tcW w:w="521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ind w:left="0" w:right="0" w:hanging="0"/>
              <w:jc w:val="left"/>
              <w:rPr/>
            </w:pPr>
            <w:r>
              <w:rPr/>
              <w:t> </w:t>
            </w:r>
          </w:p>
        </w:tc>
      </w:tr>
      <w:tr>
        <w:trPr/>
        <w:tc>
          <w:tcPr>
            <w:tcW w:w="181" w:type="dxa"/>
            <w:tcBorders/>
            <w:vAlign w:val="center"/>
          </w:tcPr>
          <w:p>
            <w:pPr>
              <w:pStyle w:val="TableContents"/>
              <w:bidi w:val="0"/>
              <w:spacing w:before="0" w:after="283"/>
              <w:ind w:left="0" w:right="0" w:hanging="0"/>
              <w:jc w:val="left"/>
              <w:rPr/>
            </w:pPr>
            <w:r>
              <w:rPr/>
              <w:t> </w:t>
            </w:r>
          </w:p>
        </w:tc>
        <w:tc>
          <w:tcPr>
            <w:tcW w:w="427" w:type="dxa"/>
            <w:tcBorders/>
            <w:vAlign w:val="center"/>
          </w:tcPr>
          <w:p>
            <w:pPr>
              <w:pStyle w:val="TableContents"/>
              <w:bidi w:val="0"/>
              <w:spacing w:before="0" w:after="283"/>
              <w:ind w:left="0" w:right="0" w:hanging="0"/>
              <w:jc w:val="left"/>
              <w:rPr/>
            </w:pPr>
            <w:r>
              <w:rPr/>
              <w:t>(viii)</w:t>
            </w:r>
          </w:p>
        </w:tc>
        <w:tc>
          <w:tcPr>
            <w:tcW w:w="5214" w:type="dxa"/>
            <w:tcBorders/>
            <w:vAlign w:val="center"/>
          </w:tcPr>
          <w:p>
            <w:pPr>
              <w:pStyle w:val="TableContents"/>
              <w:bidi w:val="0"/>
              <w:spacing w:before="0" w:after="283"/>
              <w:ind w:left="0" w:right="0" w:hanging="0"/>
              <w:jc w:val="left"/>
              <w:rPr/>
            </w:pPr>
            <w:r>
              <w:rPr/>
              <w:t>Rights of holders of Receipts to inspect the transfer books of the Depositary and the list of holders of ADSs</w:t>
            </w:r>
          </w:p>
        </w:tc>
        <w:tc>
          <w:tcPr>
            <w:tcW w:w="60" w:type="dxa"/>
            <w:tcBorders/>
            <w:vAlign w:val="center"/>
          </w:tcPr>
          <w:p>
            <w:pPr>
              <w:pStyle w:val="TableContents"/>
              <w:bidi w:val="0"/>
              <w:spacing w:before="0" w:after="283"/>
              <w:ind w:left="0" w:right="0" w:hanging="0"/>
              <w:jc w:val="left"/>
              <w:rPr/>
            </w:pPr>
            <w:r>
              <w:rPr/>
              <w:t> </w:t>
            </w:r>
          </w:p>
        </w:tc>
        <w:tc>
          <w:tcPr>
            <w:tcW w:w="4323" w:type="dxa"/>
            <w:tcBorders/>
            <w:vAlign w:val="center"/>
          </w:tcPr>
          <w:p>
            <w:pPr>
              <w:pStyle w:val="TableContents"/>
              <w:bidi w:val="0"/>
              <w:spacing w:before="0" w:after="283"/>
              <w:jc w:val="left"/>
              <w:rPr/>
            </w:pPr>
            <w:r>
              <w:rPr>
                <w:u w:val="single"/>
              </w:rPr>
              <w:t>Face of Receipt</w:t>
            </w:r>
            <w:r>
              <w:rPr/>
              <w:t xml:space="preserve"> - Paragraph (14).</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I-1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1"/>
        <w:gridCol w:w="334"/>
        <w:gridCol w:w="5265"/>
        <w:gridCol w:w="60"/>
        <w:gridCol w:w="4135"/>
      </w:tblGrid>
      <w:tr>
        <w:trPr/>
        <w:tc>
          <w:tcPr>
            <w:tcW w:w="6010"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Number and Caption</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 in Form of American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Receipt (“</w:t>
            </w:r>
            <w:r>
              <w:rPr>
                <w:rFonts w:ascii="Times New Roman;Times;Serif" w:hAnsi="Times New Roman;Times;Serif"/>
                <w:b/>
                <w:i w:val="false"/>
                <w:caps w:val="false"/>
                <w:smallCaps w:val="false"/>
                <w:sz w:val="20"/>
                <w:u w:val="single"/>
              </w:rPr>
              <w:t>Receipt</w:t>
            </w:r>
            <w:r>
              <w:rPr>
                <w:rFonts w:ascii="Times New Roman;Times;Serif" w:hAnsi="Times New Roman;Times;Serif"/>
                <w:b/>
                <w:i w:val="false"/>
                <w:caps w:val="false"/>
                <w:smallCaps w:val="false"/>
                <w:sz w:val="20"/>
              </w:rPr>
              <w:t>”)</w:t>
              <w:br/>
            </w:r>
            <w:r>
              <w:rPr>
                <w:rFonts w:ascii="Times New Roman;Times;Serif" w:hAnsi="Times New Roman;Times;Serif"/>
                <w:b/>
                <w:i w:val="false"/>
                <w:caps w:val="false"/>
                <w:smallCaps w:val="false"/>
                <w:sz w:val="20"/>
                <w:u w:val="single"/>
              </w:rPr>
              <w:t>Filed Herewith as Prospectus</w:t>
              <w:tab/>
            </w:r>
          </w:p>
        </w:tc>
      </w:tr>
      <w:tr>
        <w:trPr/>
        <w:tc>
          <w:tcPr>
            <w:tcW w:w="411" w:type="dxa"/>
            <w:tcBorders/>
            <w:vAlign w:val="center"/>
          </w:tcPr>
          <w:p>
            <w:pPr>
              <w:pStyle w:val="TableContents"/>
              <w:bidi w:val="0"/>
              <w:spacing w:before="0" w:after="283"/>
              <w:ind w:left="0" w:right="0" w:hanging="0"/>
              <w:jc w:val="left"/>
              <w:rPr/>
            </w:pPr>
            <w:r>
              <w:rPr/>
              <w:t> </w:t>
            </w:r>
          </w:p>
        </w:tc>
        <w:tc>
          <w:tcPr>
            <w:tcW w:w="334" w:type="dxa"/>
            <w:tcBorders/>
            <w:vAlign w:val="center"/>
          </w:tcPr>
          <w:p>
            <w:pPr>
              <w:pStyle w:val="TableContents"/>
              <w:bidi w:val="0"/>
              <w:spacing w:before="0" w:after="283"/>
              <w:ind w:left="0" w:right="0" w:hanging="0"/>
              <w:jc w:val="left"/>
              <w:rPr/>
            </w:pPr>
            <w:r>
              <w:rPr/>
              <w:t> </w:t>
            </w:r>
          </w:p>
        </w:tc>
        <w:tc>
          <w:tcPr>
            <w:tcW w:w="526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283"/>
              <w:ind w:left="0" w:right="0" w:hanging="0"/>
              <w:jc w:val="left"/>
              <w:rPr/>
            </w:pPr>
            <w:r>
              <w:rPr/>
              <w:t> </w:t>
            </w:r>
          </w:p>
        </w:tc>
      </w:tr>
      <w:tr>
        <w:trPr/>
        <w:tc>
          <w:tcPr>
            <w:tcW w:w="411" w:type="dxa"/>
            <w:tcBorders/>
            <w:vAlign w:val="center"/>
          </w:tcPr>
          <w:p>
            <w:pPr>
              <w:pStyle w:val="TableContents"/>
              <w:bidi w:val="0"/>
              <w:spacing w:before="0" w:after="283"/>
              <w:ind w:left="0" w:right="0" w:hanging="0"/>
              <w:jc w:val="left"/>
              <w:rPr/>
            </w:pPr>
            <w:r>
              <w:rPr/>
              <w:t> </w:t>
            </w:r>
          </w:p>
        </w:tc>
        <w:tc>
          <w:tcPr>
            <w:tcW w:w="334" w:type="dxa"/>
            <w:tcBorders/>
            <w:vAlign w:val="center"/>
          </w:tcPr>
          <w:p>
            <w:pPr>
              <w:pStyle w:val="TableContents"/>
              <w:bidi w:val="0"/>
              <w:spacing w:before="0" w:after="283"/>
              <w:ind w:left="0" w:right="0" w:hanging="0"/>
              <w:jc w:val="left"/>
              <w:rPr/>
            </w:pPr>
            <w:r>
              <w:rPr/>
              <w:t>(ix)</w:t>
            </w:r>
          </w:p>
        </w:tc>
        <w:tc>
          <w:tcPr>
            <w:tcW w:w="5265" w:type="dxa"/>
            <w:tcBorders/>
            <w:vAlign w:val="center"/>
          </w:tcPr>
          <w:p>
            <w:pPr>
              <w:pStyle w:val="TableContents"/>
              <w:bidi w:val="0"/>
              <w:spacing w:before="0" w:after="283"/>
              <w:ind w:left="0" w:right="0" w:hanging="0"/>
              <w:jc w:val="left"/>
              <w:rPr/>
            </w:pPr>
            <w:r>
              <w:rPr/>
              <w:t>Restrictions upon the right to deposit or withdraw the underlying securities</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Face of Receipt</w:t>
            </w:r>
            <w:r>
              <w:rPr>
                <w:rFonts w:ascii="Times New Roman;Times;Serif" w:hAnsi="Times New Roman;Times;Serif"/>
                <w:b w:val="false"/>
                <w:i w:val="false"/>
                <w:caps w:val="false"/>
                <w:smallCaps w:val="false"/>
                <w:sz w:val="20"/>
              </w:rPr>
              <w:t xml:space="preserve"> – Paragraphs (2), (3), (4), (6), (7), (8), (9) and (10);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Reverse of Receipt</w:t>
            </w:r>
            <w:r>
              <w:rPr>
                <w:rFonts w:ascii="Times New Roman;Times;Serif" w:hAnsi="Times New Roman;Times;Serif"/>
                <w:b w:val="false"/>
                <w:i w:val="false"/>
                <w:caps w:val="false"/>
                <w:smallCaps w:val="false"/>
                <w:sz w:val="20"/>
              </w:rPr>
              <w:t xml:space="preserve"> – Paragraph (25).</w:t>
            </w:r>
          </w:p>
        </w:tc>
      </w:tr>
      <w:tr>
        <w:trPr/>
        <w:tc>
          <w:tcPr>
            <w:tcW w:w="411" w:type="dxa"/>
            <w:tcBorders/>
            <w:vAlign w:val="center"/>
          </w:tcPr>
          <w:p>
            <w:pPr>
              <w:pStyle w:val="TableContents"/>
              <w:bidi w:val="0"/>
              <w:spacing w:before="0" w:after="283"/>
              <w:ind w:left="0" w:right="0" w:hanging="0"/>
              <w:jc w:val="left"/>
              <w:rPr/>
            </w:pPr>
            <w:r>
              <w:rPr/>
              <w:t> </w:t>
            </w:r>
          </w:p>
        </w:tc>
        <w:tc>
          <w:tcPr>
            <w:tcW w:w="334" w:type="dxa"/>
            <w:tcBorders/>
            <w:vAlign w:val="center"/>
          </w:tcPr>
          <w:p>
            <w:pPr>
              <w:pStyle w:val="TableContents"/>
              <w:bidi w:val="0"/>
              <w:spacing w:before="0" w:after="283"/>
              <w:ind w:left="0" w:right="0" w:hanging="0"/>
              <w:jc w:val="left"/>
              <w:rPr/>
            </w:pPr>
            <w:r>
              <w:rPr/>
              <w:t> </w:t>
            </w:r>
          </w:p>
        </w:tc>
        <w:tc>
          <w:tcPr>
            <w:tcW w:w="526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283"/>
              <w:ind w:left="0" w:right="0" w:hanging="0"/>
              <w:jc w:val="left"/>
              <w:rPr/>
            </w:pPr>
            <w:r>
              <w:rPr/>
              <w:t> </w:t>
            </w:r>
          </w:p>
        </w:tc>
      </w:tr>
      <w:tr>
        <w:trPr/>
        <w:tc>
          <w:tcPr>
            <w:tcW w:w="411" w:type="dxa"/>
            <w:tcBorders/>
            <w:vAlign w:val="center"/>
          </w:tcPr>
          <w:p>
            <w:pPr>
              <w:pStyle w:val="TableContents"/>
              <w:bidi w:val="0"/>
              <w:spacing w:before="0" w:after="283"/>
              <w:ind w:left="0" w:right="0" w:hanging="0"/>
              <w:jc w:val="left"/>
              <w:rPr/>
            </w:pPr>
            <w:r>
              <w:rPr/>
              <w:t> </w:t>
            </w:r>
          </w:p>
        </w:tc>
        <w:tc>
          <w:tcPr>
            <w:tcW w:w="334" w:type="dxa"/>
            <w:tcBorders/>
            <w:vAlign w:val="center"/>
          </w:tcPr>
          <w:p>
            <w:pPr>
              <w:pStyle w:val="TableContents"/>
              <w:bidi w:val="0"/>
              <w:spacing w:before="0" w:after="283"/>
              <w:ind w:left="0" w:right="0" w:hanging="0"/>
              <w:jc w:val="left"/>
              <w:rPr/>
            </w:pPr>
            <w:r>
              <w:rPr/>
              <w:t>(x)</w:t>
            </w:r>
          </w:p>
        </w:tc>
        <w:tc>
          <w:tcPr>
            <w:tcW w:w="5265" w:type="dxa"/>
            <w:tcBorders/>
            <w:vAlign w:val="center"/>
          </w:tcPr>
          <w:p>
            <w:pPr>
              <w:pStyle w:val="TableContents"/>
              <w:bidi w:val="0"/>
              <w:spacing w:before="0" w:after="283"/>
              <w:ind w:left="0" w:right="0" w:hanging="0"/>
              <w:jc w:val="left"/>
              <w:rPr/>
            </w:pPr>
            <w:r>
              <w:rPr/>
              <w:t>Limitation upon the liability of the Depositary</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Face of Receipt</w:t>
            </w:r>
            <w:r>
              <w:rPr>
                <w:rFonts w:ascii="Times New Roman;Times;Serif" w:hAnsi="Times New Roman;Times;Serif"/>
                <w:b w:val="false"/>
                <w:i w:val="false"/>
                <w:caps w:val="false"/>
                <w:smallCaps w:val="false"/>
                <w:sz w:val="20"/>
              </w:rPr>
              <w:t xml:space="preserve"> - Paragraphs (8) and (12);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Reverse of Receipt</w:t>
            </w:r>
            <w:r>
              <w:rPr>
                <w:rFonts w:ascii="Times New Roman;Times;Serif" w:hAnsi="Times New Roman;Times;Serif"/>
                <w:b w:val="false"/>
                <w:i w:val="false"/>
                <w:caps w:val="false"/>
                <w:smallCaps w:val="false"/>
                <w:sz w:val="20"/>
              </w:rPr>
              <w:t xml:space="preserve"> - Paragraphs (15), (16), (18), (19), (20), (21) and (25).</w:t>
            </w:r>
          </w:p>
        </w:tc>
      </w:tr>
      <w:tr>
        <w:trPr/>
        <w:tc>
          <w:tcPr>
            <w:tcW w:w="411" w:type="dxa"/>
            <w:tcBorders/>
            <w:vAlign w:val="center"/>
          </w:tcPr>
          <w:p>
            <w:pPr>
              <w:pStyle w:val="TableContents"/>
              <w:bidi w:val="0"/>
              <w:spacing w:before="0" w:after="283"/>
              <w:ind w:left="0" w:right="0" w:hanging="0"/>
              <w:jc w:val="left"/>
              <w:rPr/>
            </w:pPr>
            <w:r>
              <w:rPr/>
              <w:t> </w:t>
            </w:r>
          </w:p>
        </w:tc>
        <w:tc>
          <w:tcPr>
            <w:tcW w:w="334" w:type="dxa"/>
            <w:tcBorders/>
            <w:vAlign w:val="center"/>
          </w:tcPr>
          <w:p>
            <w:pPr>
              <w:pStyle w:val="TableContents"/>
              <w:bidi w:val="0"/>
              <w:spacing w:before="0" w:after="283"/>
              <w:ind w:left="0" w:right="0" w:hanging="0"/>
              <w:jc w:val="left"/>
              <w:rPr/>
            </w:pPr>
            <w:r>
              <w:rPr/>
              <w:t> </w:t>
            </w:r>
          </w:p>
        </w:tc>
        <w:tc>
          <w:tcPr>
            <w:tcW w:w="526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283"/>
              <w:ind w:left="0" w:right="0" w:hanging="0"/>
              <w:jc w:val="left"/>
              <w:rPr/>
            </w:pPr>
            <w:r>
              <w:rPr/>
              <w:t> </w:t>
            </w:r>
          </w:p>
        </w:tc>
      </w:tr>
      <w:tr>
        <w:trPr/>
        <w:tc>
          <w:tcPr>
            <w:tcW w:w="411" w:type="dxa"/>
            <w:tcBorders/>
            <w:vAlign w:val="center"/>
          </w:tcPr>
          <w:p>
            <w:pPr>
              <w:pStyle w:val="TableContents"/>
              <w:bidi w:val="0"/>
              <w:spacing w:before="0" w:after="283"/>
              <w:ind w:left="0" w:right="0" w:hanging="0"/>
              <w:jc w:val="left"/>
              <w:rPr/>
            </w:pPr>
            <w:r>
              <w:rPr/>
              <w:t>3.    </w:t>
            </w:r>
          </w:p>
        </w:tc>
        <w:tc>
          <w:tcPr>
            <w:tcW w:w="5599" w:type="dxa"/>
            <w:gridSpan w:val="2"/>
            <w:tcBorders/>
            <w:vAlign w:val="center"/>
          </w:tcPr>
          <w:p>
            <w:pPr>
              <w:pStyle w:val="TableContents"/>
              <w:bidi w:val="0"/>
              <w:spacing w:before="0" w:after="283"/>
              <w:ind w:left="0" w:right="0" w:hanging="0"/>
              <w:jc w:val="left"/>
              <w:rPr/>
            </w:pPr>
            <w:r>
              <w:rPr/>
              <w:t>Fees and charges which may be imposed directly or indirectly on holders of ADSs</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283"/>
              <w:ind w:left="0" w:right="0" w:hanging="0"/>
              <w:jc w:val="left"/>
              <w:rPr/>
            </w:pPr>
            <w:r>
              <w:rPr>
                <w:u w:val="single"/>
              </w:rPr>
              <w:t>Face of Receipt</w:t>
            </w:r>
            <w:r>
              <w:rPr/>
              <w:t xml:space="preserve"> - Paragraph (11).</w:t>
            </w:r>
          </w:p>
        </w:tc>
      </w:tr>
      <w:tr>
        <w:trPr/>
        <w:tc>
          <w:tcPr>
            <w:tcW w:w="411" w:type="dxa"/>
            <w:tcBorders/>
            <w:vAlign w:val="center"/>
          </w:tcPr>
          <w:p>
            <w:pPr>
              <w:pStyle w:val="TableContents"/>
              <w:bidi w:val="0"/>
              <w:spacing w:before="0" w:after="283"/>
              <w:ind w:left="0" w:right="0" w:hanging="0"/>
              <w:jc w:val="left"/>
              <w:rPr/>
            </w:pPr>
            <w:r>
              <w:rPr/>
              <w:t> </w:t>
            </w:r>
          </w:p>
        </w:tc>
        <w:tc>
          <w:tcPr>
            <w:tcW w:w="334" w:type="dxa"/>
            <w:tcBorders/>
            <w:vAlign w:val="center"/>
          </w:tcPr>
          <w:p>
            <w:pPr>
              <w:pStyle w:val="TableContents"/>
              <w:bidi w:val="0"/>
              <w:spacing w:before="0" w:after="283"/>
              <w:ind w:left="0" w:right="0" w:hanging="0"/>
              <w:jc w:val="left"/>
              <w:rPr/>
            </w:pPr>
            <w:r>
              <w:rPr/>
              <w:t> </w:t>
            </w:r>
          </w:p>
        </w:tc>
        <w:tc>
          <w:tcPr>
            <w:tcW w:w="526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283"/>
              <w:ind w:left="0" w:right="0" w:hanging="0"/>
              <w:jc w:val="left"/>
              <w:rPr/>
            </w:pPr>
            <w:r>
              <w:rPr/>
              <w:t> </w:t>
            </w:r>
          </w:p>
        </w:tc>
      </w:tr>
      <w:tr>
        <w:trPr/>
        <w:tc>
          <w:tcPr>
            <w:tcW w:w="745" w:type="dxa"/>
            <w:gridSpan w:val="2"/>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5265"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AVAILABLE INFORMATION</w:t>
            </w:r>
          </w:p>
        </w:tc>
        <w:tc>
          <w:tcPr>
            <w:tcW w:w="60" w:type="dxa"/>
            <w:tcBorders/>
            <w:vAlign w:val="center"/>
          </w:tcPr>
          <w:p>
            <w:pPr>
              <w:pStyle w:val="TableContents"/>
              <w:bidi w:val="0"/>
              <w:spacing w:before="0" w:after="283"/>
              <w:ind w:left="0" w:right="0" w:hanging="0"/>
              <w:jc w:val="left"/>
              <w:rPr/>
            </w:pPr>
            <w:r>
              <w:rPr/>
              <w:t> </w:t>
            </w:r>
          </w:p>
        </w:tc>
        <w:tc>
          <w:tcPr>
            <w:tcW w:w="4135" w:type="dxa"/>
            <w:tcBorders/>
            <w:vAlign w:val="center"/>
          </w:tcPr>
          <w:p>
            <w:pPr>
              <w:pStyle w:val="TableContents"/>
              <w:bidi w:val="0"/>
              <w:spacing w:before="0" w:after="283"/>
              <w:jc w:val="left"/>
              <w:rPr/>
            </w:pPr>
            <w:r>
              <w:rPr>
                <w:u w:val="single"/>
              </w:rPr>
              <w:t>Face of Receipt</w:t>
            </w:r>
            <w:r>
              <w:rPr/>
              <w:t xml:space="preserve"> - Paragraph (14).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These reports can be retrieved from the Commission’s internet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and can be inspected and copied at the public reference facilities maintained by the Commission at 100 F Street, N.E., Washington D.C. 20549.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I-2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Prospectus consists of the form of American Depositary Receipt included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Deposit Agreement filed as Exhibit (a) to this Registration Statement on Form F-6 and is incorporated herein by reference.</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center"/>
        <w:rPr>
          <w:bdr w:val="single" w:sz="8" w:space="1" w:color="000000"/>
        </w:rPr>
      </w:pPr>
      <w:r>
        <w:rPr>
          <w:bdr w:val="single" w:sz="8" w:space="1" w:color="000000"/>
        </w:rPr>
        <w:t>I-3 </w:t>
      </w:r>
    </w:p>
    <w:p>
      <w:pPr>
        <w:pStyle w:val="TextBody"/>
        <w:bidi w:val="0"/>
        <w:spacing w:before="0" w:after="0"/>
        <w:jc w:val="center"/>
        <w:rPr/>
      </w:pPr>
      <w:r>
        <w:rPr/>
        <w:t> </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5"/>
        <w:gridCol w:w="1145"/>
      </w:tblGrid>
      <w:tr>
        <w:trPr/>
        <w:tc>
          <w:tcPr>
            <w:tcW w:w="7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Item 3. </w:t>
            </w:r>
          </w:p>
        </w:tc>
        <w:tc>
          <w:tcPr>
            <w:tcW w:w="1145" w:type="dxa"/>
            <w:tcBorders/>
            <w:vAlign w:val="center"/>
          </w:tcPr>
          <w:p>
            <w:pPr>
              <w:pStyle w:val="TableContents"/>
              <w:bidi w:val="0"/>
              <w:spacing w:before="0" w:after="283"/>
              <w:jc w:val="left"/>
              <w:rPr/>
            </w:pPr>
            <w:r>
              <w:rPr/>
              <w:t>EXHIBITS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Deposit Agreement, dated as of October 24, 2023, by and among Abivax SA (the “</w:t>
            </w:r>
            <w:r>
              <w:rPr>
                <w:u w:val="single"/>
              </w:rPr>
              <w:t>Company</w:t>
            </w:r>
            <w:r>
              <w:rPr/>
              <w:t>”), Citibank, N.A., as depositary (the “</w:t>
            </w:r>
            <w:r>
              <w:rPr>
                <w:u w:val="single"/>
              </w:rPr>
              <w:t>Depositary</w:t>
            </w:r>
            <w:r>
              <w:rPr/>
              <w:t>”), and all Holders and Beneficial Owners of American Depositary Shares issued thereunder (“</w:t>
            </w:r>
            <w:r>
              <w:rPr>
                <w:u w:val="single"/>
              </w:rPr>
              <w:t>Deposit Agreement</w:t>
            </w:r>
            <w:r>
              <w:rPr/>
              <w:t xml:space="preserve">”). </w:t>
            </w:r>
            <w:r>
              <w:rPr>
                <w:position w:val="8"/>
                <w:sz w:val="19"/>
              </w:rPr>
              <w:t>___</w:t>
            </w:r>
            <w:r>
              <w:rPr/>
              <w:t xml:space="preserve"> Filed herewith as Exhibit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4"/>
        <w:gridCol w:w="9743"/>
      </w:tblGrid>
      <w:tr>
        <w:trPr/>
        <w:tc>
          <w:tcPr>
            <w:tcW w:w="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(b)(i)</w:t>
            </w:r>
          </w:p>
        </w:tc>
        <w:tc>
          <w:tcPr>
            <w:tcW w:w="9743" w:type="dxa"/>
            <w:tcBorders/>
            <w:vAlign w:val="center"/>
          </w:tcPr>
          <w:p>
            <w:pPr>
              <w:pStyle w:val="TableContents"/>
              <w:bidi w:val="0"/>
              <w:spacing w:before="0" w:after="283"/>
              <w:jc w:val="both"/>
              <w:rPr/>
            </w:pPr>
            <w:r>
              <w:rPr/>
              <w:t xml:space="preserve">At-the-Market Letter Agreement, dated as of December 10, 2024, by and between the Company and the Depositary. </w:t>
            </w:r>
            <w:r>
              <w:rPr>
                <w:position w:val="8"/>
                <w:sz w:val="19"/>
              </w:rPr>
              <w:t>___</w:t>
            </w:r>
            <w:r>
              <w:rPr/>
              <w:t xml:space="preserve"> Filed herewith as Exhibit (b)(i).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1"/>
        <w:gridCol w:w="9716"/>
      </w:tblGrid>
      <w:tr>
        <w:trPr/>
        <w:tc>
          <w:tcPr>
            <w:tcW w:w="3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(b)(ii)</w:t>
            </w:r>
          </w:p>
        </w:tc>
        <w:tc>
          <w:tcPr>
            <w:tcW w:w="9716" w:type="dxa"/>
            <w:tcBorders/>
            <w:vAlign w:val="center"/>
          </w:tcPr>
          <w:p>
            <w:pPr>
              <w:pStyle w:val="TableContents"/>
              <w:bidi w:val="0"/>
              <w:spacing w:before="0" w:after="283"/>
              <w:jc w:val="left"/>
              <w:rPr/>
            </w:pPr>
            <w:r>
              <w:rPr/>
              <w:t xml:space="preserve">Omnibus Restricted ADS Letter Agreement, dated as of December 3, 2025, by and between the Company and the Depositary. </w:t>
            </w:r>
            <w:r>
              <w:rPr>
                <w:position w:val="8"/>
                <w:sz w:val="19"/>
              </w:rPr>
              <w:t>___</w:t>
            </w:r>
            <w:r>
              <w:rPr/>
              <w:t xml:space="preserve"> Filed herewith as Exhibit (b)(ii).</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3"/>
        <w:gridCol w:w="9714"/>
      </w:tblGrid>
      <w:tr>
        <w:trPr/>
        <w:tc>
          <w:tcPr>
            <w:tcW w:w="3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(b)(iii)</w:t>
            </w:r>
          </w:p>
        </w:tc>
        <w:tc>
          <w:tcPr>
            <w:tcW w:w="9714" w:type="dxa"/>
            <w:tcBorders/>
            <w:vAlign w:val="center"/>
          </w:tcPr>
          <w:p>
            <w:pPr>
              <w:pStyle w:val="TableContents"/>
              <w:bidi w:val="0"/>
              <w:spacing w:before="0" w:after="283"/>
              <w:jc w:val="left"/>
              <w:rPr/>
            </w:pPr>
            <w:r>
              <w:rPr/>
              <w:t xml:space="preserve">Affiliate and Restricted Securities Series Supplemental Letter Agreement, dated as of December 3, 2025, by and between the Company and the Depositary. </w:t>
            </w:r>
            <w:r>
              <w:rPr>
                <w:position w:val="8"/>
                <w:sz w:val="19"/>
              </w:rPr>
              <w:t>___</w:t>
            </w:r>
            <w:r>
              <w:rPr/>
              <w:t xml:space="preserve"> Filed herewith as Exhibit (b)(iii).</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2"/>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(b)(iv)</w:t>
            </w:r>
          </w:p>
        </w:tc>
        <w:tc>
          <w:tcPr>
            <w:tcW w:w="9665" w:type="dxa"/>
            <w:tcBorders/>
            <w:vAlign w:val="center"/>
          </w:tcPr>
          <w:p>
            <w:pPr>
              <w:pStyle w:val="TableContents"/>
              <w:bidi w:val="0"/>
              <w:spacing w:before="0" w:after="283"/>
              <w:jc w:val="left"/>
              <w:rPr/>
            </w:pPr>
            <w:r>
              <w:rPr/>
              <w:t xml:space="preserve">Royalty Certificate Letter Agreement, dated as of May 7, 2026, by and between the Company and the Depositary. </w:t>
            </w:r>
            <w:r>
              <w:rPr>
                <w:position w:val="8"/>
                <w:sz w:val="19"/>
              </w:rPr>
              <w:t>___</w:t>
            </w:r>
            <w:r>
              <w:rPr/>
              <w:t xml:space="preserve"> Filed herewith as Exhibit (b)(iv).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 xml:space="preserve">Every material contract relating to the deposited securities between the Depositary and the issuer of the deposited securities in effect at any time within the last three years. </w:t>
            </w:r>
            <w:r>
              <w:rPr>
                <w:position w:val="8"/>
                <w:sz w:val="19"/>
              </w:rPr>
              <w:t>___</w:t>
            </w:r>
            <w:r>
              <w:rPr/>
              <w:t xml:space="preserve"> None.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89" w:type="dxa"/>
            <w:tcBorders/>
            <w:vAlign w:val="center"/>
          </w:tcPr>
          <w:p>
            <w:pPr>
              <w:pStyle w:val="TableContents"/>
              <w:bidi w:val="0"/>
              <w:spacing w:before="0" w:after="283"/>
              <w:jc w:val="both"/>
              <w:rPr/>
            </w:pPr>
            <w:r>
              <w:rPr/>
              <w:t xml:space="preserve">Opinion of counsel for the Depositary as to the legality of the securities to be registered. </w:t>
            </w:r>
            <w:r>
              <w:rPr>
                <w:position w:val="8"/>
                <w:sz w:val="19"/>
              </w:rPr>
              <w:t>___</w:t>
            </w:r>
            <w:r>
              <w:rPr/>
              <w:t xml:space="preserve"> Filed herewith as Exhibit (d).</w:t>
            </w:r>
          </w:p>
        </w:tc>
      </w:tr>
    </w:tbl>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75"/>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5780" w:type="dxa"/>
            <w:tcBorders/>
            <w:vAlign w:val="center"/>
          </w:tcPr>
          <w:p>
            <w:pPr>
              <w:pStyle w:val="TableContents"/>
              <w:bidi w:val="0"/>
              <w:spacing w:before="0" w:after="283"/>
              <w:jc w:val="both"/>
              <w:rPr/>
            </w:pPr>
            <w:r>
              <w:rPr/>
              <w:t xml:space="preserve">Certificate under Rule 466. </w:t>
            </w:r>
            <w:r>
              <w:rPr>
                <w:position w:val="8"/>
                <w:sz w:val="19"/>
              </w:rPr>
              <w:t>___</w:t>
            </w:r>
            <w:r>
              <w:rPr/>
              <w:t xml:space="preserve"> Filed herewith as Exhibit (e).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(f)</w:t>
            </w:r>
          </w:p>
        </w:tc>
        <w:tc>
          <w:tcPr>
            <w:tcW w:w="9946" w:type="dxa"/>
            <w:tcBorders/>
            <w:vAlign w:val="center"/>
          </w:tcPr>
          <w:p>
            <w:pPr>
              <w:pStyle w:val="TableContents"/>
              <w:bidi w:val="0"/>
              <w:spacing w:before="0" w:after="283"/>
              <w:jc w:val="both"/>
              <w:rPr/>
            </w:pPr>
            <w:r>
              <w:rPr/>
              <w:t xml:space="preserve">Powers of Attorney for certain officers and directors and the authorized representative of the Company. </w:t>
            </w:r>
            <w:r>
              <w:rPr>
                <w:position w:val="8"/>
                <w:sz w:val="19"/>
              </w:rPr>
              <w:t>___</w:t>
            </w:r>
            <w:r>
              <w:rPr/>
              <w:t xml:space="preserve"> Set forth on the signature pages hereto.</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II-1 </w:t>
      </w:r>
    </w:p>
    <w:p>
      <w:pPr>
        <w:pStyle w:val="TextBody"/>
        <w:bidi w:val="0"/>
        <w:spacing w:before="0" w:after="0"/>
        <w:jc w:val="center"/>
        <w:rPr/>
      </w:pPr>
      <w:r>
        <w:rPr/>
        <w:t> </w:t>
      </w:r>
    </w:p>
    <w:p>
      <w:pPr>
        <w:pStyle w:val="TextBody"/>
        <w:bidi w:val="0"/>
        <w:spacing w:before="0" w:after="283"/>
        <w:jc w:val="left"/>
        <w:rPr/>
      </w:pPr>
      <w:r>
        <w:rPr/>
        <w:t> </w:t>
      </w:r>
    </w:p>
    <w:tbl>
      <w:tblPr>
        <w:tblW w:w="2665" w:type="dxa"/>
        <w:jc w:val="left"/>
        <w:tblInd w:w="0" w:type="dxa"/>
        <w:tblLayout w:type="fixed"/>
        <w:tblCellMar>
          <w:top w:w="0" w:type="dxa"/>
          <w:left w:w="0" w:type="dxa"/>
          <w:bottom w:w="0" w:type="dxa"/>
          <w:right w:w="0" w:type="dxa"/>
        </w:tblCellMar>
      </w:tblPr>
      <w:tblGrid>
        <w:gridCol w:w="695"/>
        <w:gridCol w:w="1970"/>
      </w:tblGrid>
      <w:tr>
        <w:trPr/>
        <w:tc>
          <w:tcPr>
            <w:tcW w:w="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4.</w:t>
            </w:r>
          </w:p>
        </w:tc>
        <w:tc>
          <w:tcPr>
            <w:tcW w:w="1970" w:type="dxa"/>
            <w:tcBorders/>
            <w:vAlign w:val="center"/>
          </w:tcPr>
          <w:p>
            <w:pPr>
              <w:pStyle w:val="TableContents"/>
              <w:bidi w:val="0"/>
              <w:spacing w:before="0" w:after="283"/>
              <w:jc w:val="left"/>
              <w:rPr/>
            </w:pPr>
            <w:r>
              <w:rPr/>
              <w:t>UNDERTAKINGS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II-2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Citibank, N.A., acting solely on behalf of the legal entity created by the Deposit Agreement, dated as of October 24, 2023, by and among Abivax SA, Citibank, N.A., as depositary, and all Holders and Beneficial Owners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21st day of September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7"/>
        <w:gridCol w:w="8253"/>
      </w:tblGrid>
      <w:tr>
        <w:trPr/>
        <w:tc>
          <w:tcPr>
            <w:tcW w:w="75" w:type="dxa"/>
            <w:tcBorders/>
            <w:vAlign w:val="center"/>
          </w:tcPr>
          <w:p>
            <w:pPr>
              <w:pStyle w:val="TableContents"/>
              <w:bidi w:val="0"/>
              <w:spacing w:before="0" w:after="283"/>
              <w:jc w:val="both"/>
              <w:rPr/>
            </w:pPr>
            <w:r>
              <w:rPr/>
              <w:t> </w:t>
            </w:r>
          </w:p>
        </w:tc>
        <w:tc>
          <w:tcPr>
            <w:tcW w:w="10130" w:type="dxa"/>
            <w:gridSpan w:val="2"/>
            <w:tcBorders/>
            <w:vAlign w:val="center"/>
          </w:tcPr>
          <w:p>
            <w:pPr>
              <w:pStyle w:val="TableContents"/>
              <w:bidi w:val="0"/>
              <w:spacing w:before="0" w:after="283"/>
              <w:jc w:val="both"/>
              <w:rPr/>
            </w:pPr>
            <w:r>
              <w:rPr/>
              <w:t>Legal entity created by the Deposit Agreement under which the American Depositary Shares registered hereunder are to be issued, each American Depositary Share representing the right to receive one (1) ordinary share of Abivax SA</w:t>
            </w:r>
          </w:p>
        </w:tc>
      </w:tr>
      <w:tr>
        <w:trPr/>
        <w:tc>
          <w:tcPr>
            <w:tcW w:w="75" w:type="dxa"/>
            <w:tcBorders/>
            <w:vAlign w:val="center"/>
          </w:tcPr>
          <w:p>
            <w:pPr>
              <w:pStyle w:val="TableContents"/>
              <w:bidi w:val="0"/>
              <w:spacing w:before="0" w:after="283"/>
              <w:jc w:val="both"/>
              <w:rPr/>
            </w:pPr>
            <w:r>
              <w:rPr/>
              <w:t> </w:t>
            </w:r>
          </w:p>
        </w:tc>
        <w:tc>
          <w:tcPr>
            <w:tcW w:w="1877" w:type="dxa"/>
            <w:tcBorders/>
            <w:vAlign w:val="center"/>
          </w:tcPr>
          <w:p>
            <w:pPr>
              <w:pStyle w:val="TableContents"/>
              <w:bidi w:val="0"/>
              <w:spacing w:before="0" w:after="283"/>
              <w:jc w:val="both"/>
              <w:rPr/>
            </w:pPr>
            <w:r>
              <w:rPr/>
              <w:t> </w:t>
            </w:r>
          </w:p>
        </w:tc>
        <w:tc>
          <w:tcPr>
            <w:tcW w:w="825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CITIBANK, N.A., solely in its capacity as Depositary</w:t>
            </w:r>
          </w:p>
        </w:tc>
      </w:tr>
      <w:tr>
        <w:trPr/>
        <w:tc>
          <w:tcPr>
            <w:tcW w:w="75" w:type="dxa"/>
            <w:tcBorders/>
            <w:vAlign w:val="center"/>
          </w:tcPr>
          <w:p>
            <w:pPr>
              <w:pStyle w:val="TableContents"/>
              <w:bidi w:val="0"/>
              <w:spacing w:before="0" w:after="283"/>
              <w:jc w:val="left"/>
              <w:rPr/>
            </w:pPr>
            <w:r>
              <w:rPr/>
              <w:t> </w:t>
            </w:r>
          </w:p>
        </w:tc>
        <w:tc>
          <w:tcPr>
            <w:tcW w:w="1877"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77" w:type="dxa"/>
            <w:tcBorders/>
            <w:vAlign w:val="center"/>
          </w:tcPr>
          <w:p>
            <w:pPr>
              <w:pStyle w:val="TableContents"/>
              <w:bidi w:val="0"/>
              <w:spacing w:before="0" w:after="283"/>
              <w:jc w:val="left"/>
              <w:rPr/>
            </w:pPr>
            <w:r>
              <w:rPr/>
              <w:t>By:  </w:t>
            </w:r>
          </w:p>
        </w:tc>
        <w:tc>
          <w:tcPr>
            <w:tcW w:w="8253" w:type="dxa"/>
            <w:tcBorders>
              <w:bottom w:val="single" w:sz="8" w:space="0" w:color="000000"/>
            </w:tcBorders>
            <w:tcMar>
              <w:bottom w:w="28" w:type="dxa"/>
            </w:tcMar>
            <w:vAlign w:val="center"/>
          </w:tcPr>
          <w:p>
            <w:pPr>
              <w:pStyle w:val="TableContents"/>
              <w:bidi w:val="0"/>
              <w:spacing w:before="0" w:after="283"/>
              <w:jc w:val="left"/>
              <w:rPr/>
            </w:pPr>
            <w:r>
              <w:rPr/>
              <w:t>/s/ Leslie DeLuca</w:t>
            </w:r>
          </w:p>
        </w:tc>
      </w:tr>
      <w:tr>
        <w:trPr/>
        <w:tc>
          <w:tcPr>
            <w:tcW w:w="75" w:type="dxa"/>
            <w:tcBorders/>
            <w:vAlign w:val="center"/>
          </w:tcPr>
          <w:p>
            <w:pPr>
              <w:pStyle w:val="TableContents"/>
              <w:bidi w:val="0"/>
              <w:spacing w:before="0" w:after="283"/>
              <w:jc w:val="left"/>
              <w:rPr/>
            </w:pPr>
            <w:r>
              <w:rPr/>
              <w:t> </w:t>
            </w:r>
          </w:p>
        </w:tc>
        <w:tc>
          <w:tcPr>
            <w:tcW w:w="1877"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sz w:val="20"/>
              </w:rPr>
            </w:pPr>
            <w:r>
              <w:rPr>
                <w:sz w:val="20"/>
              </w:rPr>
              <w:t>Name:  Leslie DeLuca</w:t>
            </w:r>
          </w:p>
        </w:tc>
      </w:tr>
      <w:tr>
        <w:trPr/>
        <w:tc>
          <w:tcPr>
            <w:tcW w:w="75" w:type="dxa"/>
            <w:tcBorders/>
            <w:vAlign w:val="center"/>
          </w:tcPr>
          <w:p>
            <w:pPr>
              <w:pStyle w:val="TableContents"/>
              <w:bidi w:val="0"/>
              <w:spacing w:before="0" w:after="283"/>
              <w:jc w:val="left"/>
              <w:rPr/>
            </w:pPr>
            <w:r>
              <w:rPr/>
              <w:t> </w:t>
            </w:r>
          </w:p>
        </w:tc>
        <w:tc>
          <w:tcPr>
            <w:tcW w:w="1877"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sz w:val="20"/>
              </w:rPr>
            </w:pPr>
            <w:r>
              <w:rPr>
                <w:sz w:val="20"/>
              </w:rPr>
              <w:t>Title:    Attorney-in-Fact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bdr w:val="single" w:sz="8" w:space="1" w:color="000000"/>
        </w:rPr>
      </w:pPr>
      <w:r>
        <w:rPr>
          <w:bdr w:val="single" w:sz="8" w:space="1" w:color="000000"/>
        </w:rPr>
        <w:t>II-3 </w:t>
      </w:r>
    </w:p>
    <w:p>
      <w:pPr>
        <w:pStyle w:val="TextBody"/>
        <w:bidi w:val="0"/>
        <w:spacing w:before="0" w:after="0"/>
        <w:jc w:val="center"/>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Abivax SA certifies that it has reasonable grounds to believe that it meets all of the requirements for filing on Form F-6 and has duly caused this Registration Statement on Form F-6 to be signed on its behalf by the undersigned thereunto duly authorized, in Waltham, Massachusetts, on September 21, 2026.</w:t>
      </w:r>
    </w:p>
    <w:p>
      <w:pPr>
        <w:pStyle w:val="TextBody"/>
        <w:bidi w:val="0"/>
        <w:spacing w:before="0" w:after="0"/>
        <w:ind w:left="0" w:right="0" w:firstLine="72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425"/>
        <w:gridCol w:w="3590"/>
      </w:tblGrid>
      <w:tr>
        <w:trPr/>
        <w:tc>
          <w:tcPr>
            <w:tcW w:w="75"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b/>
              </w:rPr>
            </w:pPr>
            <w:r>
              <w:rPr>
                <w:b/>
              </w:rPr>
              <w:t>ABIVAX SA</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3590" w:type="dxa"/>
            <w:tcBorders>
              <w:bottom w:val="single" w:sz="8" w:space="0" w:color="000000"/>
            </w:tcBorders>
            <w:tcMar>
              <w:bottom w:w="28" w:type="dxa"/>
            </w:tcMar>
            <w:vAlign w:val="center"/>
          </w:tcPr>
          <w:p>
            <w:pPr>
              <w:pStyle w:val="TableContents"/>
              <w:bidi w:val="0"/>
              <w:spacing w:before="0" w:after="283"/>
              <w:jc w:val="left"/>
              <w:rPr/>
            </w:pPr>
            <w:r>
              <w:rPr/>
              <w:t>/s/ Marc de Garidel</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Name:  Marc de Garidel</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Title:   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POWERS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constitutes and appoints each of Marc de Garidel and Didier Blondel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on Form F-6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60"/>
        <w:gridCol w:w="120"/>
        <w:gridCol w:w="5341"/>
        <w:gridCol w:w="60"/>
        <w:gridCol w:w="1824"/>
      </w:tblGrid>
      <w:tr>
        <w:trPr/>
        <w:tc>
          <w:tcPr>
            <w:tcW w:w="2860" w:type="dxa"/>
            <w:tcBorders>
              <w:bottom w:val="single" w:sz="8" w:space="0" w:color="000000"/>
            </w:tcBorders>
            <w:vAlign w:val="center"/>
          </w:tcPr>
          <w:p>
            <w:pPr>
              <w:pStyle w:val="TableContents"/>
              <w:bidi w:val="0"/>
              <w:spacing w:before="0" w:after="283"/>
              <w:jc w:val="center"/>
              <w:rPr>
                <w:b/>
              </w:rPr>
            </w:pPr>
            <w:r>
              <w:rPr>
                <w:b/>
              </w:rPr>
              <w:t>Name</w:t>
            </w:r>
          </w:p>
        </w:tc>
        <w:tc>
          <w:tcPr>
            <w:tcW w:w="120" w:type="dxa"/>
            <w:tcBorders/>
            <w:tcMar>
              <w:bottom w:w="0" w:type="dxa"/>
            </w:tcMar>
            <w:vAlign w:val="center"/>
          </w:tcPr>
          <w:p>
            <w:pPr>
              <w:pStyle w:val="TableContents"/>
              <w:bidi w:val="0"/>
              <w:spacing w:before="0" w:after="283"/>
              <w:jc w:val="center"/>
              <w:rPr/>
            </w:pPr>
            <w:r>
              <w:rPr/>
              <w:t>  </w:t>
            </w:r>
          </w:p>
        </w:tc>
        <w:tc>
          <w:tcPr>
            <w:tcW w:w="5341"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824" w:type="dxa"/>
            <w:tcBorders>
              <w:bottom w:val="single" w:sz="8" w:space="0" w:color="000000"/>
            </w:tcBorders>
            <w:vAlign w:val="center"/>
          </w:tcPr>
          <w:p>
            <w:pPr>
              <w:pStyle w:val="TableContents"/>
              <w:bidi w:val="0"/>
              <w:spacing w:before="0" w:after="283"/>
              <w:jc w:val="center"/>
              <w:rPr>
                <w:b/>
              </w:rPr>
            </w:pPr>
            <w:r>
              <w:rPr>
                <w:b/>
              </w:rPr>
              <w:t>Date</w:t>
            </w:r>
          </w:p>
        </w:tc>
      </w:tr>
      <w:tr>
        <w:trPr/>
        <w:tc>
          <w:tcPr>
            <w:tcW w:w="286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bottom w:val="single" w:sz="8" w:space="0" w:color="000000"/>
            </w:tcBorders>
            <w:vAlign w:val="center"/>
          </w:tcPr>
          <w:p>
            <w:pPr>
              <w:pStyle w:val="TableContents"/>
              <w:bidi w:val="0"/>
              <w:spacing w:before="0" w:after="283"/>
              <w:jc w:val="left"/>
              <w:rPr/>
            </w:pPr>
            <w:r>
              <w:rPr/>
              <w:t>/s/ Marc de Garidel</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September 21, 2026</w:t>
            </w:r>
          </w:p>
        </w:tc>
      </w:tr>
      <w:tr>
        <w:trPr/>
        <w:tc>
          <w:tcPr>
            <w:tcW w:w="2860" w:type="dxa"/>
            <w:tcBorders/>
            <w:tcMar>
              <w:bottom w:w="0" w:type="dxa"/>
            </w:tcMar>
            <w:vAlign w:val="center"/>
          </w:tcPr>
          <w:p>
            <w:pPr>
              <w:pStyle w:val="TableContents"/>
              <w:bidi w:val="0"/>
              <w:spacing w:before="0" w:after="283"/>
              <w:jc w:val="left"/>
              <w:rPr/>
            </w:pPr>
            <w:r>
              <w:rPr/>
              <w:t>Marc de Garidel</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i/>
              </w:rPr>
            </w:pPr>
            <w:r>
              <w:rPr>
                <w:i/>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bottom w:val="single" w:sz="8" w:space="0" w:color="000000"/>
            </w:tcBorders>
            <w:vAlign w:val="center"/>
          </w:tcPr>
          <w:p>
            <w:pPr>
              <w:pStyle w:val="TableContents"/>
              <w:bidi w:val="0"/>
              <w:spacing w:before="0" w:after="283"/>
              <w:jc w:val="left"/>
              <w:rPr/>
            </w:pPr>
            <w:r>
              <w:rPr/>
              <w:t>/s/ Didier Blondel</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Chief Financial Officer and Board Secretary</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September 21, 2026</w:t>
            </w:r>
          </w:p>
        </w:tc>
      </w:tr>
      <w:tr>
        <w:trPr/>
        <w:tc>
          <w:tcPr>
            <w:tcW w:w="2860" w:type="dxa"/>
            <w:tcBorders/>
            <w:tcMar>
              <w:bottom w:w="0" w:type="dxa"/>
            </w:tcMar>
            <w:vAlign w:val="center"/>
          </w:tcPr>
          <w:p>
            <w:pPr>
              <w:pStyle w:val="TableContents"/>
              <w:bidi w:val="0"/>
              <w:spacing w:before="0" w:after="283"/>
              <w:jc w:val="left"/>
              <w:rPr/>
            </w:pPr>
            <w:r>
              <w:rPr/>
              <w:t>Didier Blondel</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i/>
              </w:rPr>
            </w:pPr>
            <w:r>
              <w:rPr>
                <w:i/>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bottom w:val="single" w:sz="8" w:space="0" w:color="000000"/>
            </w:tcBorders>
            <w:vAlign w:val="center"/>
          </w:tcPr>
          <w:p>
            <w:pPr>
              <w:pStyle w:val="TableContents"/>
              <w:bidi w:val="0"/>
              <w:spacing w:before="0" w:after="283"/>
              <w:jc w:val="left"/>
              <w:rPr/>
            </w:pPr>
            <w:r>
              <w:rPr/>
              <w:t>/s/ Sylvie Grégoire</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Chair of the Board</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September 21, 2026</w:t>
            </w:r>
          </w:p>
        </w:tc>
      </w:tr>
      <w:tr>
        <w:trPr/>
        <w:tc>
          <w:tcPr>
            <w:tcW w:w="2860" w:type="dxa"/>
            <w:tcBorders/>
            <w:tcMar>
              <w:bottom w:w="0" w:type="dxa"/>
            </w:tcMar>
            <w:vAlign w:val="center"/>
          </w:tcPr>
          <w:p>
            <w:pPr>
              <w:pStyle w:val="TableContents"/>
              <w:bidi w:val="0"/>
              <w:spacing w:before="0" w:after="283"/>
              <w:jc w:val="left"/>
              <w:rPr/>
            </w:pPr>
            <w:r>
              <w:rPr/>
              <w:t>Sylvie Grégoire</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bottom w:val="single" w:sz="8" w:space="0" w:color="000000"/>
            </w:tcBorders>
            <w:vAlign w:val="center"/>
          </w:tcPr>
          <w:p>
            <w:pPr>
              <w:pStyle w:val="TableContents"/>
              <w:bidi w:val="0"/>
              <w:spacing w:before="0" w:after="283"/>
              <w:jc w:val="left"/>
              <w:rPr/>
            </w:pPr>
            <w:r>
              <w:rPr/>
              <w:t>/s/ Corinna zur Bonsen-Thomas</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September 21, 2026</w:t>
            </w:r>
          </w:p>
        </w:tc>
      </w:tr>
      <w:tr>
        <w:trPr/>
        <w:tc>
          <w:tcPr>
            <w:tcW w:w="2860" w:type="dxa"/>
            <w:tcBorders/>
            <w:tcMar>
              <w:bottom w:w="0" w:type="dxa"/>
            </w:tcMar>
            <w:vAlign w:val="center"/>
          </w:tcPr>
          <w:p>
            <w:pPr>
              <w:pStyle w:val="TableContents"/>
              <w:bidi w:val="0"/>
              <w:spacing w:before="0" w:after="283"/>
              <w:jc w:val="left"/>
              <w:rPr/>
            </w:pPr>
            <w:r>
              <w:rPr/>
              <w:t>Corinna zur Bonsen-Thomas</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86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r>
        <w:trPr/>
        <w:tc>
          <w:tcPr>
            <w:tcW w:w="2860" w:type="dxa"/>
            <w:tcBorders>
              <w:bottom w:val="single" w:sz="8" w:space="0" w:color="000000"/>
            </w:tcBorders>
            <w:vAlign w:val="center"/>
          </w:tcPr>
          <w:p>
            <w:pPr>
              <w:pStyle w:val="TableContents"/>
              <w:bidi w:val="0"/>
              <w:spacing w:before="0" w:after="283"/>
              <w:jc w:val="left"/>
              <w:rPr/>
            </w:pPr>
            <w:r>
              <w:rPr/>
              <w:t>/s/ June Lee</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September 21, 2026</w:t>
            </w:r>
          </w:p>
        </w:tc>
      </w:tr>
      <w:tr>
        <w:trPr/>
        <w:tc>
          <w:tcPr>
            <w:tcW w:w="2860" w:type="dxa"/>
            <w:tcBorders/>
            <w:tcMar>
              <w:bottom w:w="0" w:type="dxa"/>
            </w:tcMar>
            <w:vAlign w:val="center"/>
          </w:tcPr>
          <w:p>
            <w:pPr>
              <w:pStyle w:val="TableContents"/>
              <w:bidi w:val="0"/>
              <w:spacing w:before="0" w:after="283"/>
              <w:jc w:val="left"/>
              <w:rPr/>
            </w:pPr>
            <w:r>
              <w:rPr/>
              <w:t>June Lee</w:t>
            </w:r>
          </w:p>
        </w:tc>
        <w:tc>
          <w:tcPr>
            <w:tcW w:w="120" w:type="dxa"/>
            <w:tcBorders/>
            <w:tcMar>
              <w:bottom w:w="0" w:type="dxa"/>
            </w:tcMar>
            <w:vAlign w:val="center"/>
          </w:tcPr>
          <w:p>
            <w:pPr>
              <w:pStyle w:val="TableContents"/>
              <w:bidi w:val="0"/>
              <w:spacing w:before="0" w:after="283"/>
              <w:jc w:val="left"/>
              <w:rPr/>
            </w:pPr>
            <w:r>
              <w:rPr/>
              <w:t>  </w:t>
            </w:r>
          </w:p>
        </w:tc>
        <w:tc>
          <w:tcPr>
            <w:tcW w:w="534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4"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II-5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28" w:type="dxa"/>
          <w:right w:w="0" w:type="dxa"/>
        </w:tblCellMar>
      </w:tblPr>
      <w:tblGrid>
        <w:gridCol w:w="2120"/>
        <w:gridCol w:w="60"/>
        <w:gridCol w:w="800"/>
        <w:gridCol w:w="60"/>
        <w:gridCol w:w="1940"/>
      </w:tblGrid>
      <w:tr>
        <w:trPr/>
        <w:tc>
          <w:tcPr>
            <w:tcW w:w="212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940" w:type="dxa"/>
            <w:tcBorders>
              <w:bottom w:val="single" w:sz="8" w:space="0" w:color="000000"/>
            </w:tcBorders>
            <w:vAlign w:val="center"/>
          </w:tcPr>
          <w:p>
            <w:pPr>
              <w:pStyle w:val="TableContents"/>
              <w:bidi w:val="0"/>
              <w:spacing w:before="0" w:after="283"/>
              <w:jc w:val="center"/>
              <w:rPr>
                <w:b/>
              </w:rPr>
            </w:pPr>
            <w:r>
              <w:rPr>
                <w:b/>
              </w:rPr>
              <w:t>Date</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 </w:t>
            </w:r>
          </w:p>
        </w:tc>
      </w:tr>
      <w:tr>
        <w:trPr/>
        <w:tc>
          <w:tcPr>
            <w:tcW w:w="2120" w:type="dxa"/>
            <w:tcBorders>
              <w:bottom w:val="single" w:sz="8" w:space="0" w:color="000000"/>
            </w:tcBorders>
            <w:vAlign w:val="center"/>
          </w:tcPr>
          <w:p>
            <w:pPr>
              <w:pStyle w:val="TableContents"/>
              <w:bidi w:val="0"/>
              <w:spacing w:before="0" w:after="283"/>
              <w:jc w:val="left"/>
              <w:rPr/>
            </w:pPr>
            <w:r>
              <w:rPr/>
              <w:t>/s/ Troy Ignelzi</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 </w:t>
            </w:r>
          </w:p>
        </w:tc>
      </w:tr>
      <w:tr>
        <w:trPr/>
        <w:tc>
          <w:tcPr>
            <w:tcW w:w="2120" w:type="dxa"/>
            <w:tcBorders/>
            <w:tcMar>
              <w:bottom w:w="0" w:type="dxa"/>
            </w:tcMar>
            <w:vAlign w:val="center"/>
          </w:tcPr>
          <w:p>
            <w:pPr>
              <w:pStyle w:val="TableContents"/>
              <w:bidi w:val="0"/>
              <w:spacing w:before="0" w:after="283"/>
              <w:jc w:val="left"/>
              <w:rPr/>
            </w:pPr>
            <w:r>
              <w:rPr/>
              <w:t>Troy Ignelzi</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September 21, 2026</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 </w:t>
            </w:r>
          </w:p>
        </w:tc>
      </w:tr>
      <w:tr>
        <w:trPr/>
        <w:tc>
          <w:tcPr>
            <w:tcW w:w="2120" w:type="dxa"/>
            <w:tcBorders>
              <w:bottom w:val="single" w:sz="8" w:space="0" w:color="000000"/>
            </w:tcBorders>
            <w:vAlign w:val="center"/>
          </w:tcPr>
          <w:p>
            <w:pPr>
              <w:pStyle w:val="TableContents"/>
              <w:bidi w:val="0"/>
              <w:spacing w:before="0" w:after="283"/>
              <w:jc w:val="left"/>
              <w:rPr/>
            </w:pPr>
            <w:r>
              <w:rPr/>
              <w:t>/s/ Camilla Soenderby</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 </w:t>
            </w:r>
          </w:p>
        </w:tc>
      </w:tr>
      <w:tr>
        <w:trPr/>
        <w:tc>
          <w:tcPr>
            <w:tcW w:w="2120" w:type="dxa"/>
            <w:tcBorders/>
            <w:tcMar>
              <w:bottom w:w="0" w:type="dxa"/>
            </w:tcMar>
            <w:vAlign w:val="center"/>
          </w:tcPr>
          <w:p>
            <w:pPr>
              <w:pStyle w:val="TableContents"/>
              <w:bidi w:val="0"/>
              <w:spacing w:before="0" w:after="283"/>
              <w:jc w:val="left"/>
              <w:rPr/>
            </w:pPr>
            <w:r>
              <w:rPr/>
              <w:t>Camilla Soenderby</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September 21, 2026</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 </w:t>
            </w:r>
          </w:p>
        </w:tc>
      </w:tr>
      <w:tr>
        <w:trPr/>
        <w:tc>
          <w:tcPr>
            <w:tcW w:w="2120" w:type="dxa"/>
            <w:tcBorders>
              <w:bottom w:val="single" w:sz="8" w:space="0" w:color="000000"/>
            </w:tcBorders>
            <w:vAlign w:val="center"/>
          </w:tcPr>
          <w:p>
            <w:pPr>
              <w:pStyle w:val="TableContents"/>
              <w:bidi w:val="0"/>
              <w:spacing w:before="0" w:after="283"/>
              <w:jc w:val="left"/>
              <w:rPr/>
            </w:pPr>
            <w:r>
              <w:rPr/>
              <w:t>/s/ Dominik Höchli</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 </w:t>
            </w:r>
          </w:p>
        </w:tc>
      </w:tr>
      <w:tr>
        <w:trPr/>
        <w:tc>
          <w:tcPr>
            <w:tcW w:w="2120" w:type="dxa"/>
            <w:tcBorders/>
            <w:tcMar>
              <w:bottom w:w="0" w:type="dxa"/>
            </w:tcMar>
            <w:vAlign w:val="center"/>
          </w:tcPr>
          <w:p>
            <w:pPr>
              <w:pStyle w:val="TableContents"/>
              <w:bidi w:val="0"/>
              <w:spacing w:before="0" w:after="283"/>
              <w:jc w:val="left"/>
              <w:rPr/>
            </w:pPr>
            <w:r>
              <w:rPr/>
              <w:t>Dominik Höchli</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September 21,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OF THE REGISTRANT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has signed this Registration Statement on Form F-6 in Waltham, Massachusetts, on September 21, 2026.</w:t>
      </w:r>
    </w:p>
    <w:p>
      <w:pPr>
        <w:pStyle w:val="TextBody"/>
        <w:bidi w:val="0"/>
        <w:spacing w:before="0" w:after="0"/>
        <w:ind w:left="0" w:right="0" w:hanging="0"/>
        <w:jc w:val="both"/>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75"/>
        <w:gridCol w:w="1910"/>
      </w:tblGrid>
      <w:tr>
        <w:trPr/>
        <w:tc>
          <w:tcPr>
            <w:tcW w:w="75" w:type="dxa"/>
            <w:tcBorders/>
            <w:vAlign w:val="center"/>
          </w:tcPr>
          <w:p>
            <w:pPr>
              <w:pStyle w:val="TableContents"/>
              <w:bidi w:val="0"/>
              <w:spacing w:before="0" w:after="283"/>
              <w:jc w:val="both"/>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Marc de Garidel</w:t>
            </w:r>
          </w:p>
        </w:tc>
      </w:tr>
      <w:tr>
        <w:trPr/>
        <w:tc>
          <w:tcPr>
            <w:tcW w:w="75" w:type="dxa"/>
            <w:tcBorders/>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sz w:val="20"/>
              </w:rPr>
            </w:pPr>
            <w:r>
              <w:rPr>
                <w:sz w:val="20"/>
              </w:rPr>
              <w:t>Name: Marc de Garidel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Exhibits</w:t>
      </w:r>
    </w:p>
    <w:p>
      <w:pPr>
        <w:pStyle w:val="TextBody"/>
        <w:bidi w:val="0"/>
        <w:spacing w:before="0" w:after="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0" w:type="dxa"/>
          <w:right w:w="0" w:type="dxa"/>
        </w:tblCellMar>
      </w:tblPr>
      <w:tblGrid>
        <w:gridCol w:w="785"/>
        <w:gridCol w:w="6890"/>
        <w:gridCol w:w="1385"/>
      </w:tblGrid>
      <w:tr>
        <w:trPr/>
        <w:tc>
          <w:tcPr>
            <w:tcW w:w="785" w:type="dxa"/>
            <w:tcBorders/>
            <w:vAlign w:val="center"/>
          </w:tcPr>
          <w:p>
            <w:pPr>
              <w:pStyle w:val="TableContents"/>
              <w:bidi w:val="0"/>
              <w:spacing w:before="0" w:after="283"/>
              <w:jc w:val="left"/>
              <w:rPr>
                <w:b/>
                <w:u w:val="single"/>
              </w:rPr>
            </w:pPr>
            <w:r>
              <w:rPr>
                <w:b/>
                <w:u w:val="single"/>
              </w:rPr>
              <w:t>Exhibit</w:t>
            </w:r>
          </w:p>
        </w:tc>
        <w:tc>
          <w:tcPr>
            <w:tcW w:w="6890" w:type="dxa"/>
            <w:tcBorders/>
            <w:vAlign w:val="center"/>
          </w:tcPr>
          <w:p>
            <w:pPr>
              <w:pStyle w:val="TableContents"/>
              <w:bidi w:val="0"/>
              <w:spacing w:before="0" w:after="283"/>
              <w:jc w:val="left"/>
              <w:rPr>
                <w:b/>
                <w:u w:val="single"/>
              </w:rPr>
            </w:pPr>
            <w:r>
              <w:rPr>
                <w:b/>
                <w:u w:val="single"/>
              </w:rPr>
              <w:t>Document</w:t>
            </w:r>
          </w:p>
        </w:tc>
        <w:tc>
          <w:tcPr>
            <w:tcW w:w="138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Sequentially</w:t>
            </w:r>
          </w:p>
          <w:p>
            <w:pPr>
              <w:pStyle w:val="TableContents"/>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Numbered Page</w:t>
            </w:r>
          </w:p>
        </w:tc>
      </w:tr>
      <w:tr>
        <w:trPr/>
        <w:tc>
          <w:tcPr>
            <w:tcW w:w="78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(a)</w:t>
            </w:r>
          </w:p>
        </w:tc>
        <w:tc>
          <w:tcPr>
            <w:tcW w:w="6890" w:type="dxa"/>
            <w:tcBorders/>
            <w:vAlign w:val="center"/>
          </w:tcPr>
          <w:p>
            <w:pPr>
              <w:pStyle w:val="TableContents"/>
              <w:bidi w:val="0"/>
              <w:spacing w:before="0" w:after="283"/>
              <w:jc w:val="left"/>
              <w:rPr/>
            </w:pPr>
            <w:r>
              <w:rPr/>
              <w:t>Deposit Agreement</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(b)(i)</w:t>
            </w:r>
          </w:p>
        </w:tc>
        <w:tc>
          <w:tcPr>
            <w:tcW w:w="6890" w:type="dxa"/>
            <w:tcBorders/>
            <w:vAlign w:val="center"/>
          </w:tcPr>
          <w:p>
            <w:pPr>
              <w:pStyle w:val="TableContents"/>
              <w:bidi w:val="0"/>
              <w:spacing w:before="0" w:after="283"/>
              <w:jc w:val="left"/>
              <w:rPr/>
            </w:pPr>
            <w:r>
              <w:rPr/>
              <w:t>At-the-Market Letter Agreement</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(b)(ii)</w:t>
            </w:r>
          </w:p>
        </w:tc>
        <w:tc>
          <w:tcPr>
            <w:tcW w:w="6890" w:type="dxa"/>
            <w:tcBorders/>
            <w:vAlign w:val="center"/>
          </w:tcPr>
          <w:p>
            <w:pPr>
              <w:pStyle w:val="TableContents"/>
              <w:bidi w:val="0"/>
              <w:spacing w:before="0" w:after="283"/>
              <w:jc w:val="left"/>
              <w:rPr/>
            </w:pPr>
            <w:r>
              <w:rPr/>
              <w:t>Omnibus Restricted ADS Letter Agreement</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(b)(iii)</w:t>
            </w:r>
          </w:p>
        </w:tc>
        <w:tc>
          <w:tcPr>
            <w:tcW w:w="6890" w:type="dxa"/>
            <w:tcBorders/>
            <w:vAlign w:val="center"/>
          </w:tcPr>
          <w:p>
            <w:pPr>
              <w:pStyle w:val="TableContents"/>
              <w:bidi w:val="0"/>
              <w:spacing w:before="0" w:after="283"/>
              <w:jc w:val="left"/>
              <w:rPr/>
            </w:pPr>
            <w:r>
              <w:rPr/>
              <w:t>Affiliate and Restricted Securities Series Supplemental Letter Agreement</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(b)(iv)</w:t>
            </w:r>
          </w:p>
        </w:tc>
        <w:tc>
          <w:tcPr>
            <w:tcW w:w="6890" w:type="dxa"/>
            <w:tcBorders/>
            <w:vAlign w:val="center"/>
          </w:tcPr>
          <w:p>
            <w:pPr>
              <w:pStyle w:val="TableContents"/>
              <w:bidi w:val="0"/>
              <w:spacing w:before="0" w:after="283"/>
              <w:jc w:val="left"/>
              <w:rPr/>
            </w:pPr>
            <w:r>
              <w:rPr/>
              <w:t>Royalty Certificate Letter Agreement</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(d)</w:t>
            </w:r>
          </w:p>
        </w:tc>
        <w:tc>
          <w:tcPr>
            <w:tcW w:w="6890" w:type="dxa"/>
            <w:tcBorders/>
            <w:vAlign w:val="center"/>
          </w:tcPr>
          <w:p>
            <w:pPr>
              <w:pStyle w:val="TableContents"/>
              <w:bidi w:val="0"/>
              <w:spacing w:before="0" w:after="283"/>
              <w:jc w:val="left"/>
              <w:rPr/>
            </w:pPr>
            <w:r>
              <w:rPr/>
              <w:t>Opinion of counsel to the Depositary</w:t>
            </w:r>
          </w:p>
        </w:tc>
        <w:tc>
          <w:tcPr>
            <w:tcW w:w="138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(e)</w:t>
            </w:r>
          </w:p>
        </w:tc>
        <w:tc>
          <w:tcPr>
            <w:tcW w:w="6890" w:type="dxa"/>
            <w:tcBorders/>
            <w:vAlign w:val="center"/>
          </w:tcPr>
          <w:p>
            <w:pPr>
              <w:pStyle w:val="TableContents"/>
              <w:bidi w:val="0"/>
              <w:spacing w:before="0" w:after="283"/>
              <w:jc w:val="left"/>
              <w:rPr/>
            </w:pPr>
            <w:r>
              <w:rPr/>
              <w:t>Rule 466 Certificate</w:t>
            </w:r>
          </w:p>
        </w:tc>
        <w:tc>
          <w:tcPr>
            <w:tcW w:w="13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II-8</w:t>
      </w:r>
    </w:p>
    <w:p>
      <w:pPr>
        <w:pStyle w:val="TextBody"/>
        <w:bidi w:val="0"/>
        <w:spacing w:before="0" w:after="0"/>
        <w:ind w:left="0" w:right="0" w:hanging="0"/>
        <w:jc w:val="center"/>
        <w:rPr>
          <w:caps w:val="false"/>
          <w:smallCaps w:val="false"/>
        </w:rPr>
      </w:pPr>
      <w:bookmarkStart w:id="2" w:name="e665785_ex99-a.htm"/>
      <w:bookmarkStart w:id="3" w:name="kse665785_ex99a"/>
      <w:bookmarkEnd w:id="2"/>
      <w:bookmarkEnd w:id="3"/>
      <w:r>
        <w:rPr>
          <w:caps w:val="false"/>
          <w:smallCaps w:val="false"/>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6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AGREEMENT</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Depositary,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HOLDERS AND BENEFICIAL OWNERS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br/>
        <w:t>ISSUED HEREUNDER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24,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96"/>
        <w:gridCol w:w="8778"/>
        <w:gridCol w:w="156"/>
      </w:tblGrid>
      <w:tr>
        <w:trPr/>
        <w:tc>
          <w:tcPr>
            <w:tcW w:w="10049" w:type="dxa"/>
            <w:gridSpan w:val="3"/>
            <w:tcBorders/>
            <w:shd w:fill="CCEEFF" w:val="clear"/>
            <w:vAlign w:val="center"/>
          </w:tcPr>
          <w:p>
            <w:pPr>
              <w:pStyle w:val="TableContents"/>
              <w:bidi w:val="0"/>
              <w:spacing w:before="0" w:after="283"/>
              <w:jc w:val="left"/>
              <w:rPr/>
            </w:pPr>
            <w:r>
              <w:rPr/>
              <w:t>ARTICLE I</w:t>
            </w:r>
          </w:p>
        </w:tc>
        <w:tc>
          <w:tcPr>
            <w:tcW w:w="156" w:type="dxa"/>
            <w:tcBorders/>
            <w:shd w:fill="CCEEFF" w:val="clear"/>
            <w:vAlign w:val="center"/>
          </w:tcPr>
          <w:p>
            <w:pPr>
              <w:pStyle w:val="TableContents"/>
              <w:bidi w:val="0"/>
              <w:spacing w:before="0" w:after="283"/>
              <w:jc w:val="righ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 </w:t>
            </w:r>
          </w:p>
        </w:tc>
        <w:tc>
          <w:tcPr>
            <w:tcW w:w="87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r>
      <w:tr>
        <w:trPr/>
        <w:tc>
          <w:tcPr>
            <w:tcW w:w="10049" w:type="dxa"/>
            <w:gridSpan w:val="3"/>
            <w:tcBorders/>
            <w:shd w:fill="CCEEFF" w:val="clear"/>
            <w:vAlign w:val="center"/>
          </w:tcPr>
          <w:p>
            <w:pPr>
              <w:pStyle w:val="TableContents"/>
              <w:bidi w:val="0"/>
              <w:spacing w:before="0" w:after="283"/>
              <w:jc w:val="left"/>
              <w:rPr/>
            </w:pPr>
            <w:r>
              <w:rPr/>
              <w:t>DEFINITIONS</w:t>
            </w:r>
          </w:p>
        </w:tc>
        <w:tc>
          <w:tcPr>
            <w:tcW w:w="156" w:type="dxa"/>
            <w:tcBorders/>
            <w:shd w:fill="CCEEFF" w:val="clear"/>
            <w:vAlign w:val="center"/>
          </w:tcPr>
          <w:p>
            <w:pPr>
              <w:pStyle w:val="TableContents"/>
              <w:bidi w:val="0"/>
              <w:spacing w:before="0" w:after="283"/>
              <w:jc w:val="right"/>
              <w:rPr/>
            </w:pPr>
            <w:r>
              <w:rPr/>
              <w:t>1</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1.1</w:t>
            </w:r>
          </w:p>
        </w:tc>
        <w:tc>
          <w:tcPr>
            <w:tcW w:w="8778" w:type="dxa"/>
            <w:tcBorders/>
            <w:shd w:fill="FFFFFF" w:val="clear"/>
            <w:vAlign w:val="center"/>
          </w:tcPr>
          <w:p>
            <w:pPr>
              <w:pStyle w:val="TableContents"/>
              <w:bidi w:val="0"/>
              <w:spacing w:before="0" w:after="283"/>
              <w:jc w:val="left"/>
              <w:rPr/>
            </w:pPr>
            <w:r>
              <w:rPr/>
              <w:t>“</w:t>
            </w:r>
            <w:r>
              <w:rPr/>
              <w:t>ADS Record Date”</w:t>
            </w:r>
          </w:p>
        </w:tc>
        <w:tc>
          <w:tcPr>
            <w:tcW w:w="156" w:type="dxa"/>
            <w:tcBorders/>
            <w:shd w:fill="FFFFFF" w:val="clear"/>
            <w:vAlign w:val="center"/>
          </w:tcPr>
          <w:p>
            <w:pPr>
              <w:pStyle w:val="TableContents"/>
              <w:bidi w:val="0"/>
              <w:spacing w:before="0" w:after="283"/>
              <w:jc w:val="right"/>
              <w:rPr/>
            </w:pPr>
            <w:r>
              <w:rPr/>
              <w:t>1</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1.2</w:t>
            </w:r>
          </w:p>
        </w:tc>
        <w:tc>
          <w:tcPr>
            <w:tcW w:w="8778" w:type="dxa"/>
            <w:tcBorders/>
            <w:shd w:fill="CCEEFF" w:val="clear"/>
            <w:vAlign w:val="center"/>
          </w:tcPr>
          <w:p>
            <w:pPr>
              <w:pStyle w:val="TableContents"/>
              <w:bidi w:val="0"/>
              <w:spacing w:before="0" w:after="283"/>
              <w:jc w:val="left"/>
              <w:rPr/>
            </w:pPr>
            <w:r>
              <w:rPr/>
              <w:t>“</w:t>
            </w:r>
            <w:r>
              <w:rPr/>
              <w:t>Affiliate”</w:t>
            </w:r>
          </w:p>
        </w:tc>
        <w:tc>
          <w:tcPr>
            <w:tcW w:w="156" w:type="dxa"/>
            <w:tcBorders/>
            <w:shd w:fill="CCEEFF" w:val="clear"/>
            <w:vAlign w:val="center"/>
          </w:tcPr>
          <w:p>
            <w:pPr>
              <w:pStyle w:val="TableContents"/>
              <w:bidi w:val="0"/>
              <w:spacing w:before="0" w:after="283"/>
              <w:jc w:val="right"/>
              <w:rPr/>
            </w:pPr>
            <w:r>
              <w:rPr/>
              <w:t>1</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1.3</w:t>
            </w:r>
          </w:p>
        </w:tc>
        <w:tc>
          <w:tcPr>
            <w:tcW w:w="8778" w:type="dxa"/>
            <w:tcBorders/>
            <w:shd w:fill="FFFFFF" w:val="clear"/>
            <w:vAlign w:val="center"/>
          </w:tcPr>
          <w:p>
            <w:pPr>
              <w:pStyle w:val="TableContents"/>
              <w:bidi w:val="0"/>
              <w:spacing w:before="0" w:after="283"/>
              <w:jc w:val="left"/>
              <w:rPr/>
            </w:pPr>
            <w:r>
              <w:rPr/>
              <w:t>“</w:t>
            </w:r>
            <w:r>
              <w:rPr/>
              <w:t>American Depositary Receipt(s)”, “ADR(s)” and “Receipt(s)”</w:t>
            </w:r>
          </w:p>
        </w:tc>
        <w:tc>
          <w:tcPr>
            <w:tcW w:w="156" w:type="dxa"/>
            <w:tcBorders/>
            <w:shd w:fill="FFFFFF" w:val="clear"/>
            <w:vAlign w:val="center"/>
          </w:tcPr>
          <w:p>
            <w:pPr>
              <w:pStyle w:val="TableContents"/>
              <w:bidi w:val="0"/>
              <w:spacing w:before="0" w:after="283"/>
              <w:jc w:val="right"/>
              <w:rPr/>
            </w:pPr>
            <w:r>
              <w:rPr/>
              <w:t>1</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1.4</w:t>
            </w:r>
          </w:p>
        </w:tc>
        <w:tc>
          <w:tcPr>
            <w:tcW w:w="8778" w:type="dxa"/>
            <w:tcBorders/>
            <w:shd w:fill="CCEEFF" w:val="clear"/>
            <w:vAlign w:val="center"/>
          </w:tcPr>
          <w:p>
            <w:pPr>
              <w:pStyle w:val="TableContents"/>
              <w:bidi w:val="0"/>
              <w:spacing w:before="0" w:after="283"/>
              <w:jc w:val="left"/>
              <w:rPr/>
            </w:pPr>
            <w:r>
              <w:rPr/>
              <w:t>“</w:t>
            </w:r>
            <w:r>
              <w:rPr/>
              <w:t>American Depositary Share(s)” and “ADS(s)”</w:t>
            </w:r>
          </w:p>
        </w:tc>
        <w:tc>
          <w:tcPr>
            <w:tcW w:w="156" w:type="dxa"/>
            <w:tcBorders/>
            <w:shd w:fill="CCEEFF" w:val="clear"/>
            <w:vAlign w:val="center"/>
          </w:tcPr>
          <w:p>
            <w:pPr>
              <w:pStyle w:val="TableContents"/>
              <w:bidi w:val="0"/>
              <w:spacing w:before="0" w:after="283"/>
              <w:jc w:val="right"/>
              <w:rPr/>
            </w:pPr>
            <w:r>
              <w:rPr/>
              <w:t>2</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1.5</w:t>
            </w:r>
          </w:p>
        </w:tc>
        <w:tc>
          <w:tcPr>
            <w:tcW w:w="8778" w:type="dxa"/>
            <w:tcBorders/>
            <w:shd w:fill="FFFFFF" w:val="clear"/>
            <w:vAlign w:val="center"/>
          </w:tcPr>
          <w:p>
            <w:pPr>
              <w:pStyle w:val="TableContents"/>
              <w:bidi w:val="0"/>
              <w:spacing w:before="0" w:after="283"/>
              <w:jc w:val="left"/>
              <w:rPr/>
            </w:pPr>
            <w:r>
              <w:rPr/>
              <w:t>“</w:t>
            </w:r>
            <w:r>
              <w:rPr/>
              <w:t>Beneficial Owner”</w:t>
            </w:r>
          </w:p>
        </w:tc>
        <w:tc>
          <w:tcPr>
            <w:tcW w:w="156" w:type="dxa"/>
            <w:tcBorders/>
            <w:shd w:fill="FFFFFF" w:val="clear"/>
            <w:vAlign w:val="center"/>
          </w:tcPr>
          <w:p>
            <w:pPr>
              <w:pStyle w:val="TableContents"/>
              <w:bidi w:val="0"/>
              <w:spacing w:before="0" w:after="283"/>
              <w:jc w:val="right"/>
              <w:rPr/>
            </w:pPr>
            <w:r>
              <w:rPr/>
              <w:t>2</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1.6</w:t>
            </w:r>
          </w:p>
        </w:tc>
        <w:tc>
          <w:tcPr>
            <w:tcW w:w="8778" w:type="dxa"/>
            <w:tcBorders/>
            <w:shd w:fill="CCEEFF" w:val="clear"/>
            <w:vAlign w:val="center"/>
          </w:tcPr>
          <w:p>
            <w:pPr>
              <w:pStyle w:val="TableContents"/>
              <w:bidi w:val="0"/>
              <w:spacing w:before="0" w:after="283"/>
              <w:jc w:val="left"/>
              <w:rPr/>
            </w:pPr>
            <w:r>
              <w:rPr/>
              <w:t>“</w:t>
            </w:r>
            <w:r>
              <w:rPr/>
              <w:t>By-laws”</w:t>
            </w:r>
          </w:p>
        </w:tc>
        <w:tc>
          <w:tcPr>
            <w:tcW w:w="156" w:type="dxa"/>
            <w:tcBorders/>
            <w:shd w:fill="CCEEFF" w:val="clear"/>
            <w:vAlign w:val="center"/>
          </w:tcPr>
          <w:p>
            <w:pPr>
              <w:pStyle w:val="TableContents"/>
              <w:bidi w:val="0"/>
              <w:spacing w:before="0" w:after="283"/>
              <w:jc w:val="right"/>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1.7</w:t>
            </w:r>
          </w:p>
        </w:tc>
        <w:tc>
          <w:tcPr>
            <w:tcW w:w="8778" w:type="dxa"/>
            <w:tcBorders/>
            <w:shd w:fill="FFFFFF" w:val="clear"/>
            <w:vAlign w:val="center"/>
          </w:tcPr>
          <w:p>
            <w:pPr>
              <w:pStyle w:val="TableContents"/>
              <w:bidi w:val="0"/>
              <w:spacing w:before="0" w:after="283"/>
              <w:jc w:val="left"/>
              <w:rPr/>
            </w:pPr>
            <w:r>
              <w:rPr/>
              <w:t>“</w:t>
            </w:r>
            <w:r>
              <w:rPr/>
              <w:t>Certificated ADS(s)”</w:t>
            </w:r>
          </w:p>
        </w:tc>
        <w:tc>
          <w:tcPr>
            <w:tcW w:w="156" w:type="dxa"/>
            <w:tcBorders/>
            <w:shd w:fill="FFFFFF" w:val="clear"/>
            <w:vAlign w:val="center"/>
          </w:tcPr>
          <w:p>
            <w:pPr>
              <w:pStyle w:val="TableContents"/>
              <w:bidi w:val="0"/>
              <w:spacing w:before="0" w:after="283"/>
              <w:jc w:val="right"/>
              <w:rPr/>
            </w:pPr>
            <w:r>
              <w:rPr/>
              <w:t>3</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1.8</w:t>
            </w:r>
          </w:p>
        </w:tc>
        <w:tc>
          <w:tcPr>
            <w:tcW w:w="8778" w:type="dxa"/>
            <w:tcBorders/>
            <w:shd w:fill="CCEEFF" w:val="clear"/>
            <w:vAlign w:val="center"/>
          </w:tcPr>
          <w:p>
            <w:pPr>
              <w:pStyle w:val="TableContents"/>
              <w:bidi w:val="0"/>
              <w:spacing w:before="0" w:after="283"/>
              <w:jc w:val="left"/>
              <w:rPr/>
            </w:pPr>
            <w:r>
              <w:rPr/>
              <w:t>“</w:t>
            </w:r>
            <w:r>
              <w:rPr/>
              <w:t>Citibank”</w:t>
            </w:r>
          </w:p>
        </w:tc>
        <w:tc>
          <w:tcPr>
            <w:tcW w:w="156" w:type="dxa"/>
            <w:tcBorders/>
            <w:shd w:fill="CCEEFF" w:val="clear"/>
            <w:vAlign w:val="center"/>
          </w:tcPr>
          <w:p>
            <w:pPr>
              <w:pStyle w:val="TableContents"/>
              <w:bidi w:val="0"/>
              <w:spacing w:before="0" w:after="283"/>
              <w:jc w:val="right"/>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1.9</w:t>
            </w:r>
          </w:p>
        </w:tc>
        <w:tc>
          <w:tcPr>
            <w:tcW w:w="8778" w:type="dxa"/>
            <w:tcBorders/>
            <w:shd w:fill="FFFFFF" w:val="clear"/>
            <w:vAlign w:val="center"/>
          </w:tcPr>
          <w:p>
            <w:pPr>
              <w:pStyle w:val="TableContents"/>
              <w:bidi w:val="0"/>
              <w:spacing w:before="0" w:after="283"/>
              <w:jc w:val="left"/>
              <w:rPr/>
            </w:pPr>
            <w:r>
              <w:rPr/>
              <w:t>“</w:t>
            </w:r>
            <w:r>
              <w:rPr/>
              <w:t>Commission”</w:t>
            </w:r>
          </w:p>
        </w:tc>
        <w:tc>
          <w:tcPr>
            <w:tcW w:w="156" w:type="dxa"/>
            <w:tcBorders/>
            <w:shd w:fill="FFFFFF" w:val="clear"/>
            <w:vAlign w:val="center"/>
          </w:tcPr>
          <w:p>
            <w:pPr>
              <w:pStyle w:val="TableContents"/>
              <w:bidi w:val="0"/>
              <w:spacing w:before="0" w:after="283"/>
              <w:jc w:val="right"/>
              <w:rPr/>
            </w:pPr>
            <w:r>
              <w:rPr/>
              <w:t>3</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1.10</w:t>
            </w:r>
          </w:p>
        </w:tc>
        <w:tc>
          <w:tcPr>
            <w:tcW w:w="8778" w:type="dxa"/>
            <w:tcBorders/>
            <w:shd w:fill="CCEEFF" w:val="clear"/>
            <w:vAlign w:val="center"/>
          </w:tcPr>
          <w:p>
            <w:pPr>
              <w:pStyle w:val="TableContents"/>
              <w:bidi w:val="0"/>
              <w:spacing w:before="0" w:after="283"/>
              <w:jc w:val="left"/>
              <w:rPr/>
            </w:pPr>
            <w:r>
              <w:rPr/>
              <w:t>“</w:t>
            </w:r>
            <w:r>
              <w:rPr/>
              <w:t>Company”</w:t>
            </w:r>
          </w:p>
        </w:tc>
        <w:tc>
          <w:tcPr>
            <w:tcW w:w="156" w:type="dxa"/>
            <w:tcBorders/>
            <w:shd w:fill="CCEEFF" w:val="clear"/>
            <w:vAlign w:val="center"/>
          </w:tcPr>
          <w:p>
            <w:pPr>
              <w:pStyle w:val="TableContents"/>
              <w:bidi w:val="0"/>
              <w:spacing w:before="0" w:after="283"/>
              <w:jc w:val="right"/>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1.11</w:t>
            </w:r>
          </w:p>
        </w:tc>
        <w:tc>
          <w:tcPr>
            <w:tcW w:w="8778" w:type="dxa"/>
            <w:tcBorders/>
            <w:shd w:fill="FFFFFF" w:val="clear"/>
            <w:vAlign w:val="center"/>
          </w:tcPr>
          <w:p>
            <w:pPr>
              <w:pStyle w:val="TableContents"/>
              <w:bidi w:val="0"/>
              <w:spacing w:before="0" w:after="283"/>
              <w:jc w:val="left"/>
              <w:rPr/>
            </w:pPr>
            <w:r>
              <w:rPr/>
              <w:t>“</w:t>
            </w:r>
            <w:r>
              <w:rPr/>
              <w:t>Custodian”</w:t>
            </w:r>
          </w:p>
        </w:tc>
        <w:tc>
          <w:tcPr>
            <w:tcW w:w="156" w:type="dxa"/>
            <w:tcBorders/>
            <w:shd w:fill="FFFFFF" w:val="clear"/>
            <w:vAlign w:val="center"/>
          </w:tcPr>
          <w:p>
            <w:pPr>
              <w:pStyle w:val="TableContents"/>
              <w:bidi w:val="0"/>
              <w:spacing w:before="0" w:after="283"/>
              <w:jc w:val="right"/>
              <w:rPr/>
            </w:pPr>
            <w:r>
              <w:rPr/>
              <w:t>3</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1.12</w:t>
            </w:r>
          </w:p>
        </w:tc>
        <w:tc>
          <w:tcPr>
            <w:tcW w:w="8778" w:type="dxa"/>
            <w:tcBorders/>
            <w:shd w:fill="CCEEFF" w:val="clear"/>
            <w:vAlign w:val="center"/>
          </w:tcPr>
          <w:p>
            <w:pPr>
              <w:pStyle w:val="TableContents"/>
              <w:bidi w:val="0"/>
              <w:spacing w:before="0" w:after="283"/>
              <w:jc w:val="left"/>
              <w:rPr/>
            </w:pPr>
            <w:r>
              <w:rPr/>
              <w:t>“</w:t>
            </w:r>
            <w:r>
              <w:rPr/>
              <w:t>Deliver” and “Delivery”</w:t>
            </w:r>
          </w:p>
        </w:tc>
        <w:tc>
          <w:tcPr>
            <w:tcW w:w="156" w:type="dxa"/>
            <w:tcBorders/>
            <w:shd w:fill="CCEEFF" w:val="clear"/>
            <w:vAlign w:val="center"/>
          </w:tcPr>
          <w:p>
            <w:pPr>
              <w:pStyle w:val="TableContents"/>
              <w:bidi w:val="0"/>
              <w:spacing w:before="0" w:after="283"/>
              <w:jc w:val="right"/>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1.13</w:t>
            </w:r>
          </w:p>
        </w:tc>
        <w:tc>
          <w:tcPr>
            <w:tcW w:w="8778" w:type="dxa"/>
            <w:tcBorders/>
            <w:shd w:fill="FFFFFF" w:val="clear"/>
            <w:vAlign w:val="center"/>
          </w:tcPr>
          <w:p>
            <w:pPr>
              <w:pStyle w:val="TableContents"/>
              <w:bidi w:val="0"/>
              <w:spacing w:before="0" w:after="283"/>
              <w:jc w:val="left"/>
              <w:rPr/>
            </w:pPr>
            <w:r>
              <w:rPr/>
              <w:t>“</w:t>
            </w:r>
            <w:r>
              <w:rPr/>
              <w:t>Deposit Agreement”</w:t>
            </w:r>
          </w:p>
        </w:tc>
        <w:tc>
          <w:tcPr>
            <w:tcW w:w="156" w:type="dxa"/>
            <w:tcBorders/>
            <w:shd w:fill="FFFFFF" w:val="clear"/>
            <w:vAlign w:val="center"/>
          </w:tcPr>
          <w:p>
            <w:pPr>
              <w:pStyle w:val="TableContents"/>
              <w:bidi w:val="0"/>
              <w:spacing w:before="0" w:after="283"/>
              <w:jc w:val="right"/>
              <w:rPr/>
            </w:pPr>
            <w:r>
              <w:rPr/>
              <w:t>3</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1.14</w:t>
            </w:r>
          </w:p>
        </w:tc>
        <w:tc>
          <w:tcPr>
            <w:tcW w:w="8778" w:type="dxa"/>
            <w:tcBorders/>
            <w:shd w:fill="CCEEFF" w:val="clear"/>
            <w:vAlign w:val="center"/>
          </w:tcPr>
          <w:p>
            <w:pPr>
              <w:pStyle w:val="TableContents"/>
              <w:bidi w:val="0"/>
              <w:spacing w:before="0" w:after="283"/>
              <w:jc w:val="left"/>
              <w:rPr/>
            </w:pPr>
            <w:r>
              <w:rPr/>
              <w:t>“</w:t>
            </w:r>
            <w:r>
              <w:rPr/>
              <w:t>Depositary”</w:t>
            </w:r>
          </w:p>
        </w:tc>
        <w:tc>
          <w:tcPr>
            <w:tcW w:w="156" w:type="dxa"/>
            <w:tcBorders/>
            <w:shd w:fill="CCEEFF" w:val="clear"/>
            <w:vAlign w:val="center"/>
          </w:tcPr>
          <w:p>
            <w:pPr>
              <w:pStyle w:val="TableContents"/>
              <w:bidi w:val="0"/>
              <w:spacing w:before="0" w:after="283"/>
              <w:jc w:val="right"/>
              <w:rPr/>
            </w:pPr>
            <w:r>
              <w:rPr/>
              <w:t>3</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1.15</w:t>
            </w:r>
          </w:p>
        </w:tc>
        <w:tc>
          <w:tcPr>
            <w:tcW w:w="8778" w:type="dxa"/>
            <w:tcBorders/>
            <w:shd w:fill="FFFFFF" w:val="clear"/>
            <w:vAlign w:val="center"/>
          </w:tcPr>
          <w:p>
            <w:pPr>
              <w:pStyle w:val="TableContents"/>
              <w:bidi w:val="0"/>
              <w:spacing w:before="0" w:after="283"/>
              <w:jc w:val="left"/>
              <w:rPr/>
            </w:pPr>
            <w:r>
              <w:rPr/>
              <w:t>“</w:t>
            </w:r>
            <w:r>
              <w:rPr/>
              <w:t>Deposited Property”</w:t>
            </w:r>
          </w:p>
        </w:tc>
        <w:tc>
          <w:tcPr>
            <w:tcW w:w="156" w:type="dxa"/>
            <w:tcBorders/>
            <w:shd w:fill="FFFFFF" w:val="clear"/>
            <w:vAlign w:val="center"/>
          </w:tcPr>
          <w:p>
            <w:pPr>
              <w:pStyle w:val="TableContents"/>
              <w:bidi w:val="0"/>
              <w:spacing w:before="0" w:after="283"/>
              <w:jc w:val="right"/>
              <w:rPr/>
            </w:pPr>
            <w:r>
              <w:rPr/>
              <w:t>3</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1.16</w:t>
            </w:r>
          </w:p>
        </w:tc>
        <w:tc>
          <w:tcPr>
            <w:tcW w:w="8778" w:type="dxa"/>
            <w:tcBorders/>
            <w:shd w:fill="CCEEFF" w:val="clear"/>
            <w:vAlign w:val="center"/>
          </w:tcPr>
          <w:p>
            <w:pPr>
              <w:pStyle w:val="TableContents"/>
              <w:bidi w:val="0"/>
              <w:spacing w:before="0" w:after="283"/>
              <w:jc w:val="left"/>
              <w:rPr/>
            </w:pPr>
            <w:r>
              <w:rPr/>
              <w:t>“</w:t>
            </w:r>
            <w:r>
              <w:rPr/>
              <w:t>Deposited Securities”</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1.17</w:t>
            </w:r>
          </w:p>
        </w:tc>
        <w:tc>
          <w:tcPr>
            <w:tcW w:w="8778" w:type="dxa"/>
            <w:tcBorders/>
            <w:shd w:fill="FFFFFF" w:val="clear"/>
            <w:vAlign w:val="center"/>
          </w:tcPr>
          <w:p>
            <w:pPr>
              <w:pStyle w:val="TableContents"/>
              <w:bidi w:val="0"/>
              <w:spacing w:before="0" w:after="283"/>
              <w:jc w:val="left"/>
              <w:rPr/>
            </w:pPr>
            <w:r>
              <w:rPr/>
              <w:t>“</w:t>
            </w:r>
            <w:r>
              <w:rPr/>
              <w:t>Dollars” and “$”</w:t>
            </w:r>
          </w:p>
        </w:tc>
        <w:tc>
          <w:tcPr>
            <w:tcW w:w="156"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1.18</w:t>
            </w:r>
          </w:p>
        </w:tc>
        <w:tc>
          <w:tcPr>
            <w:tcW w:w="8778" w:type="dxa"/>
            <w:tcBorders/>
            <w:shd w:fill="CCEEFF" w:val="clear"/>
            <w:vAlign w:val="center"/>
          </w:tcPr>
          <w:p>
            <w:pPr>
              <w:pStyle w:val="TableContents"/>
              <w:bidi w:val="0"/>
              <w:spacing w:before="0" w:after="283"/>
              <w:jc w:val="left"/>
              <w:rPr/>
            </w:pPr>
            <w:r>
              <w:rPr/>
              <w:t>“</w:t>
            </w:r>
            <w:r>
              <w:rPr/>
              <w:t>DTC”</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1.19</w:t>
            </w:r>
          </w:p>
        </w:tc>
        <w:tc>
          <w:tcPr>
            <w:tcW w:w="8778" w:type="dxa"/>
            <w:tcBorders/>
            <w:shd w:fill="FFFFFF" w:val="clear"/>
            <w:vAlign w:val="center"/>
          </w:tcPr>
          <w:p>
            <w:pPr>
              <w:pStyle w:val="TableContents"/>
              <w:bidi w:val="0"/>
              <w:spacing w:before="0" w:after="283"/>
              <w:jc w:val="left"/>
              <w:rPr/>
            </w:pPr>
            <w:r>
              <w:rPr/>
              <w:t>“</w:t>
            </w:r>
            <w:r>
              <w:rPr/>
              <w:t>DTC Participant”</w:t>
            </w:r>
          </w:p>
        </w:tc>
        <w:tc>
          <w:tcPr>
            <w:tcW w:w="156"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1.20</w:t>
            </w:r>
          </w:p>
        </w:tc>
        <w:tc>
          <w:tcPr>
            <w:tcW w:w="8778" w:type="dxa"/>
            <w:tcBorders/>
            <w:shd w:fill="CCEEFF" w:val="clear"/>
            <w:vAlign w:val="center"/>
          </w:tcPr>
          <w:p>
            <w:pPr>
              <w:pStyle w:val="TableContents"/>
              <w:bidi w:val="0"/>
              <w:spacing w:before="0" w:after="283"/>
              <w:jc w:val="left"/>
              <w:rPr/>
            </w:pPr>
            <w:r>
              <w:rPr/>
              <w:t>“</w:t>
            </w:r>
            <w:r>
              <w:rPr/>
              <w:t>Euros” and “€”</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1.21</w:t>
            </w:r>
          </w:p>
        </w:tc>
        <w:tc>
          <w:tcPr>
            <w:tcW w:w="8778" w:type="dxa"/>
            <w:tcBorders/>
            <w:shd w:fill="FFFFFF" w:val="clear"/>
            <w:vAlign w:val="center"/>
          </w:tcPr>
          <w:p>
            <w:pPr>
              <w:pStyle w:val="TableContents"/>
              <w:bidi w:val="0"/>
              <w:spacing w:before="0" w:after="283"/>
              <w:jc w:val="left"/>
              <w:rPr/>
            </w:pPr>
            <w:r>
              <w:rPr/>
              <w:t>“</w:t>
            </w:r>
            <w:r>
              <w:rPr/>
              <w:t>Exchange Act”</w:t>
            </w:r>
          </w:p>
        </w:tc>
        <w:tc>
          <w:tcPr>
            <w:tcW w:w="156"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1.22</w:t>
            </w:r>
          </w:p>
        </w:tc>
        <w:tc>
          <w:tcPr>
            <w:tcW w:w="8778" w:type="dxa"/>
            <w:tcBorders/>
            <w:shd w:fill="CCEEFF" w:val="clear"/>
            <w:vAlign w:val="center"/>
          </w:tcPr>
          <w:p>
            <w:pPr>
              <w:pStyle w:val="TableContents"/>
              <w:bidi w:val="0"/>
              <w:spacing w:before="0" w:after="283"/>
              <w:jc w:val="left"/>
              <w:rPr/>
            </w:pPr>
            <w:r>
              <w:rPr/>
              <w:t>“</w:t>
            </w:r>
            <w:r>
              <w:rPr/>
              <w:t>Foreign Currency”</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1.23</w:t>
            </w:r>
          </w:p>
        </w:tc>
        <w:tc>
          <w:tcPr>
            <w:tcW w:w="8778" w:type="dxa"/>
            <w:tcBorders/>
            <w:shd w:fill="FFFFFF" w:val="clear"/>
            <w:vAlign w:val="center"/>
          </w:tcPr>
          <w:p>
            <w:pPr>
              <w:pStyle w:val="TableContents"/>
              <w:bidi w:val="0"/>
              <w:spacing w:before="0" w:after="283"/>
              <w:jc w:val="left"/>
              <w:rPr/>
            </w:pPr>
            <w:r>
              <w:rPr/>
              <w:t>“</w:t>
            </w:r>
            <w:r>
              <w:rPr/>
              <w:t>Full Entitlement ADR(s)”, “Full Entitlement ADS(s)” and “Full Entitlement Share(s)”</w:t>
            </w:r>
          </w:p>
        </w:tc>
        <w:tc>
          <w:tcPr>
            <w:tcW w:w="156" w:type="dxa"/>
            <w:tcBorders/>
            <w:shd w:fill="FFFFFF" w:val="clear"/>
            <w:vAlign w:val="center"/>
          </w:tcPr>
          <w:p>
            <w:pPr>
              <w:pStyle w:val="TableContents"/>
              <w:bidi w:val="0"/>
              <w:spacing w:before="0" w:after="283"/>
              <w:jc w:val="right"/>
              <w:rPr/>
            </w:pPr>
            <w:r>
              <w:rPr/>
              <w:t>4</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1.24</w:t>
            </w:r>
          </w:p>
        </w:tc>
        <w:tc>
          <w:tcPr>
            <w:tcW w:w="8778" w:type="dxa"/>
            <w:tcBorders/>
            <w:shd w:fill="CCEEFF" w:val="clear"/>
            <w:vAlign w:val="center"/>
          </w:tcPr>
          <w:p>
            <w:pPr>
              <w:pStyle w:val="TableContents"/>
              <w:bidi w:val="0"/>
              <w:spacing w:before="0" w:after="283"/>
              <w:jc w:val="left"/>
              <w:rPr/>
            </w:pPr>
            <w:r>
              <w:rPr/>
              <w:t>“</w:t>
            </w:r>
            <w:r>
              <w:rPr/>
              <w:t>Holder(s)”</w:t>
            </w:r>
          </w:p>
        </w:tc>
        <w:tc>
          <w:tcPr>
            <w:tcW w:w="156" w:type="dxa"/>
            <w:tcBorders/>
            <w:shd w:fill="CCEEFF" w:val="clear"/>
            <w:vAlign w:val="center"/>
          </w:tcPr>
          <w:p>
            <w:pPr>
              <w:pStyle w:val="TableContents"/>
              <w:bidi w:val="0"/>
              <w:spacing w:before="0" w:after="283"/>
              <w:jc w:val="right"/>
              <w:rPr/>
            </w:pPr>
            <w:r>
              <w:rPr/>
              <w:t>4</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1.25</w:t>
            </w:r>
          </w:p>
        </w:tc>
        <w:tc>
          <w:tcPr>
            <w:tcW w:w="8778" w:type="dxa"/>
            <w:tcBorders/>
            <w:shd w:fill="FFFFFF" w:val="clear"/>
            <w:vAlign w:val="center"/>
          </w:tcPr>
          <w:p>
            <w:pPr>
              <w:pStyle w:val="TableContents"/>
              <w:bidi w:val="0"/>
              <w:spacing w:before="0" w:after="283"/>
              <w:jc w:val="left"/>
              <w:rPr/>
            </w:pPr>
            <w:r>
              <w:rPr/>
              <w:t>“</w:t>
            </w:r>
            <w:r>
              <w:rPr/>
              <w:t>Partial Entitlement ADR(s)”, “Partial Entitlement ADS(s)” and “Partial Entitlement Share(s)”</w:t>
            </w:r>
          </w:p>
        </w:tc>
        <w:tc>
          <w:tcPr>
            <w:tcW w:w="156" w:type="dxa"/>
            <w:tcBorders/>
            <w:shd w:fill="FFFFFF" w:val="clear"/>
            <w:vAlign w:val="center"/>
          </w:tcPr>
          <w:p>
            <w:pPr>
              <w:pStyle w:val="TableContents"/>
              <w:bidi w:val="0"/>
              <w:spacing w:before="0" w:after="283"/>
              <w:jc w:val="right"/>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1.26</w:t>
            </w:r>
          </w:p>
        </w:tc>
        <w:tc>
          <w:tcPr>
            <w:tcW w:w="8778" w:type="dxa"/>
            <w:tcBorders/>
            <w:shd w:fill="CCEEFF" w:val="clear"/>
            <w:vAlign w:val="center"/>
          </w:tcPr>
          <w:p>
            <w:pPr>
              <w:pStyle w:val="TableContents"/>
              <w:bidi w:val="0"/>
              <w:spacing w:before="0" w:after="283"/>
              <w:jc w:val="left"/>
              <w:rPr/>
            </w:pPr>
            <w:r>
              <w:rPr/>
              <w:t>“</w:t>
            </w:r>
            <w:r>
              <w:rPr/>
              <w:t>Principal Office”</w:t>
            </w:r>
          </w:p>
        </w:tc>
        <w:tc>
          <w:tcPr>
            <w:tcW w:w="156"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1.27</w:t>
            </w:r>
          </w:p>
        </w:tc>
        <w:tc>
          <w:tcPr>
            <w:tcW w:w="8778" w:type="dxa"/>
            <w:tcBorders/>
            <w:shd w:fill="FFFFFF" w:val="clear"/>
            <w:vAlign w:val="center"/>
          </w:tcPr>
          <w:p>
            <w:pPr>
              <w:pStyle w:val="TableContents"/>
              <w:bidi w:val="0"/>
              <w:spacing w:before="0" w:after="283"/>
              <w:jc w:val="left"/>
              <w:rPr/>
            </w:pPr>
            <w:r>
              <w:rPr/>
              <w:t>“</w:t>
            </w:r>
            <w:r>
              <w:rPr/>
              <w:t>Registrar”</w:t>
            </w:r>
          </w:p>
        </w:tc>
        <w:tc>
          <w:tcPr>
            <w:tcW w:w="156" w:type="dxa"/>
            <w:tcBorders/>
            <w:shd w:fill="FFFFFF" w:val="clear"/>
            <w:vAlign w:val="center"/>
          </w:tcPr>
          <w:p>
            <w:pPr>
              <w:pStyle w:val="TableContents"/>
              <w:bidi w:val="0"/>
              <w:spacing w:before="0" w:after="283"/>
              <w:jc w:val="right"/>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1.28</w:t>
            </w:r>
          </w:p>
        </w:tc>
        <w:tc>
          <w:tcPr>
            <w:tcW w:w="8778" w:type="dxa"/>
            <w:tcBorders/>
            <w:shd w:fill="CCEEFF" w:val="clear"/>
            <w:vAlign w:val="center"/>
          </w:tcPr>
          <w:p>
            <w:pPr>
              <w:pStyle w:val="TableContents"/>
              <w:bidi w:val="0"/>
              <w:spacing w:before="0" w:after="283"/>
              <w:jc w:val="left"/>
              <w:rPr/>
            </w:pPr>
            <w:r>
              <w:rPr/>
              <w:t>“</w:t>
            </w:r>
            <w:r>
              <w:rPr/>
              <w:t>Restricted Securities”</w:t>
            </w:r>
          </w:p>
        </w:tc>
        <w:tc>
          <w:tcPr>
            <w:tcW w:w="156"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1.29</w:t>
            </w:r>
          </w:p>
        </w:tc>
        <w:tc>
          <w:tcPr>
            <w:tcW w:w="8778" w:type="dxa"/>
            <w:tcBorders/>
            <w:shd w:fill="FFFFFF" w:val="clear"/>
            <w:vAlign w:val="center"/>
          </w:tcPr>
          <w:p>
            <w:pPr>
              <w:pStyle w:val="TableContents"/>
              <w:bidi w:val="0"/>
              <w:spacing w:before="0" w:after="283"/>
              <w:jc w:val="left"/>
              <w:rPr/>
            </w:pPr>
            <w:r>
              <w:rPr/>
              <w:t>“</w:t>
            </w:r>
            <w:r>
              <w:rPr/>
              <w:t>Restricted ADR(s)”, “Restricted ADS(s)” and “Restricted Shares”</w:t>
            </w:r>
          </w:p>
        </w:tc>
        <w:tc>
          <w:tcPr>
            <w:tcW w:w="156" w:type="dxa"/>
            <w:tcBorders/>
            <w:shd w:fill="FFFFFF" w:val="clear"/>
            <w:vAlign w:val="center"/>
          </w:tcPr>
          <w:p>
            <w:pPr>
              <w:pStyle w:val="TableContents"/>
              <w:bidi w:val="0"/>
              <w:spacing w:before="0" w:after="283"/>
              <w:jc w:val="right"/>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1.30</w:t>
            </w:r>
          </w:p>
        </w:tc>
        <w:tc>
          <w:tcPr>
            <w:tcW w:w="8778" w:type="dxa"/>
            <w:tcBorders/>
            <w:shd w:fill="CCEEFF" w:val="clear"/>
            <w:vAlign w:val="center"/>
          </w:tcPr>
          <w:p>
            <w:pPr>
              <w:pStyle w:val="TableContents"/>
              <w:bidi w:val="0"/>
              <w:spacing w:before="0" w:after="283"/>
              <w:jc w:val="left"/>
              <w:rPr/>
            </w:pPr>
            <w:r>
              <w:rPr/>
              <w:t>“</w:t>
            </w:r>
            <w:r>
              <w:rPr/>
              <w:t>Securities Act”</w:t>
            </w:r>
          </w:p>
        </w:tc>
        <w:tc>
          <w:tcPr>
            <w:tcW w:w="156"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1.31</w:t>
            </w:r>
          </w:p>
        </w:tc>
        <w:tc>
          <w:tcPr>
            <w:tcW w:w="8778" w:type="dxa"/>
            <w:tcBorders/>
            <w:shd w:fill="FFFFFF" w:val="clear"/>
            <w:vAlign w:val="center"/>
          </w:tcPr>
          <w:p>
            <w:pPr>
              <w:pStyle w:val="TableContents"/>
              <w:bidi w:val="0"/>
              <w:spacing w:before="0" w:after="283"/>
              <w:jc w:val="left"/>
              <w:rPr/>
            </w:pPr>
            <w:r>
              <w:rPr/>
              <w:t>“</w:t>
            </w:r>
            <w:r>
              <w:rPr/>
              <w:t>Share Registrar”</w:t>
            </w:r>
          </w:p>
        </w:tc>
        <w:tc>
          <w:tcPr>
            <w:tcW w:w="156" w:type="dxa"/>
            <w:tcBorders/>
            <w:shd w:fill="FFFFFF" w:val="clear"/>
            <w:vAlign w:val="center"/>
          </w:tcPr>
          <w:p>
            <w:pPr>
              <w:pStyle w:val="TableContents"/>
              <w:bidi w:val="0"/>
              <w:spacing w:before="0" w:after="283"/>
              <w:jc w:val="right"/>
              <w:rPr/>
            </w:pPr>
            <w:r>
              <w:rPr/>
              <w:t>5</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1.32</w:t>
            </w:r>
          </w:p>
        </w:tc>
        <w:tc>
          <w:tcPr>
            <w:tcW w:w="8778" w:type="dxa"/>
            <w:tcBorders/>
            <w:shd w:fill="CCEEFF" w:val="clear"/>
            <w:vAlign w:val="center"/>
          </w:tcPr>
          <w:p>
            <w:pPr>
              <w:pStyle w:val="TableContents"/>
              <w:bidi w:val="0"/>
              <w:spacing w:before="0" w:after="283"/>
              <w:jc w:val="left"/>
              <w:rPr/>
            </w:pPr>
            <w:r>
              <w:rPr/>
              <w:t>“</w:t>
            </w:r>
            <w:r>
              <w:rPr/>
              <w:t>Shares”</w:t>
            </w:r>
          </w:p>
        </w:tc>
        <w:tc>
          <w:tcPr>
            <w:tcW w:w="156" w:type="dxa"/>
            <w:tcBorders/>
            <w:shd w:fill="CCEEFF" w:val="clear"/>
            <w:vAlign w:val="center"/>
          </w:tcPr>
          <w:p>
            <w:pPr>
              <w:pStyle w:val="TableContents"/>
              <w:bidi w:val="0"/>
              <w:spacing w:before="0" w:after="283"/>
              <w:jc w:val="right"/>
              <w:rPr/>
            </w:pPr>
            <w:r>
              <w:rPr/>
              <w:t>5</w:t>
            </w:r>
          </w:p>
        </w:tc>
      </w:tr>
      <w:tr>
        <w:trPr/>
        <w:tc>
          <w:tcPr>
            <w:tcW w:w="75"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Section 1.33</w:t>
            </w:r>
          </w:p>
        </w:tc>
        <w:tc>
          <w:tcPr>
            <w:tcW w:w="8778" w:type="dxa"/>
            <w:tcBorders/>
            <w:shd w:fill="FFFFFF" w:val="clear"/>
            <w:vAlign w:val="center"/>
          </w:tcPr>
          <w:p>
            <w:pPr>
              <w:pStyle w:val="TableContents"/>
              <w:bidi w:val="0"/>
              <w:spacing w:before="0" w:after="283"/>
              <w:jc w:val="left"/>
              <w:rPr/>
            </w:pPr>
            <w:r>
              <w:rPr/>
              <w:t>“</w:t>
            </w:r>
            <w:r>
              <w:rPr/>
              <w:t>Uncertificated ADS(s)”</w:t>
            </w:r>
          </w:p>
        </w:tc>
        <w:tc>
          <w:tcPr>
            <w:tcW w:w="156" w:type="dxa"/>
            <w:tcBorders/>
            <w:shd w:fill="FFFFFF" w:val="clear"/>
            <w:vAlign w:val="center"/>
          </w:tcPr>
          <w:p>
            <w:pPr>
              <w:pStyle w:val="TableContents"/>
              <w:bidi w:val="0"/>
              <w:spacing w:before="0" w:after="283"/>
              <w:jc w:val="right"/>
              <w:rPr/>
            </w:pPr>
            <w:r>
              <w:rPr/>
              <w:t>6</w:t>
            </w:r>
          </w:p>
        </w:tc>
      </w:tr>
      <w:tr>
        <w:trPr/>
        <w:tc>
          <w:tcPr>
            <w:tcW w:w="7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left"/>
              <w:rPr/>
            </w:pPr>
            <w:r>
              <w:rPr/>
              <w:t>Section 1.34</w:t>
            </w:r>
          </w:p>
        </w:tc>
        <w:tc>
          <w:tcPr>
            <w:tcW w:w="8778" w:type="dxa"/>
            <w:tcBorders/>
            <w:shd w:fill="CCEEFF" w:val="clear"/>
            <w:vAlign w:val="center"/>
          </w:tcPr>
          <w:p>
            <w:pPr>
              <w:pStyle w:val="TableContents"/>
              <w:bidi w:val="0"/>
              <w:spacing w:before="0" w:after="283"/>
              <w:jc w:val="left"/>
              <w:rPr/>
            </w:pPr>
            <w:r>
              <w:rPr/>
              <w:t>“</w:t>
            </w:r>
            <w:r>
              <w:rPr/>
              <w:t>United States” and “U.S.”</w:t>
            </w:r>
          </w:p>
        </w:tc>
        <w:tc>
          <w:tcPr>
            <w:tcW w:w="156" w:type="dxa"/>
            <w:tcBorders/>
            <w:shd w:fill="CCEEFF" w:val="clear"/>
            <w:vAlign w:val="center"/>
          </w:tcPr>
          <w:p>
            <w:pPr>
              <w:pStyle w:val="TableContents"/>
              <w:bidi w:val="0"/>
              <w:spacing w:before="0" w:after="283"/>
              <w:jc w:val="right"/>
              <w:rPr/>
            </w:pPr>
            <w:r>
              <w:rPr/>
              <w:t>6</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7"/>
        <w:gridCol w:w="1427"/>
        <w:gridCol w:w="8385"/>
        <w:gridCol w:w="276"/>
      </w:tblGrid>
      <w:tr>
        <w:trPr/>
        <w:tc>
          <w:tcPr>
            <w:tcW w:w="9929" w:type="dxa"/>
            <w:gridSpan w:val="3"/>
            <w:tcBorders/>
            <w:shd w:fill="CCEEFF" w:val="clear"/>
            <w:vAlign w:val="center"/>
          </w:tcPr>
          <w:p>
            <w:pPr>
              <w:pStyle w:val="TableContents"/>
              <w:bidi w:val="0"/>
              <w:spacing w:before="0" w:after="283"/>
              <w:jc w:val="left"/>
              <w:rPr/>
            </w:pPr>
            <w:r>
              <w:rPr/>
              <w:t>ARTICLE II</w:t>
            </w:r>
          </w:p>
        </w:tc>
        <w:tc>
          <w:tcPr>
            <w:tcW w:w="276" w:type="dxa"/>
            <w:tcBorders/>
            <w:shd w:fill="CCEEFF" w:val="clear"/>
            <w:vAlign w:val="center"/>
          </w:tcPr>
          <w:p>
            <w:pPr>
              <w:pStyle w:val="TableContents"/>
              <w:bidi w:val="0"/>
              <w:spacing w:before="0" w:after="283"/>
              <w:jc w:val="right"/>
              <w:rPr/>
            </w:pPr>
            <w:r>
              <w:rPr/>
              <w:t> </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 </w:t>
            </w:r>
          </w:p>
        </w:tc>
        <w:tc>
          <w:tcPr>
            <w:tcW w:w="838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3"/>
            <w:tcBorders/>
            <w:shd w:fill="CCEEFF" w:val="clear"/>
            <w:vAlign w:val="center"/>
          </w:tcPr>
          <w:p>
            <w:pPr>
              <w:pStyle w:val="TableContents"/>
              <w:bidi w:val="0"/>
              <w:spacing w:before="0" w:after="283"/>
              <w:jc w:val="left"/>
              <w:rPr/>
            </w:pPr>
            <w:r>
              <w:rPr/>
              <w:t>APPOINTMENT OF DEPOSITARY; FORM OF RECEIPTS; DEPOSIT OF SHARES; EXECUTION AND DELIVERY, TRANSFER AND SURRENDER OF RECEIPTS</w:t>
            </w:r>
          </w:p>
        </w:tc>
        <w:tc>
          <w:tcPr>
            <w:tcW w:w="276" w:type="dxa"/>
            <w:tcBorders/>
            <w:shd w:fill="CCEEFF" w:val="clear"/>
            <w:vAlign w:val="center"/>
          </w:tcPr>
          <w:p>
            <w:pPr>
              <w:pStyle w:val="TableContents"/>
              <w:bidi w:val="0"/>
              <w:spacing w:before="0" w:after="283"/>
              <w:jc w:val="right"/>
              <w:rPr/>
            </w:pPr>
            <w:r>
              <w:rPr/>
              <w:t>6</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2.1</w:t>
            </w:r>
          </w:p>
        </w:tc>
        <w:tc>
          <w:tcPr>
            <w:tcW w:w="8385" w:type="dxa"/>
            <w:tcBorders/>
            <w:shd w:fill="FFFFFF" w:val="clear"/>
            <w:vAlign w:val="center"/>
          </w:tcPr>
          <w:p>
            <w:pPr>
              <w:pStyle w:val="TableContents"/>
              <w:bidi w:val="0"/>
              <w:spacing w:before="0" w:after="283"/>
              <w:jc w:val="left"/>
              <w:rPr/>
            </w:pPr>
            <w:r>
              <w:rPr/>
              <w:t>Appointment of Depositary</w:t>
            </w:r>
          </w:p>
        </w:tc>
        <w:tc>
          <w:tcPr>
            <w:tcW w:w="276" w:type="dxa"/>
            <w:tcBorders/>
            <w:shd w:fill="FFFFFF" w:val="clear"/>
            <w:vAlign w:val="center"/>
          </w:tcPr>
          <w:p>
            <w:pPr>
              <w:pStyle w:val="TableContents"/>
              <w:bidi w:val="0"/>
              <w:spacing w:before="0" w:after="283"/>
              <w:jc w:val="right"/>
              <w:rPr/>
            </w:pPr>
            <w:r>
              <w:rPr/>
              <w:t>6</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2.2</w:t>
            </w:r>
          </w:p>
        </w:tc>
        <w:tc>
          <w:tcPr>
            <w:tcW w:w="8385" w:type="dxa"/>
            <w:tcBorders/>
            <w:shd w:fill="CCEEFF" w:val="clear"/>
            <w:vAlign w:val="center"/>
          </w:tcPr>
          <w:p>
            <w:pPr>
              <w:pStyle w:val="TableContents"/>
              <w:bidi w:val="0"/>
              <w:spacing w:before="0" w:after="283"/>
              <w:jc w:val="left"/>
              <w:rPr/>
            </w:pPr>
            <w:r>
              <w:rPr/>
              <w:t>Form and Transferability of ADSs</w:t>
            </w:r>
          </w:p>
        </w:tc>
        <w:tc>
          <w:tcPr>
            <w:tcW w:w="276" w:type="dxa"/>
            <w:tcBorders/>
            <w:shd w:fill="CCEEFF" w:val="clear"/>
            <w:vAlign w:val="center"/>
          </w:tcPr>
          <w:p>
            <w:pPr>
              <w:pStyle w:val="TableContents"/>
              <w:bidi w:val="0"/>
              <w:spacing w:before="0" w:after="283"/>
              <w:jc w:val="right"/>
              <w:rPr/>
            </w:pPr>
            <w:r>
              <w:rPr/>
              <w:t>6</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2.3</w:t>
            </w:r>
          </w:p>
        </w:tc>
        <w:tc>
          <w:tcPr>
            <w:tcW w:w="8385" w:type="dxa"/>
            <w:tcBorders/>
            <w:shd w:fill="FFFFFF" w:val="clear"/>
            <w:vAlign w:val="center"/>
          </w:tcPr>
          <w:p>
            <w:pPr>
              <w:pStyle w:val="TableContents"/>
              <w:bidi w:val="0"/>
              <w:spacing w:before="0" w:after="283"/>
              <w:jc w:val="left"/>
              <w:rPr/>
            </w:pPr>
            <w:r>
              <w:rPr/>
              <w:t>Deposit of Shares</w:t>
            </w:r>
          </w:p>
        </w:tc>
        <w:tc>
          <w:tcPr>
            <w:tcW w:w="276" w:type="dxa"/>
            <w:tcBorders/>
            <w:shd w:fill="FFFFFF" w:val="clear"/>
            <w:vAlign w:val="center"/>
          </w:tcPr>
          <w:p>
            <w:pPr>
              <w:pStyle w:val="TableContents"/>
              <w:bidi w:val="0"/>
              <w:spacing w:before="0" w:after="283"/>
              <w:jc w:val="right"/>
              <w:rPr/>
            </w:pPr>
            <w:r>
              <w:rPr/>
              <w:t>8</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2.4</w:t>
            </w:r>
          </w:p>
        </w:tc>
        <w:tc>
          <w:tcPr>
            <w:tcW w:w="8385" w:type="dxa"/>
            <w:tcBorders/>
            <w:shd w:fill="CCEEFF" w:val="clear"/>
            <w:vAlign w:val="center"/>
          </w:tcPr>
          <w:p>
            <w:pPr>
              <w:pStyle w:val="TableContents"/>
              <w:bidi w:val="0"/>
              <w:spacing w:before="0" w:after="283"/>
              <w:jc w:val="left"/>
              <w:rPr/>
            </w:pPr>
            <w:r>
              <w:rPr/>
              <w:t>Registration and Safekeeping of Deposited Securities</w:t>
            </w:r>
          </w:p>
        </w:tc>
        <w:tc>
          <w:tcPr>
            <w:tcW w:w="276" w:type="dxa"/>
            <w:tcBorders/>
            <w:shd w:fill="CCEEFF" w:val="clear"/>
            <w:vAlign w:val="center"/>
          </w:tcPr>
          <w:p>
            <w:pPr>
              <w:pStyle w:val="TableContents"/>
              <w:bidi w:val="0"/>
              <w:spacing w:before="0" w:after="283"/>
              <w:jc w:val="right"/>
              <w:rPr/>
            </w:pPr>
            <w:r>
              <w:rPr/>
              <w:t>9</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2.5</w:t>
            </w:r>
          </w:p>
        </w:tc>
        <w:tc>
          <w:tcPr>
            <w:tcW w:w="8385" w:type="dxa"/>
            <w:tcBorders/>
            <w:shd w:fill="FFFFFF" w:val="clear"/>
            <w:vAlign w:val="center"/>
          </w:tcPr>
          <w:p>
            <w:pPr>
              <w:pStyle w:val="TableContents"/>
              <w:bidi w:val="0"/>
              <w:spacing w:before="0" w:after="283"/>
              <w:jc w:val="left"/>
              <w:rPr/>
            </w:pPr>
            <w:r>
              <w:rPr/>
              <w:t>Issuance of ADSs</w:t>
            </w:r>
          </w:p>
        </w:tc>
        <w:tc>
          <w:tcPr>
            <w:tcW w:w="276" w:type="dxa"/>
            <w:tcBorders/>
            <w:shd w:fill="FFFFFF" w:val="clear"/>
            <w:vAlign w:val="center"/>
          </w:tcPr>
          <w:p>
            <w:pPr>
              <w:pStyle w:val="TableContents"/>
              <w:bidi w:val="0"/>
              <w:spacing w:before="0" w:after="283"/>
              <w:jc w:val="right"/>
              <w:rPr/>
            </w:pPr>
            <w:r>
              <w:rPr/>
              <w:t>10</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2.6</w:t>
            </w:r>
          </w:p>
        </w:tc>
        <w:tc>
          <w:tcPr>
            <w:tcW w:w="8385" w:type="dxa"/>
            <w:tcBorders/>
            <w:shd w:fill="CCEEFF" w:val="clear"/>
            <w:vAlign w:val="center"/>
          </w:tcPr>
          <w:p>
            <w:pPr>
              <w:pStyle w:val="TableContents"/>
              <w:bidi w:val="0"/>
              <w:spacing w:before="0" w:after="283"/>
              <w:jc w:val="left"/>
              <w:rPr/>
            </w:pPr>
            <w:r>
              <w:rPr/>
              <w:t>Transfer, Combination and Split-up of ADRs</w:t>
            </w:r>
          </w:p>
        </w:tc>
        <w:tc>
          <w:tcPr>
            <w:tcW w:w="276" w:type="dxa"/>
            <w:tcBorders/>
            <w:shd w:fill="CCEEFF" w:val="clear"/>
            <w:vAlign w:val="center"/>
          </w:tcPr>
          <w:p>
            <w:pPr>
              <w:pStyle w:val="TableContents"/>
              <w:bidi w:val="0"/>
              <w:spacing w:before="0" w:after="283"/>
              <w:jc w:val="right"/>
              <w:rPr/>
            </w:pPr>
            <w:r>
              <w:rPr/>
              <w:t>10</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2.7</w:t>
            </w:r>
          </w:p>
        </w:tc>
        <w:tc>
          <w:tcPr>
            <w:tcW w:w="8385" w:type="dxa"/>
            <w:tcBorders/>
            <w:shd w:fill="FFFFFF" w:val="clear"/>
            <w:vAlign w:val="center"/>
          </w:tcPr>
          <w:p>
            <w:pPr>
              <w:pStyle w:val="TableContents"/>
              <w:bidi w:val="0"/>
              <w:spacing w:before="0" w:after="283"/>
              <w:jc w:val="left"/>
              <w:rPr/>
            </w:pPr>
            <w:r>
              <w:rPr/>
              <w:t>Surrender of ADSs and Withdrawal of Deposited Securities</w:t>
            </w:r>
          </w:p>
        </w:tc>
        <w:tc>
          <w:tcPr>
            <w:tcW w:w="276" w:type="dxa"/>
            <w:tcBorders/>
            <w:shd w:fill="FFFFFF" w:val="clear"/>
            <w:vAlign w:val="center"/>
          </w:tcPr>
          <w:p>
            <w:pPr>
              <w:pStyle w:val="TableContents"/>
              <w:bidi w:val="0"/>
              <w:spacing w:before="0" w:after="283"/>
              <w:jc w:val="right"/>
              <w:rPr/>
            </w:pPr>
            <w:r>
              <w:rPr/>
              <w:t>11</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2.8</w:t>
            </w:r>
          </w:p>
        </w:tc>
        <w:tc>
          <w:tcPr>
            <w:tcW w:w="8385" w:type="dxa"/>
            <w:tcBorders/>
            <w:shd w:fill="CCEEFF" w:val="clear"/>
            <w:vAlign w:val="center"/>
          </w:tcPr>
          <w:p>
            <w:pPr>
              <w:pStyle w:val="TableContents"/>
              <w:bidi w:val="0"/>
              <w:spacing w:before="0" w:after="283"/>
              <w:jc w:val="left"/>
              <w:rPr/>
            </w:pPr>
            <w:r>
              <w:rPr/>
              <w:t>Limitations on Execution and Delivery, Transfer, etc. of ADSs; Suspension of Delivery, Transfer, etc</w:t>
            </w:r>
          </w:p>
        </w:tc>
        <w:tc>
          <w:tcPr>
            <w:tcW w:w="276" w:type="dxa"/>
            <w:tcBorders/>
            <w:shd w:fill="CCEEFF" w:val="clear"/>
            <w:vAlign w:val="center"/>
          </w:tcPr>
          <w:p>
            <w:pPr>
              <w:pStyle w:val="TableContents"/>
              <w:bidi w:val="0"/>
              <w:spacing w:before="0" w:after="283"/>
              <w:jc w:val="right"/>
              <w:rPr/>
            </w:pPr>
            <w:r>
              <w:rPr/>
              <w:t>13</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2.9</w:t>
            </w:r>
          </w:p>
        </w:tc>
        <w:tc>
          <w:tcPr>
            <w:tcW w:w="8385" w:type="dxa"/>
            <w:tcBorders/>
            <w:shd w:fill="FFFFFF" w:val="clear"/>
            <w:vAlign w:val="center"/>
          </w:tcPr>
          <w:p>
            <w:pPr>
              <w:pStyle w:val="TableContents"/>
              <w:bidi w:val="0"/>
              <w:spacing w:before="0" w:after="283"/>
              <w:jc w:val="left"/>
              <w:rPr/>
            </w:pPr>
            <w:r>
              <w:rPr/>
              <w:t>Lost ADRs, etc</w:t>
            </w:r>
          </w:p>
        </w:tc>
        <w:tc>
          <w:tcPr>
            <w:tcW w:w="276" w:type="dxa"/>
            <w:tcBorders/>
            <w:shd w:fill="FFFFFF" w:val="clear"/>
            <w:vAlign w:val="center"/>
          </w:tcPr>
          <w:p>
            <w:pPr>
              <w:pStyle w:val="TableContents"/>
              <w:bidi w:val="0"/>
              <w:spacing w:before="0" w:after="283"/>
              <w:jc w:val="right"/>
              <w:rPr/>
            </w:pPr>
            <w:r>
              <w:rPr/>
              <w:t>13</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2.10</w:t>
            </w:r>
          </w:p>
        </w:tc>
        <w:tc>
          <w:tcPr>
            <w:tcW w:w="8385" w:type="dxa"/>
            <w:tcBorders/>
            <w:shd w:fill="CCEEFF" w:val="clear"/>
            <w:vAlign w:val="center"/>
          </w:tcPr>
          <w:p>
            <w:pPr>
              <w:pStyle w:val="TableContents"/>
              <w:bidi w:val="0"/>
              <w:spacing w:before="0" w:after="283"/>
              <w:jc w:val="left"/>
              <w:rPr/>
            </w:pPr>
            <w:r>
              <w:rPr/>
              <w:t>Cancellation and Destruction of Surrendered ADRs; Maintenance of Records</w:t>
            </w:r>
          </w:p>
        </w:tc>
        <w:tc>
          <w:tcPr>
            <w:tcW w:w="276" w:type="dxa"/>
            <w:tcBorders/>
            <w:shd w:fill="CCEEFF" w:val="clear"/>
            <w:vAlign w:val="center"/>
          </w:tcPr>
          <w:p>
            <w:pPr>
              <w:pStyle w:val="TableContents"/>
              <w:bidi w:val="0"/>
              <w:spacing w:before="0" w:after="283"/>
              <w:jc w:val="right"/>
              <w:rPr/>
            </w:pPr>
            <w:r>
              <w:rPr/>
              <w:t>14</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2.11</w:t>
            </w:r>
          </w:p>
        </w:tc>
        <w:tc>
          <w:tcPr>
            <w:tcW w:w="8385" w:type="dxa"/>
            <w:tcBorders/>
            <w:shd w:fill="FFFFFF" w:val="clear"/>
            <w:vAlign w:val="center"/>
          </w:tcPr>
          <w:p>
            <w:pPr>
              <w:pStyle w:val="TableContents"/>
              <w:bidi w:val="0"/>
              <w:spacing w:before="0" w:after="283"/>
              <w:jc w:val="left"/>
              <w:rPr/>
            </w:pPr>
            <w:r>
              <w:rPr/>
              <w:t>Escheatment</w:t>
            </w:r>
          </w:p>
        </w:tc>
        <w:tc>
          <w:tcPr>
            <w:tcW w:w="276" w:type="dxa"/>
            <w:tcBorders/>
            <w:shd w:fill="FFFFFF" w:val="clear"/>
            <w:vAlign w:val="center"/>
          </w:tcPr>
          <w:p>
            <w:pPr>
              <w:pStyle w:val="TableContents"/>
              <w:bidi w:val="0"/>
              <w:spacing w:before="0" w:after="283"/>
              <w:jc w:val="right"/>
              <w:rPr/>
            </w:pPr>
            <w:r>
              <w:rPr/>
              <w:t>14</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2.12</w:t>
            </w:r>
          </w:p>
        </w:tc>
        <w:tc>
          <w:tcPr>
            <w:tcW w:w="8385" w:type="dxa"/>
            <w:tcBorders/>
            <w:shd w:fill="CCEEFF" w:val="clear"/>
            <w:vAlign w:val="center"/>
          </w:tcPr>
          <w:p>
            <w:pPr>
              <w:pStyle w:val="TableContents"/>
              <w:bidi w:val="0"/>
              <w:spacing w:before="0" w:after="283"/>
              <w:jc w:val="left"/>
              <w:rPr/>
            </w:pPr>
            <w:r>
              <w:rPr/>
              <w:t>Partial Entitlement ADSs</w:t>
            </w:r>
          </w:p>
        </w:tc>
        <w:tc>
          <w:tcPr>
            <w:tcW w:w="276" w:type="dxa"/>
            <w:tcBorders/>
            <w:shd w:fill="CCEEFF" w:val="clear"/>
            <w:vAlign w:val="center"/>
          </w:tcPr>
          <w:p>
            <w:pPr>
              <w:pStyle w:val="TableContents"/>
              <w:bidi w:val="0"/>
              <w:spacing w:before="0" w:after="283"/>
              <w:jc w:val="right"/>
              <w:rPr/>
            </w:pPr>
            <w:r>
              <w:rPr/>
              <w:t>14</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2.13</w:t>
            </w:r>
          </w:p>
        </w:tc>
        <w:tc>
          <w:tcPr>
            <w:tcW w:w="8385" w:type="dxa"/>
            <w:tcBorders/>
            <w:shd w:fill="FFFFFF" w:val="clear"/>
            <w:vAlign w:val="center"/>
          </w:tcPr>
          <w:p>
            <w:pPr>
              <w:pStyle w:val="TableContents"/>
              <w:bidi w:val="0"/>
              <w:spacing w:before="0" w:after="283"/>
              <w:jc w:val="left"/>
              <w:rPr/>
            </w:pPr>
            <w:r>
              <w:rPr/>
              <w:t>Certificated/Uncertificated ADSs</w:t>
            </w:r>
          </w:p>
        </w:tc>
        <w:tc>
          <w:tcPr>
            <w:tcW w:w="276" w:type="dxa"/>
            <w:tcBorders/>
            <w:shd w:fill="FFFFFF" w:val="clear"/>
            <w:vAlign w:val="center"/>
          </w:tcPr>
          <w:p>
            <w:pPr>
              <w:pStyle w:val="TableContents"/>
              <w:bidi w:val="0"/>
              <w:spacing w:before="0" w:after="283"/>
              <w:jc w:val="right"/>
              <w:rPr/>
            </w:pPr>
            <w:r>
              <w:rPr/>
              <w:t>15</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2.14</w:t>
            </w:r>
          </w:p>
        </w:tc>
        <w:tc>
          <w:tcPr>
            <w:tcW w:w="8385" w:type="dxa"/>
            <w:tcBorders/>
            <w:shd w:fill="CCEEFF" w:val="clear"/>
            <w:vAlign w:val="center"/>
          </w:tcPr>
          <w:p>
            <w:pPr>
              <w:pStyle w:val="TableContents"/>
              <w:bidi w:val="0"/>
              <w:spacing w:before="0" w:after="283"/>
              <w:jc w:val="left"/>
              <w:rPr/>
            </w:pPr>
            <w:r>
              <w:rPr/>
              <w:t>Restricted ADSs</w:t>
            </w:r>
          </w:p>
        </w:tc>
        <w:tc>
          <w:tcPr>
            <w:tcW w:w="276" w:type="dxa"/>
            <w:tcBorders/>
            <w:shd w:fill="CCEEFF" w:val="clear"/>
            <w:vAlign w:val="center"/>
          </w:tcPr>
          <w:p>
            <w:pPr>
              <w:pStyle w:val="TableContents"/>
              <w:bidi w:val="0"/>
              <w:spacing w:before="0" w:after="283"/>
              <w:jc w:val="right"/>
              <w:rPr/>
            </w:pPr>
            <w:r>
              <w:rPr/>
              <w:t>16</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 </w:t>
            </w:r>
          </w:p>
        </w:tc>
        <w:tc>
          <w:tcPr>
            <w:tcW w:w="838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1544" w:type="dxa"/>
            <w:gridSpan w:val="2"/>
            <w:tcBorders/>
            <w:shd w:fill="CCEEFF" w:val="clear"/>
            <w:vAlign w:val="center"/>
          </w:tcPr>
          <w:p>
            <w:pPr>
              <w:pStyle w:val="TableContents"/>
              <w:bidi w:val="0"/>
              <w:spacing w:before="0" w:after="283"/>
              <w:jc w:val="left"/>
              <w:rPr/>
            </w:pPr>
            <w:r>
              <w:rPr/>
              <w:t>ARTICLE III</w:t>
            </w:r>
          </w:p>
        </w:tc>
        <w:tc>
          <w:tcPr>
            <w:tcW w:w="8385"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 </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 </w:t>
            </w:r>
          </w:p>
        </w:tc>
        <w:tc>
          <w:tcPr>
            <w:tcW w:w="838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3"/>
            <w:tcBorders/>
            <w:shd w:fill="CCEEFF" w:val="clear"/>
            <w:vAlign w:val="center"/>
          </w:tcPr>
          <w:p>
            <w:pPr>
              <w:pStyle w:val="TableContents"/>
              <w:bidi w:val="0"/>
              <w:spacing w:before="0" w:after="283"/>
              <w:jc w:val="left"/>
              <w:rPr/>
            </w:pPr>
            <w:r>
              <w:rPr/>
              <w:t>CERTAIN OBLIGATIONS OF HOLDERS AND BENEFICIAL OWNERS OF ADSs</w:t>
            </w:r>
          </w:p>
        </w:tc>
        <w:tc>
          <w:tcPr>
            <w:tcW w:w="276" w:type="dxa"/>
            <w:tcBorders/>
            <w:shd w:fill="CCEEFF" w:val="clear"/>
            <w:vAlign w:val="center"/>
          </w:tcPr>
          <w:p>
            <w:pPr>
              <w:pStyle w:val="TableContents"/>
              <w:bidi w:val="0"/>
              <w:spacing w:before="0" w:after="283"/>
              <w:jc w:val="right"/>
              <w:rPr/>
            </w:pPr>
            <w:r>
              <w:rPr/>
              <w:t>18</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3.1</w:t>
            </w:r>
          </w:p>
        </w:tc>
        <w:tc>
          <w:tcPr>
            <w:tcW w:w="8385" w:type="dxa"/>
            <w:tcBorders/>
            <w:shd w:fill="FFFFFF" w:val="clear"/>
            <w:vAlign w:val="center"/>
          </w:tcPr>
          <w:p>
            <w:pPr>
              <w:pStyle w:val="TableContents"/>
              <w:bidi w:val="0"/>
              <w:spacing w:before="0" w:after="283"/>
              <w:jc w:val="left"/>
              <w:rPr/>
            </w:pPr>
            <w:r>
              <w:rPr/>
              <w:t>Proofs, Certificates and Other Information</w:t>
            </w:r>
          </w:p>
        </w:tc>
        <w:tc>
          <w:tcPr>
            <w:tcW w:w="276" w:type="dxa"/>
            <w:tcBorders/>
            <w:shd w:fill="FFFFFF" w:val="clear"/>
            <w:vAlign w:val="center"/>
          </w:tcPr>
          <w:p>
            <w:pPr>
              <w:pStyle w:val="TableContents"/>
              <w:bidi w:val="0"/>
              <w:spacing w:before="0" w:after="283"/>
              <w:jc w:val="right"/>
              <w:rPr/>
            </w:pPr>
            <w:r>
              <w:rPr/>
              <w:t>18</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3.2</w:t>
            </w:r>
          </w:p>
        </w:tc>
        <w:tc>
          <w:tcPr>
            <w:tcW w:w="8385" w:type="dxa"/>
            <w:tcBorders/>
            <w:shd w:fill="CCEEFF" w:val="clear"/>
            <w:vAlign w:val="center"/>
          </w:tcPr>
          <w:p>
            <w:pPr>
              <w:pStyle w:val="TableContents"/>
              <w:bidi w:val="0"/>
              <w:spacing w:before="0" w:after="283"/>
              <w:jc w:val="left"/>
              <w:rPr/>
            </w:pPr>
            <w:r>
              <w:rPr/>
              <w:t>Liability for Taxes and Other Charges</w:t>
            </w:r>
          </w:p>
        </w:tc>
        <w:tc>
          <w:tcPr>
            <w:tcW w:w="276" w:type="dxa"/>
            <w:tcBorders/>
            <w:shd w:fill="CCEEFF" w:val="clear"/>
            <w:vAlign w:val="center"/>
          </w:tcPr>
          <w:p>
            <w:pPr>
              <w:pStyle w:val="TableContents"/>
              <w:bidi w:val="0"/>
              <w:spacing w:before="0" w:after="283"/>
              <w:jc w:val="right"/>
              <w:rPr/>
            </w:pPr>
            <w:r>
              <w:rPr/>
              <w:t>19</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3.3</w:t>
            </w:r>
          </w:p>
        </w:tc>
        <w:tc>
          <w:tcPr>
            <w:tcW w:w="8385" w:type="dxa"/>
            <w:tcBorders/>
            <w:shd w:fill="FFFFFF" w:val="clear"/>
            <w:vAlign w:val="center"/>
          </w:tcPr>
          <w:p>
            <w:pPr>
              <w:pStyle w:val="TableContents"/>
              <w:bidi w:val="0"/>
              <w:spacing w:before="0" w:after="283"/>
              <w:jc w:val="left"/>
              <w:rPr/>
            </w:pPr>
            <w:r>
              <w:rPr/>
              <w:t>Representations and Warranties on Deposit of Shares</w:t>
            </w:r>
          </w:p>
        </w:tc>
        <w:tc>
          <w:tcPr>
            <w:tcW w:w="276" w:type="dxa"/>
            <w:tcBorders/>
            <w:shd w:fill="FFFFFF" w:val="clear"/>
            <w:vAlign w:val="center"/>
          </w:tcPr>
          <w:p>
            <w:pPr>
              <w:pStyle w:val="TableContents"/>
              <w:bidi w:val="0"/>
              <w:spacing w:before="0" w:after="283"/>
              <w:jc w:val="right"/>
              <w:rPr/>
            </w:pPr>
            <w:r>
              <w:rPr/>
              <w:t>19</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3.4</w:t>
            </w:r>
          </w:p>
        </w:tc>
        <w:tc>
          <w:tcPr>
            <w:tcW w:w="8385" w:type="dxa"/>
            <w:tcBorders/>
            <w:shd w:fill="CCEEFF" w:val="clear"/>
            <w:vAlign w:val="center"/>
          </w:tcPr>
          <w:p>
            <w:pPr>
              <w:pStyle w:val="TableContents"/>
              <w:bidi w:val="0"/>
              <w:spacing w:before="0" w:after="283"/>
              <w:jc w:val="left"/>
              <w:rPr/>
            </w:pPr>
            <w:r>
              <w:rPr/>
              <w:t>Compliance with Information Requests</w:t>
            </w:r>
          </w:p>
        </w:tc>
        <w:tc>
          <w:tcPr>
            <w:tcW w:w="276" w:type="dxa"/>
            <w:tcBorders/>
            <w:shd w:fill="CCEEFF" w:val="clear"/>
            <w:vAlign w:val="center"/>
          </w:tcPr>
          <w:p>
            <w:pPr>
              <w:pStyle w:val="TableContents"/>
              <w:bidi w:val="0"/>
              <w:spacing w:before="0" w:after="283"/>
              <w:jc w:val="right"/>
              <w:rPr/>
            </w:pPr>
            <w:r>
              <w:rPr/>
              <w:t>20</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3.5</w:t>
            </w:r>
          </w:p>
        </w:tc>
        <w:tc>
          <w:tcPr>
            <w:tcW w:w="8385" w:type="dxa"/>
            <w:tcBorders/>
            <w:shd w:fill="FFFFFF" w:val="clear"/>
            <w:vAlign w:val="center"/>
          </w:tcPr>
          <w:p>
            <w:pPr>
              <w:pStyle w:val="TableContents"/>
              <w:bidi w:val="0"/>
              <w:spacing w:before="0" w:after="283"/>
              <w:jc w:val="left"/>
              <w:rPr/>
            </w:pPr>
            <w:r>
              <w:rPr/>
              <w:t>Ownership Restrictions</w:t>
            </w:r>
          </w:p>
        </w:tc>
        <w:tc>
          <w:tcPr>
            <w:tcW w:w="276" w:type="dxa"/>
            <w:tcBorders/>
            <w:shd w:fill="FFFFFF" w:val="clear"/>
            <w:vAlign w:val="center"/>
          </w:tcPr>
          <w:p>
            <w:pPr>
              <w:pStyle w:val="TableContents"/>
              <w:bidi w:val="0"/>
              <w:spacing w:before="0" w:after="283"/>
              <w:jc w:val="right"/>
              <w:rPr/>
            </w:pPr>
            <w:r>
              <w:rPr/>
              <w:t>20</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3.6</w:t>
            </w:r>
          </w:p>
        </w:tc>
        <w:tc>
          <w:tcPr>
            <w:tcW w:w="8385" w:type="dxa"/>
            <w:tcBorders/>
            <w:shd w:fill="CCEEFF" w:val="clear"/>
            <w:vAlign w:val="center"/>
          </w:tcPr>
          <w:p>
            <w:pPr>
              <w:pStyle w:val="TableContents"/>
              <w:bidi w:val="0"/>
              <w:spacing w:before="0" w:after="283"/>
              <w:jc w:val="left"/>
              <w:rPr/>
            </w:pPr>
            <w:r>
              <w:rPr/>
              <w:t>Reporting Obligations and Regulatory Approvals</w:t>
            </w:r>
          </w:p>
        </w:tc>
        <w:tc>
          <w:tcPr>
            <w:tcW w:w="276" w:type="dxa"/>
            <w:tcBorders/>
            <w:shd w:fill="CCEEFF" w:val="clear"/>
            <w:vAlign w:val="center"/>
          </w:tcPr>
          <w:p>
            <w:pPr>
              <w:pStyle w:val="TableContents"/>
              <w:bidi w:val="0"/>
              <w:spacing w:before="0" w:after="283"/>
              <w:jc w:val="right"/>
              <w:rPr/>
            </w:pPr>
            <w:r>
              <w:rPr/>
              <w:t>20</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 </w:t>
            </w:r>
          </w:p>
        </w:tc>
        <w:tc>
          <w:tcPr>
            <w:tcW w:w="838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3"/>
            <w:tcBorders/>
            <w:shd w:fill="CCEEFF" w:val="clear"/>
            <w:vAlign w:val="center"/>
          </w:tcPr>
          <w:p>
            <w:pPr>
              <w:pStyle w:val="TableContents"/>
              <w:bidi w:val="0"/>
              <w:spacing w:before="0" w:after="283"/>
              <w:jc w:val="left"/>
              <w:rPr/>
            </w:pPr>
            <w:r>
              <w:rPr/>
              <w:t>ARTICLE IV</w:t>
            </w:r>
          </w:p>
        </w:tc>
        <w:tc>
          <w:tcPr>
            <w:tcW w:w="276" w:type="dxa"/>
            <w:tcBorders/>
            <w:shd w:fill="CCEEFF" w:val="clear"/>
            <w:vAlign w:val="center"/>
          </w:tcPr>
          <w:p>
            <w:pPr>
              <w:pStyle w:val="TableContents"/>
              <w:bidi w:val="0"/>
              <w:spacing w:before="0" w:after="283"/>
              <w:jc w:val="right"/>
              <w:rPr/>
            </w:pPr>
            <w:r>
              <w:rPr/>
              <w:t> </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 </w:t>
            </w:r>
          </w:p>
        </w:tc>
        <w:tc>
          <w:tcPr>
            <w:tcW w:w="838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9929" w:type="dxa"/>
            <w:gridSpan w:val="3"/>
            <w:tcBorders/>
            <w:shd w:fill="CCEEFF" w:val="clear"/>
            <w:vAlign w:val="center"/>
          </w:tcPr>
          <w:p>
            <w:pPr>
              <w:pStyle w:val="TableContents"/>
              <w:bidi w:val="0"/>
              <w:spacing w:before="0" w:after="283"/>
              <w:jc w:val="left"/>
              <w:rPr/>
            </w:pPr>
            <w:r>
              <w:rPr/>
              <w:t>THE DEPOSITED SECURITIES</w:t>
            </w:r>
          </w:p>
        </w:tc>
        <w:tc>
          <w:tcPr>
            <w:tcW w:w="276" w:type="dxa"/>
            <w:tcBorders/>
            <w:shd w:fill="CCEEFF" w:val="clear"/>
            <w:vAlign w:val="center"/>
          </w:tcPr>
          <w:p>
            <w:pPr>
              <w:pStyle w:val="TableContents"/>
              <w:bidi w:val="0"/>
              <w:spacing w:before="0" w:after="283"/>
              <w:jc w:val="right"/>
              <w:rPr/>
            </w:pPr>
            <w:r>
              <w:rPr/>
              <w:t>20</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4.1</w:t>
            </w:r>
          </w:p>
        </w:tc>
        <w:tc>
          <w:tcPr>
            <w:tcW w:w="8385" w:type="dxa"/>
            <w:tcBorders/>
            <w:shd w:fill="FFFFFF" w:val="clear"/>
            <w:vAlign w:val="center"/>
          </w:tcPr>
          <w:p>
            <w:pPr>
              <w:pStyle w:val="TableContents"/>
              <w:bidi w:val="0"/>
              <w:spacing w:before="0" w:after="283"/>
              <w:jc w:val="left"/>
              <w:rPr/>
            </w:pPr>
            <w:r>
              <w:rPr/>
              <w:t>Cash Distributions</w:t>
            </w:r>
          </w:p>
        </w:tc>
        <w:tc>
          <w:tcPr>
            <w:tcW w:w="276" w:type="dxa"/>
            <w:tcBorders/>
            <w:shd w:fill="FFFFFF" w:val="clear"/>
            <w:vAlign w:val="center"/>
          </w:tcPr>
          <w:p>
            <w:pPr>
              <w:pStyle w:val="TableContents"/>
              <w:bidi w:val="0"/>
              <w:spacing w:before="0" w:after="283"/>
              <w:jc w:val="right"/>
              <w:rPr/>
            </w:pPr>
            <w:r>
              <w:rPr/>
              <w:t>21</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4.2</w:t>
            </w:r>
          </w:p>
        </w:tc>
        <w:tc>
          <w:tcPr>
            <w:tcW w:w="8385" w:type="dxa"/>
            <w:tcBorders/>
            <w:shd w:fill="CCEEFF" w:val="clear"/>
            <w:vAlign w:val="center"/>
          </w:tcPr>
          <w:p>
            <w:pPr>
              <w:pStyle w:val="TableContents"/>
              <w:bidi w:val="0"/>
              <w:spacing w:before="0" w:after="283"/>
              <w:jc w:val="left"/>
              <w:rPr/>
            </w:pPr>
            <w:r>
              <w:rPr/>
              <w:t>Distribution in Shares</w:t>
            </w:r>
          </w:p>
        </w:tc>
        <w:tc>
          <w:tcPr>
            <w:tcW w:w="276" w:type="dxa"/>
            <w:tcBorders/>
            <w:shd w:fill="CCEEFF" w:val="clear"/>
            <w:vAlign w:val="center"/>
          </w:tcPr>
          <w:p>
            <w:pPr>
              <w:pStyle w:val="TableContents"/>
              <w:bidi w:val="0"/>
              <w:spacing w:before="0" w:after="283"/>
              <w:jc w:val="right"/>
              <w:rPr/>
            </w:pPr>
            <w:r>
              <w:rPr/>
              <w:t>21</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4.3</w:t>
            </w:r>
          </w:p>
        </w:tc>
        <w:tc>
          <w:tcPr>
            <w:tcW w:w="8385" w:type="dxa"/>
            <w:tcBorders/>
            <w:shd w:fill="FFFFFF" w:val="clear"/>
            <w:vAlign w:val="center"/>
          </w:tcPr>
          <w:p>
            <w:pPr>
              <w:pStyle w:val="TableContents"/>
              <w:bidi w:val="0"/>
              <w:spacing w:before="0" w:after="283"/>
              <w:jc w:val="left"/>
              <w:rPr/>
            </w:pPr>
            <w:r>
              <w:rPr/>
              <w:t>Elective Distributions in Cash or Shares</w:t>
            </w:r>
          </w:p>
        </w:tc>
        <w:tc>
          <w:tcPr>
            <w:tcW w:w="276" w:type="dxa"/>
            <w:tcBorders/>
            <w:shd w:fill="FFFFFF" w:val="clear"/>
            <w:vAlign w:val="center"/>
          </w:tcPr>
          <w:p>
            <w:pPr>
              <w:pStyle w:val="TableContents"/>
              <w:bidi w:val="0"/>
              <w:spacing w:before="0" w:after="283"/>
              <w:jc w:val="right"/>
              <w:rPr/>
            </w:pPr>
            <w:r>
              <w:rPr/>
              <w:t>22</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4.4</w:t>
            </w:r>
          </w:p>
        </w:tc>
        <w:tc>
          <w:tcPr>
            <w:tcW w:w="8385" w:type="dxa"/>
            <w:tcBorders/>
            <w:shd w:fill="CCEEFF" w:val="clear"/>
            <w:vAlign w:val="center"/>
          </w:tcPr>
          <w:p>
            <w:pPr>
              <w:pStyle w:val="TableContents"/>
              <w:bidi w:val="0"/>
              <w:spacing w:before="0" w:after="283"/>
              <w:jc w:val="left"/>
              <w:rPr/>
            </w:pPr>
            <w:r>
              <w:rPr/>
              <w:t>Distribution of Rights to Purchase Additional ADSs</w:t>
            </w:r>
          </w:p>
        </w:tc>
        <w:tc>
          <w:tcPr>
            <w:tcW w:w="276" w:type="dxa"/>
            <w:tcBorders/>
            <w:shd w:fill="CCEEFF" w:val="clear"/>
            <w:vAlign w:val="center"/>
          </w:tcPr>
          <w:p>
            <w:pPr>
              <w:pStyle w:val="TableContents"/>
              <w:bidi w:val="0"/>
              <w:spacing w:before="0" w:after="283"/>
              <w:jc w:val="right"/>
              <w:rPr/>
            </w:pPr>
            <w:r>
              <w:rPr/>
              <w:t>23</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4.5</w:t>
            </w:r>
          </w:p>
        </w:tc>
        <w:tc>
          <w:tcPr>
            <w:tcW w:w="8385" w:type="dxa"/>
            <w:tcBorders/>
            <w:shd w:fill="FFFFFF" w:val="clear"/>
            <w:vAlign w:val="center"/>
          </w:tcPr>
          <w:p>
            <w:pPr>
              <w:pStyle w:val="TableContents"/>
              <w:bidi w:val="0"/>
              <w:spacing w:before="0" w:after="283"/>
              <w:jc w:val="left"/>
              <w:rPr/>
            </w:pPr>
            <w:r>
              <w:rPr/>
              <w:t>Distributions Other Than Cash, Shares or Rights to Purchase Shares</w:t>
            </w:r>
          </w:p>
        </w:tc>
        <w:tc>
          <w:tcPr>
            <w:tcW w:w="276" w:type="dxa"/>
            <w:tcBorders/>
            <w:shd w:fill="FFFFFF" w:val="clear"/>
            <w:vAlign w:val="center"/>
          </w:tcPr>
          <w:p>
            <w:pPr>
              <w:pStyle w:val="TableContents"/>
              <w:bidi w:val="0"/>
              <w:spacing w:before="0" w:after="283"/>
              <w:jc w:val="right"/>
              <w:rPr/>
            </w:pPr>
            <w:r>
              <w:rPr/>
              <w:t>25</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4.6</w:t>
            </w:r>
          </w:p>
        </w:tc>
        <w:tc>
          <w:tcPr>
            <w:tcW w:w="8385" w:type="dxa"/>
            <w:tcBorders/>
            <w:shd w:fill="CCEEFF" w:val="clear"/>
            <w:vAlign w:val="center"/>
          </w:tcPr>
          <w:p>
            <w:pPr>
              <w:pStyle w:val="TableContents"/>
              <w:bidi w:val="0"/>
              <w:spacing w:before="0" w:after="283"/>
              <w:jc w:val="left"/>
              <w:rPr/>
            </w:pPr>
            <w:r>
              <w:rPr/>
              <w:t>[Intentionally Omitted]</w:t>
            </w:r>
          </w:p>
        </w:tc>
        <w:tc>
          <w:tcPr>
            <w:tcW w:w="276" w:type="dxa"/>
            <w:tcBorders/>
            <w:shd w:fill="CCEEFF" w:val="clear"/>
            <w:vAlign w:val="center"/>
          </w:tcPr>
          <w:p>
            <w:pPr>
              <w:pStyle w:val="TableContents"/>
              <w:bidi w:val="0"/>
              <w:spacing w:before="0" w:after="283"/>
              <w:jc w:val="right"/>
              <w:rPr/>
            </w:pPr>
            <w:r>
              <w:rPr/>
              <w:t>26</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4.7</w:t>
            </w:r>
          </w:p>
        </w:tc>
        <w:tc>
          <w:tcPr>
            <w:tcW w:w="8385" w:type="dxa"/>
            <w:tcBorders/>
            <w:shd w:fill="FFFFFF" w:val="clear"/>
            <w:vAlign w:val="center"/>
          </w:tcPr>
          <w:p>
            <w:pPr>
              <w:pStyle w:val="TableContents"/>
              <w:bidi w:val="0"/>
              <w:spacing w:before="0" w:after="283"/>
              <w:jc w:val="left"/>
              <w:rPr/>
            </w:pPr>
            <w:r>
              <w:rPr/>
              <w:t>Redemption</w:t>
            </w:r>
          </w:p>
        </w:tc>
        <w:tc>
          <w:tcPr>
            <w:tcW w:w="276" w:type="dxa"/>
            <w:tcBorders/>
            <w:shd w:fill="FFFFFF" w:val="clear"/>
            <w:vAlign w:val="center"/>
          </w:tcPr>
          <w:p>
            <w:pPr>
              <w:pStyle w:val="TableContents"/>
              <w:bidi w:val="0"/>
              <w:spacing w:before="0" w:after="283"/>
              <w:jc w:val="right"/>
              <w:rPr/>
            </w:pPr>
            <w:r>
              <w:rPr/>
              <w:t>26</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4.8</w:t>
            </w:r>
          </w:p>
        </w:tc>
        <w:tc>
          <w:tcPr>
            <w:tcW w:w="8385" w:type="dxa"/>
            <w:tcBorders/>
            <w:shd w:fill="CCEEFF" w:val="clear"/>
            <w:vAlign w:val="center"/>
          </w:tcPr>
          <w:p>
            <w:pPr>
              <w:pStyle w:val="TableContents"/>
              <w:bidi w:val="0"/>
              <w:spacing w:before="0" w:after="283"/>
              <w:jc w:val="left"/>
              <w:rPr/>
            </w:pPr>
            <w:r>
              <w:rPr/>
              <w:t>Conversion of Foreign Currency</w:t>
            </w:r>
          </w:p>
        </w:tc>
        <w:tc>
          <w:tcPr>
            <w:tcW w:w="276" w:type="dxa"/>
            <w:tcBorders/>
            <w:shd w:fill="CCEEFF" w:val="clear"/>
            <w:vAlign w:val="center"/>
          </w:tcPr>
          <w:p>
            <w:pPr>
              <w:pStyle w:val="TableContents"/>
              <w:bidi w:val="0"/>
              <w:spacing w:before="0" w:after="283"/>
              <w:jc w:val="right"/>
              <w:rPr/>
            </w:pPr>
            <w:r>
              <w:rPr/>
              <w:t>26</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4.9</w:t>
            </w:r>
          </w:p>
        </w:tc>
        <w:tc>
          <w:tcPr>
            <w:tcW w:w="8385" w:type="dxa"/>
            <w:tcBorders/>
            <w:shd w:fill="FFFFFF" w:val="clear"/>
            <w:vAlign w:val="center"/>
          </w:tcPr>
          <w:p>
            <w:pPr>
              <w:pStyle w:val="TableContents"/>
              <w:bidi w:val="0"/>
              <w:spacing w:before="0" w:after="283"/>
              <w:jc w:val="left"/>
              <w:rPr/>
            </w:pPr>
            <w:r>
              <w:rPr/>
              <w:t>Fixing of ADS Record Date</w:t>
            </w:r>
          </w:p>
        </w:tc>
        <w:tc>
          <w:tcPr>
            <w:tcW w:w="276" w:type="dxa"/>
            <w:tcBorders/>
            <w:shd w:fill="FFFFFF" w:val="clear"/>
            <w:vAlign w:val="center"/>
          </w:tcPr>
          <w:p>
            <w:pPr>
              <w:pStyle w:val="TableContents"/>
              <w:bidi w:val="0"/>
              <w:spacing w:before="0" w:after="283"/>
              <w:jc w:val="right"/>
              <w:rPr/>
            </w:pPr>
            <w:r>
              <w:rPr/>
              <w:t>27</w:t>
            </w:r>
          </w:p>
        </w:tc>
      </w:tr>
      <w:tr>
        <w:trPr/>
        <w:tc>
          <w:tcPr>
            <w:tcW w:w="11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left"/>
              <w:rPr/>
            </w:pPr>
            <w:r>
              <w:rPr/>
              <w:t>Section 4.10</w:t>
            </w:r>
          </w:p>
        </w:tc>
        <w:tc>
          <w:tcPr>
            <w:tcW w:w="8385" w:type="dxa"/>
            <w:tcBorders/>
            <w:shd w:fill="CCEEFF" w:val="clear"/>
            <w:vAlign w:val="center"/>
          </w:tcPr>
          <w:p>
            <w:pPr>
              <w:pStyle w:val="TableContents"/>
              <w:bidi w:val="0"/>
              <w:spacing w:before="0" w:after="283"/>
              <w:jc w:val="left"/>
              <w:rPr/>
            </w:pPr>
            <w:r>
              <w:rPr/>
              <w:t>Voting of Deposited Securities</w:t>
            </w:r>
          </w:p>
        </w:tc>
        <w:tc>
          <w:tcPr>
            <w:tcW w:w="276" w:type="dxa"/>
            <w:tcBorders/>
            <w:shd w:fill="CCEEFF" w:val="clear"/>
            <w:vAlign w:val="center"/>
          </w:tcPr>
          <w:p>
            <w:pPr>
              <w:pStyle w:val="TableContents"/>
              <w:bidi w:val="0"/>
              <w:spacing w:before="0" w:after="283"/>
              <w:jc w:val="right"/>
              <w:rPr/>
            </w:pPr>
            <w:r>
              <w:rPr/>
              <w:t>28</w:t>
            </w:r>
          </w:p>
        </w:tc>
      </w:tr>
      <w:tr>
        <w:trPr/>
        <w:tc>
          <w:tcPr>
            <w:tcW w:w="117"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left"/>
              <w:rPr/>
            </w:pPr>
            <w:r>
              <w:rPr/>
              <w:t>Section 4.11</w:t>
            </w:r>
          </w:p>
        </w:tc>
        <w:tc>
          <w:tcPr>
            <w:tcW w:w="8385" w:type="dxa"/>
            <w:tcBorders/>
            <w:shd w:fill="FFFFFF" w:val="clear"/>
            <w:vAlign w:val="center"/>
          </w:tcPr>
          <w:p>
            <w:pPr>
              <w:pStyle w:val="TableContents"/>
              <w:bidi w:val="0"/>
              <w:spacing w:before="0" w:after="283"/>
              <w:jc w:val="left"/>
              <w:rPr/>
            </w:pPr>
            <w:r>
              <w:rPr/>
              <w:t>Changes Affecting Deposited Securities</w:t>
            </w:r>
          </w:p>
        </w:tc>
        <w:tc>
          <w:tcPr>
            <w:tcW w:w="276" w:type="dxa"/>
            <w:tcBorders/>
            <w:shd w:fill="FFFFFF" w:val="clear"/>
            <w:vAlign w:val="center"/>
          </w:tcPr>
          <w:p>
            <w:pPr>
              <w:pStyle w:val="TableContents"/>
              <w:bidi w:val="0"/>
              <w:spacing w:before="0" w:after="283"/>
              <w:jc w:val="right"/>
              <w:rPr/>
            </w:pPr>
            <w:r>
              <w:rPr/>
              <w:t>29</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jc w:val="center"/>
        <w:rPr/>
      </w:pPr>
      <w:r>
        <w:rPr/>
        <w:t> </w:t>
      </w:r>
    </w:p>
    <w:p>
      <w:pPr>
        <w:pStyle w:val="TextBody"/>
        <w:bidi w:val="0"/>
        <w:spacing w:before="0" w:after="283"/>
        <w:jc w:val="left"/>
        <w:rPr/>
      </w:pPr>
      <w:r>
        <w:rPr/>
        <w:t> </w:t>
      </w:r>
    </w:p>
    <w:tbl>
      <w:tblPr>
        <w:tblW w:w="9674" w:type="dxa"/>
        <w:jc w:val="left"/>
        <w:tblInd w:w="0" w:type="dxa"/>
        <w:tblLayout w:type="fixed"/>
        <w:tblCellMar>
          <w:top w:w="0" w:type="dxa"/>
          <w:left w:w="0" w:type="dxa"/>
          <w:bottom w:w="0" w:type="dxa"/>
          <w:right w:w="0" w:type="dxa"/>
        </w:tblCellMar>
      </w:tblPr>
      <w:tblGrid>
        <w:gridCol w:w="81"/>
        <w:gridCol w:w="1303"/>
        <w:gridCol w:w="7880"/>
        <w:gridCol w:w="410"/>
      </w:tblGrid>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4.12</w:t>
            </w:r>
          </w:p>
        </w:tc>
        <w:tc>
          <w:tcPr>
            <w:tcW w:w="7880" w:type="dxa"/>
            <w:tcBorders/>
            <w:shd w:fill="CCEEFF" w:val="clear"/>
            <w:vAlign w:val="center"/>
          </w:tcPr>
          <w:p>
            <w:pPr>
              <w:pStyle w:val="TableContents"/>
              <w:bidi w:val="0"/>
              <w:spacing w:before="0" w:after="283"/>
              <w:jc w:val="left"/>
              <w:rPr/>
            </w:pPr>
            <w:r>
              <w:rPr/>
              <w:t>Available Information</w:t>
            </w:r>
          </w:p>
        </w:tc>
        <w:tc>
          <w:tcPr>
            <w:tcW w:w="410" w:type="dxa"/>
            <w:tcBorders/>
            <w:shd w:fill="CCEEFF" w:val="clear"/>
            <w:vAlign w:val="center"/>
          </w:tcPr>
          <w:p>
            <w:pPr>
              <w:pStyle w:val="TableContents"/>
              <w:bidi w:val="0"/>
              <w:spacing w:before="0" w:after="283"/>
              <w:jc w:val="right"/>
              <w:rPr/>
            </w:pPr>
            <w:r>
              <w:rPr/>
              <w:t>30</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4.13</w:t>
            </w:r>
          </w:p>
        </w:tc>
        <w:tc>
          <w:tcPr>
            <w:tcW w:w="7880" w:type="dxa"/>
            <w:tcBorders/>
            <w:shd w:fill="FFFFFF" w:val="clear"/>
            <w:vAlign w:val="center"/>
          </w:tcPr>
          <w:p>
            <w:pPr>
              <w:pStyle w:val="TableContents"/>
              <w:bidi w:val="0"/>
              <w:spacing w:before="0" w:after="283"/>
              <w:jc w:val="left"/>
              <w:rPr/>
            </w:pPr>
            <w:r>
              <w:rPr/>
              <w:t>Reports</w:t>
            </w:r>
          </w:p>
        </w:tc>
        <w:tc>
          <w:tcPr>
            <w:tcW w:w="410" w:type="dxa"/>
            <w:tcBorders/>
            <w:shd w:fill="FFFFFF" w:val="clear"/>
            <w:vAlign w:val="center"/>
          </w:tcPr>
          <w:p>
            <w:pPr>
              <w:pStyle w:val="TableContents"/>
              <w:bidi w:val="0"/>
              <w:spacing w:before="0" w:after="283"/>
              <w:jc w:val="right"/>
              <w:rPr/>
            </w:pPr>
            <w:r>
              <w:rPr/>
              <w:t>30</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4.14</w:t>
            </w:r>
          </w:p>
        </w:tc>
        <w:tc>
          <w:tcPr>
            <w:tcW w:w="7880" w:type="dxa"/>
            <w:tcBorders/>
            <w:shd w:fill="CCEEFF" w:val="clear"/>
            <w:vAlign w:val="center"/>
          </w:tcPr>
          <w:p>
            <w:pPr>
              <w:pStyle w:val="TableContents"/>
              <w:bidi w:val="0"/>
              <w:spacing w:before="0" w:after="283"/>
              <w:jc w:val="left"/>
              <w:rPr/>
            </w:pPr>
            <w:r>
              <w:rPr/>
              <w:t>List of Holders</w:t>
            </w:r>
          </w:p>
        </w:tc>
        <w:tc>
          <w:tcPr>
            <w:tcW w:w="410" w:type="dxa"/>
            <w:tcBorders/>
            <w:shd w:fill="CCEEFF" w:val="clear"/>
            <w:vAlign w:val="center"/>
          </w:tcPr>
          <w:p>
            <w:pPr>
              <w:pStyle w:val="TableContents"/>
              <w:bidi w:val="0"/>
              <w:spacing w:before="0" w:after="283"/>
              <w:jc w:val="right"/>
              <w:rPr/>
            </w:pPr>
            <w:r>
              <w:rPr/>
              <w:t>30</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4.15</w:t>
            </w:r>
          </w:p>
        </w:tc>
        <w:tc>
          <w:tcPr>
            <w:tcW w:w="7880" w:type="dxa"/>
            <w:tcBorders/>
            <w:shd w:fill="FFFFFF" w:val="clear"/>
            <w:vAlign w:val="center"/>
          </w:tcPr>
          <w:p>
            <w:pPr>
              <w:pStyle w:val="TableContents"/>
              <w:bidi w:val="0"/>
              <w:spacing w:before="0" w:after="283"/>
              <w:jc w:val="left"/>
              <w:rPr/>
            </w:pPr>
            <w:r>
              <w:rPr/>
              <w:t>Taxation</w:t>
            </w:r>
          </w:p>
        </w:tc>
        <w:tc>
          <w:tcPr>
            <w:tcW w:w="410" w:type="dxa"/>
            <w:tcBorders/>
            <w:shd w:fill="FFFFFF" w:val="clear"/>
            <w:vAlign w:val="center"/>
          </w:tcPr>
          <w:p>
            <w:pPr>
              <w:pStyle w:val="TableContents"/>
              <w:bidi w:val="0"/>
              <w:spacing w:before="0" w:after="283"/>
              <w:jc w:val="right"/>
              <w:rPr/>
            </w:pPr>
            <w:r>
              <w:rPr/>
              <w:t>30</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9264" w:type="dxa"/>
            <w:gridSpan w:val="3"/>
            <w:tcBorders/>
            <w:shd w:fill="FFFFFF" w:val="clear"/>
            <w:vAlign w:val="center"/>
          </w:tcPr>
          <w:p>
            <w:pPr>
              <w:pStyle w:val="TableContents"/>
              <w:bidi w:val="0"/>
              <w:spacing w:before="0" w:after="283"/>
              <w:jc w:val="left"/>
              <w:rPr/>
            </w:pPr>
            <w:r>
              <w:rPr/>
              <w:t>ARTICLE V</w:t>
            </w:r>
          </w:p>
        </w:tc>
        <w:tc>
          <w:tcPr>
            <w:tcW w:w="410" w:type="dxa"/>
            <w:tcBorders/>
            <w:shd w:fill="FFFFFF" w:val="clear"/>
            <w:vAlign w:val="center"/>
          </w:tcPr>
          <w:p>
            <w:pPr>
              <w:pStyle w:val="TableContents"/>
              <w:bidi w:val="0"/>
              <w:spacing w:before="0" w:after="283"/>
              <w:jc w:val="right"/>
              <w:rPr/>
            </w:pPr>
            <w:r>
              <w:rPr/>
              <w:t> </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9264" w:type="dxa"/>
            <w:gridSpan w:val="3"/>
            <w:tcBorders/>
            <w:shd w:fill="FFFFFF" w:val="clear"/>
            <w:vAlign w:val="center"/>
          </w:tcPr>
          <w:p>
            <w:pPr>
              <w:pStyle w:val="TableContents"/>
              <w:bidi w:val="0"/>
              <w:spacing w:before="0" w:after="283"/>
              <w:jc w:val="left"/>
              <w:rPr/>
            </w:pPr>
            <w:r>
              <w:rPr/>
              <w:t>THE DEPOSITARY, THE CUSTODIAN AND THE COMPANY</w:t>
            </w:r>
          </w:p>
        </w:tc>
        <w:tc>
          <w:tcPr>
            <w:tcW w:w="410" w:type="dxa"/>
            <w:tcBorders/>
            <w:shd w:fill="FFFFFF" w:val="clear"/>
            <w:vAlign w:val="center"/>
          </w:tcPr>
          <w:p>
            <w:pPr>
              <w:pStyle w:val="TableContents"/>
              <w:bidi w:val="0"/>
              <w:spacing w:before="0" w:after="283"/>
              <w:jc w:val="right"/>
              <w:rPr/>
            </w:pPr>
            <w:r>
              <w:rPr/>
              <w:t>32</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5.1</w:t>
            </w:r>
          </w:p>
        </w:tc>
        <w:tc>
          <w:tcPr>
            <w:tcW w:w="7880" w:type="dxa"/>
            <w:tcBorders/>
            <w:shd w:fill="CCEEFF" w:val="clear"/>
            <w:vAlign w:val="center"/>
          </w:tcPr>
          <w:p>
            <w:pPr>
              <w:pStyle w:val="TableContents"/>
              <w:bidi w:val="0"/>
              <w:spacing w:before="0" w:after="283"/>
              <w:jc w:val="left"/>
              <w:rPr/>
            </w:pPr>
            <w:r>
              <w:rPr/>
              <w:t>Maintenance of Office and Transfer Books by the Registrar</w:t>
            </w:r>
          </w:p>
        </w:tc>
        <w:tc>
          <w:tcPr>
            <w:tcW w:w="410" w:type="dxa"/>
            <w:tcBorders/>
            <w:shd w:fill="CCEEFF" w:val="clear"/>
            <w:vAlign w:val="center"/>
          </w:tcPr>
          <w:p>
            <w:pPr>
              <w:pStyle w:val="TableContents"/>
              <w:bidi w:val="0"/>
              <w:spacing w:before="0" w:after="283"/>
              <w:jc w:val="right"/>
              <w:rPr/>
            </w:pPr>
            <w:r>
              <w:rPr/>
              <w:t>32</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5.2</w:t>
            </w:r>
          </w:p>
        </w:tc>
        <w:tc>
          <w:tcPr>
            <w:tcW w:w="7880" w:type="dxa"/>
            <w:tcBorders/>
            <w:shd w:fill="FFFFFF" w:val="clear"/>
            <w:vAlign w:val="center"/>
          </w:tcPr>
          <w:p>
            <w:pPr>
              <w:pStyle w:val="TableContents"/>
              <w:bidi w:val="0"/>
              <w:spacing w:before="0" w:after="283"/>
              <w:jc w:val="left"/>
              <w:rPr/>
            </w:pPr>
            <w:r>
              <w:rPr/>
              <w:t>Exoneration</w:t>
            </w:r>
          </w:p>
        </w:tc>
        <w:tc>
          <w:tcPr>
            <w:tcW w:w="410" w:type="dxa"/>
            <w:tcBorders/>
            <w:shd w:fill="FFFFFF" w:val="clear"/>
            <w:vAlign w:val="center"/>
          </w:tcPr>
          <w:p>
            <w:pPr>
              <w:pStyle w:val="TableContents"/>
              <w:bidi w:val="0"/>
              <w:spacing w:before="0" w:after="283"/>
              <w:jc w:val="right"/>
              <w:rPr/>
            </w:pPr>
            <w:r>
              <w:rPr/>
              <w:t>32</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5.3</w:t>
            </w:r>
          </w:p>
        </w:tc>
        <w:tc>
          <w:tcPr>
            <w:tcW w:w="7880" w:type="dxa"/>
            <w:tcBorders/>
            <w:shd w:fill="CCEEFF" w:val="clear"/>
            <w:vAlign w:val="center"/>
          </w:tcPr>
          <w:p>
            <w:pPr>
              <w:pStyle w:val="TableContents"/>
              <w:bidi w:val="0"/>
              <w:spacing w:before="0" w:after="283"/>
              <w:jc w:val="left"/>
              <w:rPr/>
            </w:pPr>
            <w:r>
              <w:rPr/>
              <w:t>Standard of Care</w:t>
            </w:r>
          </w:p>
        </w:tc>
        <w:tc>
          <w:tcPr>
            <w:tcW w:w="410" w:type="dxa"/>
            <w:tcBorders/>
            <w:shd w:fill="CCEEFF" w:val="clear"/>
            <w:vAlign w:val="center"/>
          </w:tcPr>
          <w:p>
            <w:pPr>
              <w:pStyle w:val="TableContents"/>
              <w:bidi w:val="0"/>
              <w:spacing w:before="0" w:after="283"/>
              <w:jc w:val="right"/>
              <w:rPr/>
            </w:pPr>
            <w:r>
              <w:rPr/>
              <w:t>33</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5.4</w:t>
            </w:r>
          </w:p>
        </w:tc>
        <w:tc>
          <w:tcPr>
            <w:tcW w:w="7880" w:type="dxa"/>
            <w:tcBorders/>
            <w:shd w:fill="FFFFFF" w:val="clear"/>
            <w:vAlign w:val="center"/>
          </w:tcPr>
          <w:p>
            <w:pPr>
              <w:pStyle w:val="TableContents"/>
              <w:bidi w:val="0"/>
              <w:spacing w:before="0" w:after="283"/>
              <w:jc w:val="left"/>
              <w:rPr/>
            </w:pPr>
            <w:r>
              <w:rPr/>
              <w:t>Resignation and Removal of the Depositary; Appointment of Successor Depositary</w:t>
            </w:r>
          </w:p>
        </w:tc>
        <w:tc>
          <w:tcPr>
            <w:tcW w:w="410" w:type="dxa"/>
            <w:tcBorders/>
            <w:shd w:fill="FFFFFF" w:val="clear"/>
            <w:vAlign w:val="center"/>
          </w:tcPr>
          <w:p>
            <w:pPr>
              <w:pStyle w:val="TableContents"/>
              <w:bidi w:val="0"/>
              <w:spacing w:before="0" w:after="283"/>
              <w:jc w:val="right"/>
              <w:rPr/>
            </w:pPr>
            <w:r>
              <w:rPr/>
              <w:t>34</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5.5</w:t>
            </w:r>
          </w:p>
        </w:tc>
        <w:tc>
          <w:tcPr>
            <w:tcW w:w="7880" w:type="dxa"/>
            <w:tcBorders/>
            <w:shd w:fill="CCEEFF" w:val="clear"/>
            <w:vAlign w:val="center"/>
          </w:tcPr>
          <w:p>
            <w:pPr>
              <w:pStyle w:val="TableContents"/>
              <w:bidi w:val="0"/>
              <w:spacing w:before="0" w:after="283"/>
              <w:jc w:val="left"/>
              <w:rPr/>
            </w:pPr>
            <w:r>
              <w:rPr/>
              <w:t>The Custodian</w:t>
            </w:r>
          </w:p>
        </w:tc>
        <w:tc>
          <w:tcPr>
            <w:tcW w:w="410" w:type="dxa"/>
            <w:tcBorders/>
            <w:shd w:fill="CCEEFF" w:val="clear"/>
            <w:vAlign w:val="center"/>
          </w:tcPr>
          <w:p>
            <w:pPr>
              <w:pStyle w:val="TableContents"/>
              <w:bidi w:val="0"/>
              <w:spacing w:before="0" w:after="283"/>
              <w:jc w:val="right"/>
              <w:rPr/>
            </w:pPr>
            <w:r>
              <w:rPr/>
              <w:t>35</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5.6</w:t>
            </w:r>
          </w:p>
        </w:tc>
        <w:tc>
          <w:tcPr>
            <w:tcW w:w="7880" w:type="dxa"/>
            <w:tcBorders/>
            <w:shd w:fill="FFFFFF" w:val="clear"/>
            <w:vAlign w:val="center"/>
          </w:tcPr>
          <w:p>
            <w:pPr>
              <w:pStyle w:val="TableContents"/>
              <w:bidi w:val="0"/>
              <w:spacing w:before="0" w:after="283"/>
              <w:jc w:val="left"/>
              <w:rPr/>
            </w:pPr>
            <w:r>
              <w:rPr/>
              <w:t>Notices and Reports</w:t>
            </w:r>
          </w:p>
        </w:tc>
        <w:tc>
          <w:tcPr>
            <w:tcW w:w="410" w:type="dxa"/>
            <w:tcBorders/>
            <w:shd w:fill="FFFFFF" w:val="clear"/>
            <w:vAlign w:val="center"/>
          </w:tcPr>
          <w:p>
            <w:pPr>
              <w:pStyle w:val="TableContents"/>
              <w:bidi w:val="0"/>
              <w:spacing w:before="0" w:after="283"/>
              <w:jc w:val="right"/>
              <w:rPr/>
            </w:pPr>
            <w:r>
              <w:rPr/>
              <w:t>35</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5.7</w:t>
            </w:r>
          </w:p>
        </w:tc>
        <w:tc>
          <w:tcPr>
            <w:tcW w:w="7880" w:type="dxa"/>
            <w:tcBorders/>
            <w:shd w:fill="CCEEFF" w:val="clear"/>
            <w:vAlign w:val="center"/>
          </w:tcPr>
          <w:p>
            <w:pPr>
              <w:pStyle w:val="TableContents"/>
              <w:bidi w:val="0"/>
              <w:spacing w:before="0" w:after="283"/>
              <w:jc w:val="left"/>
              <w:rPr/>
            </w:pPr>
            <w:r>
              <w:rPr/>
              <w:t>Issuance of Additional Shares, ADSs etc</w:t>
            </w:r>
          </w:p>
        </w:tc>
        <w:tc>
          <w:tcPr>
            <w:tcW w:w="410" w:type="dxa"/>
            <w:tcBorders/>
            <w:shd w:fill="CCEEFF" w:val="clear"/>
            <w:vAlign w:val="center"/>
          </w:tcPr>
          <w:p>
            <w:pPr>
              <w:pStyle w:val="TableContents"/>
              <w:bidi w:val="0"/>
              <w:spacing w:before="0" w:after="283"/>
              <w:jc w:val="right"/>
              <w:rPr/>
            </w:pPr>
            <w:r>
              <w:rPr/>
              <w:t>36</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5.8</w:t>
            </w:r>
          </w:p>
        </w:tc>
        <w:tc>
          <w:tcPr>
            <w:tcW w:w="7880" w:type="dxa"/>
            <w:tcBorders/>
            <w:shd w:fill="FFFFFF" w:val="clear"/>
            <w:vAlign w:val="center"/>
          </w:tcPr>
          <w:p>
            <w:pPr>
              <w:pStyle w:val="TableContents"/>
              <w:bidi w:val="0"/>
              <w:spacing w:before="0" w:after="283"/>
              <w:jc w:val="left"/>
              <w:rPr/>
            </w:pPr>
            <w:r>
              <w:rPr/>
              <w:t>Indemnification</w:t>
            </w:r>
          </w:p>
        </w:tc>
        <w:tc>
          <w:tcPr>
            <w:tcW w:w="410" w:type="dxa"/>
            <w:tcBorders/>
            <w:shd w:fill="FFFFFF" w:val="clear"/>
            <w:vAlign w:val="center"/>
          </w:tcPr>
          <w:p>
            <w:pPr>
              <w:pStyle w:val="TableContents"/>
              <w:bidi w:val="0"/>
              <w:spacing w:before="0" w:after="283"/>
              <w:jc w:val="right"/>
              <w:rPr/>
            </w:pPr>
            <w:r>
              <w:rPr/>
              <w:t>37</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5.9</w:t>
            </w:r>
          </w:p>
        </w:tc>
        <w:tc>
          <w:tcPr>
            <w:tcW w:w="7880" w:type="dxa"/>
            <w:tcBorders/>
            <w:shd w:fill="CCEEFF" w:val="clear"/>
            <w:vAlign w:val="center"/>
          </w:tcPr>
          <w:p>
            <w:pPr>
              <w:pStyle w:val="TableContents"/>
              <w:bidi w:val="0"/>
              <w:spacing w:before="0" w:after="283"/>
              <w:jc w:val="left"/>
              <w:rPr/>
            </w:pPr>
            <w:r>
              <w:rPr/>
              <w:t>ADS Fees and Charges</w:t>
            </w:r>
          </w:p>
        </w:tc>
        <w:tc>
          <w:tcPr>
            <w:tcW w:w="410" w:type="dxa"/>
            <w:tcBorders/>
            <w:shd w:fill="CCEEFF" w:val="clear"/>
            <w:vAlign w:val="center"/>
          </w:tcPr>
          <w:p>
            <w:pPr>
              <w:pStyle w:val="TableContents"/>
              <w:bidi w:val="0"/>
              <w:spacing w:before="0" w:after="283"/>
              <w:jc w:val="right"/>
              <w:rPr/>
            </w:pPr>
            <w:r>
              <w:rPr/>
              <w:t>38</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5.10</w:t>
            </w:r>
          </w:p>
        </w:tc>
        <w:tc>
          <w:tcPr>
            <w:tcW w:w="7880" w:type="dxa"/>
            <w:tcBorders/>
            <w:shd w:fill="FFFFFF" w:val="clear"/>
            <w:vAlign w:val="center"/>
          </w:tcPr>
          <w:p>
            <w:pPr>
              <w:pStyle w:val="TableContents"/>
              <w:bidi w:val="0"/>
              <w:spacing w:before="0" w:after="283"/>
              <w:jc w:val="left"/>
              <w:rPr/>
            </w:pPr>
            <w:r>
              <w:rPr/>
              <w:t>Restricted Securities Owners</w:t>
            </w:r>
          </w:p>
        </w:tc>
        <w:tc>
          <w:tcPr>
            <w:tcW w:w="410" w:type="dxa"/>
            <w:tcBorders/>
            <w:shd w:fill="FFFFFF" w:val="clear"/>
            <w:vAlign w:val="center"/>
          </w:tcPr>
          <w:p>
            <w:pPr>
              <w:pStyle w:val="TableContents"/>
              <w:bidi w:val="0"/>
              <w:spacing w:before="0" w:after="283"/>
              <w:jc w:val="right"/>
              <w:rPr/>
            </w:pPr>
            <w:r>
              <w:rPr/>
              <w:t>39</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1384" w:type="dxa"/>
            <w:gridSpan w:val="2"/>
            <w:tcBorders/>
            <w:shd w:fill="FFFFFF" w:val="clear"/>
            <w:vAlign w:val="center"/>
          </w:tcPr>
          <w:p>
            <w:pPr>
              <w:pStyle w:val="TableContents"/>
              <w:bidi w:val="0"/>
              <w:spacing w:before="0" w:after="283"/>
              <w:jc w:val="left"/>
              <w:rPr/>
            </w:pPr>
            <w:r>
              <w:rPr/>
              <w:t>ARTICLE VI</w:t>
            </w:r>
          </w:p>
        </w:tc>
        <w:tc>
          <w:tcPr>
            <w:tcW w:w="78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9264" w:type="dxa"/>
            <w:gridSpan w:val="3"/>
            <w:tcBorders/>
            <w:shd w:fill="FFFFFF" w:val="clear"/>
            <w:vAlign w:val="center"/>
          </w:tcPr>
          <w:p>
            <w:pPr>
              <w:pStyle w:val="TableContents"/>
              <w:bidi w:val="0"/>
              <w:spacing w:before="0" w:after="283"/>
              <w:jc w:val="left"/>
              <w:rPr/>
            </w:pPr>
            <w:r>
              <w:rPr/>
              <w:t>AMENDMENT AND TERMINATION</w:t>
            </w:r>
          </w:p>
        </w:tc>
        <w:tc>
          <w:tcPr>
            <w:tcW w:w="410" w:type="dxa"/>
            <w:tcBorders/>
            <w:shd w:fill="FFFFFF" w:val="clear"/>
            <w:vAlign w:val="center"/>
          </w:tcPr>
          <w:p>
            <w:pPr>
              <w:pStyle w:val="TableContents"/>
              <w:bidi w:val="0"/>
              <w:spacing w:before="0" w:after="283"/>
              <w:jc w:val="right"/>
              <w:rPr/>
            </w:pPr>
            <w:r>
              <w:rPr/>
              <w:t>39</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6.1</w:t>
            </w:r>
          </w:p>
        </w:tc>
        <w:tc>
          <w:tcPr>
            <w:tcW w:w="7880" w:type="dxa"/>
            <w:tcBorders/>
            <w:shd w:fill="CCEEFF" w:val="clear"/>
            <w:vAlign w:val="center"/>
          </w:tcPr>
          <w:p>
            <w:pPr>
              <w:pStyle w:val="TableContents"/>
              <w:bidi w:val="0"/>
              <w:spacing w:before="0" w:after="283"/>
              <w:jc w:val="left"/>
              <w:rPr/>
            </w:pPr>
            <w:r>
              <w:rPr/>
              <w:t>Amendment/Supplement</w:t>
            </w:r>
          </w:p>
        </w:tc>
        <w:tc>
          <w:tcPr>
            <w:tcW w:w="410" w:type="dxa"/>
            <w:tcBorders/>
            <w:shd w:fill="CCEEFF" w:val="clear"/>
            <w:vAlign w:val="center"/>
          </w:tcPr>
          <w:p>
            <w:pPr>
              <w:pStyle w:val="TableContents"/>
              <w:bidi w:val="0"/>
              <w:spacing w:before="0" w:after="283"/>
              <w:jc w:val="right"/>
              <w:rPr/>
            </w:pPr>
            <w:r>
              <w:rPr/>
              <w:t>39</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6.2</w:t>
            </w:r>
          </w:p>
        </w:tc>
        <w:tc>
          <w:tcPr>
            <w:tcW w:w="7880" w:type="dxa"/>
            <w:tcBorders/>
            <w:shd w:fill="FFFFFF" w:val="clear"/>
            <w:vAlign w:val="center"/>
          </w:tcPr>
          <w:p>
            <w:pPr>
              <w:pStyle w:val="TableContents"/>
              <w:bidi w:val="0"/>
              <w:spacing w:before="0" w:after="283"/>
              <w:jc w:val="left"/>
              <w:rPr/>
            </w:pPr>
            <w:r>
              <w:rPr/>
              <w:t>Termination</w:t>
            </w:r>
          </w:p>
        </w:tc>
        <w:tc>
          <w:tcPr>
            <w:tcW w:w="410" w:type="dxa"/>
            <w:tcBorders/>
            <w:shd w:fill="FFFFFF" w:val="clear"/>
            <w:vAlign w:val="center"/>
          </w:tcPr>
          <w:p>
            <w:pPr>
              <w:pStyle w:val="TableContents"/>
              <w:bidi w:val="0"/>
              <w:spacing w:before="0" w:after="283"/>
              <w:jc w:val="right"/>
              <w:rPr/>
            </w:pPr>
            <w:r>
              <w:rPr/>
              <w:t>40</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9264" w:type="dxa"/>
            <w:gridSpan w:val="3"/>
            <w:tcBorders/>
            <w:shd w:fill="FFFFFF" w:val="clear"/>
            <w:vAlign w:val="center"/>
          </w:tcPr>
          <w:p>
            <w:pPr>
              <w:pStyle w:val="TableContents"/>
              <w:bidi w:val="0"/>
              <w:spacing w:before="0" w:after="283"/>
              <w:jc w:val="left"/>
              <w:rPr/>
            </w:pPr>
            <w:r>
              <w:rPr/>
              <w:t>ARTICLE VII</w:t>
            </w:r>
          </w:p>
        </w:tc>
        <w:tc>
          <w:tcPr>
            <w:tcW w:w="410" w:type="dxa"/>
            <w:tcBorders/>
            <w:shd w:fill="FFFFFF" w:val="clear"/>
            <w:vAlign w:val="center"/>
          </w:tcPr>
          <w:p>
            <w:pPr>
              <w:pStyle w:val="TableContents"/>
              <w:bidi w:val="0"/>
              <w:spacing w:before="0" w:after="283"/>
              <w:jc w:val="right"/>
              <w:rPr/>
            </w:pPr>
            <w:r>
              <w:rPr/>
              <w:t> </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9264" w:type="dxa"/>
            <w:gridSpan w:val="3"/>
            <w:tcBorders/>
            <w:shd w:fill="FFFFFF" w:val="clear"/>
            <w:vAlign w:val="center"/>
          </w:tcPr>
          <w:p>
            <w:pPr>
              <w:pStyle w:val="TableContents"/>
              <w:bidi w:val="0"/>
              <w:spacing w:before="0" w:after="283"/>
              <w:jc w:val="left"/>
              <w:rPr/>
            </w:pPr>
            <w:r>
              <w:rPr/>
              <w:t>MISCELLANEOUS</w:t>
            </w:r>
          </w:p>
        </w:tc>
        <w:tc>
          <w:tcPr>
            <w:tcW w:w="410" w:type="dxa"/>
            <w:tcBorders/>
            <w:shd w:fill="FFFFFF" w:val="clear"/>
            <w:vAlign w:val="center"/>
          </w:tcPr>
          <w:p>
            <w:pPr>
              <w:pStyle w:val="TableContents"/>
              <w:bidi w:val="0"/>
              <w:spacing w:before="0" w:after="283"/>
              <w:jc w:val="right"/>
              <w:rPr/>
            </w:pPr>
            <w:r>
              <w:rPr/>
              <w:t>42</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7.1</w:t>
            </w:r>
          </w:p>
        </w:tc>
        <w:tc>
          <w:tcPr>
            <w:tcW w:w="7880" w:type="dxa"/>
            <w:tcBorders/>
            <w:shd w:fill="CCEEFF" w:val="clear"/>
            <w:vAlign w:val="center"/>
          </w:tcPr>
          <w:p>
            <w:pPr>
              <w:pStyle w:val="TableContents"/>
              <w:bidi w:val="0"/>
              <w:spacing w:before="0" w:after="283"/>
              <w:jc w:val="left"/>
              <w:rPr/>
            </w:pPr>
            <w:r>
              <w:rPr/>
              <w:t>Counterparts</w:t>
            </w:r>
          </w:p>
        </w:tc>
        <w:tc>
          <w:tcPr>
            <w:tcW w:w="410" w:type="dxa"/>
            <w:tcBorders/>
            <w:shd w:fill="CCEEFF" w:val="clear"/>
            <w:vAlign w:val="center"/>
          </w:tcPr>
          <w:p>
            <w:pPr>
              <w:pStyle w:val="TableContents"/>
              <w:bidi w:val="0"/>
              <w:spacing w:before="0" w:after="283"/>
              <w:jc w:val="right"/>
              <w:rPr/>
            </w:pPr>
            <w:r>
              <w:rPr/>
              <w:t>42</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7.2</w:t>
            </w:r>
          </w:p>
        </w:tc>
        <w:tc>
          <w:tcPr>
            <w:tcW w:w="7880" w:type="dxa"/>
            <w:tcBorders/>
            <w:shd w:fill="FFFFFF" w:val="clear"/>
            <w:vAlign w:val="center"/>
          </w:tcPr>
          <w:p>
            <w:pPr>
              <w:pStyle w:val="TableContents"/>
              <w:bidi w:val="0"/>
              <w:spacing w:before="0" w:after="283"/>
              <w:jc w:val="left"/>
              <w:rPr/>
            </w:pPr>
            <w:r>
              <w:rPr/>
              <w:t>No Third Party Beneficiaries/Acknowledgments</w:t>
            </w:r>
          </w:p>
        </w:tc>
        <w:tc>
          <w:tcPr>
            <w:tcW w:w="410" w:type="dxa"/>
            <w:tcBorders/>
            <w:shd w:fill="FFFFFF" w:val="clear"/>
            <w:vAlign w:val="center"/>
          </w:tcPr>
          <w:p>
            <w:pPr>
              <w:pStyle w:val="TableContents"/>
              <w:bidi w:val="0"/>
              <w:spacing w:before="0" w:after="283"/>
              <w:jc w:val="right"/>
              <w:rPr/>
            </w:pPr>
            <w:r>
              <w:rPr/>
              <w:t>42</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7.3</w:t>
            </w:r>
          </w:p>
        </w:tc>
        <w:tc>
          <w:tcPr>
            <w:tcW w:w="7880" w:type="dxa"/>
            <w:tcBorders/>
            <w:shd w:fill="CCEEFF" w:val="clear"/>
            <w:vAlign w:val="center"/>
          </w:tcPr>
          <w:p>
            <w:pPr>
              <w:pStyle w:val="TableContents"/>
              <w:bidi w:val="0"/>
              <w:spacing w:before="0" w:after="283"/>
              <w:jc w:val="left"/>
              <w:rPr/>
            </w:pPr>
            <w:r>
              <w:rPr/>
              <w:t>Severability</w:t>
            </w:r>
          </w:p>
        </w:tc>
        <w:tc>
          <w:tcPr>
            <w:tcW w:w="410" w:type="dxa"/>
            <w:tcBorders/>
            <w:shd w:fill="CCEEFF" w:val="clear"/>
            <w:vAlign w:val="center"/>
          </w:tcPr>
          <w:p>
            <w:pPr>
              <w:pStyle w:val="TableContents"/>
              <w:bidi w:val="0"/>
              <w:spacing w:before="0" w:after="283"/>
              <w:jc w:val="right"/>
              <w:rPr/>
            </w:pPr>
            <w:r>
              <w:rPr/>
              <w:t>42</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7.4</w:t>
            </w:r>
          </w:p>
        </w:tc>
        <w:tc>
          <w:tcPr>
            <w:tcW w:w="7880" w:type="dxa"/>
            <w:tcBorders/>
            <w:shd w:fill="FFFFFF" w:val="clear"/>
            <w:vAlign w:val="center"/>
          </w:tcPr>
          <w:p>
            <w:pPr>
              <w:pStyle w:val="TableContents"/>
              <w:bidi w:val="0"/>
              <w:spacing w:before="0" w:after="283"/>
              <w:jc w:val="left"/>
              <w:rPr/>
            </w:pPr>
            <w:r>
              <w:rPr/>
              <w:t>Holders and Beneficial Owners as Parties; Binding Effect</w:t>
            </w:r>
          </w:p>
        </w:tc>
        <w:tc>
          <w:tcPr>
            <w:tcW w:w="410" w:type="dxa"/>
            <w:tcBorders/>
            <w:shd w:fill="FFFFFF" w:val="clear"/>
            <w:vAlign w:val="center"/>
          </w:tcPr>
          <w:p>
            <w:pPr>
              <w:pStyle w:val="TableContents"/>
              <w:bidi w:val="0"/>
              <w:spacing w:before="0" w:after="283"/>
              <w:jc w:val="right"/>
              <w:rPr/>
            </w:pPr>
            <w:r>
              <w:rPr/>
              <w:t>42</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7.5</w:t>
            </w:r>
          </w:p>
        </w:tc>
        <w:tc>
          <w:tcPr>
            <w:tcW w:w="7880" w:type="dxa"/>
            <w:tcBorders/>
            <w:shd w:fill="CCEEFF" w:val="clear"/>
            <w:vAlign w:val="center"/>
          </w:tcPr>
          <w:p>
            <w:pPr>
              <w:pStyle w:val="TableContents"/>
              <w:bidi w:val="0"/>
              <w:spacing w:before="0" w:after="283"/>
              <w:jc w:val="left"/>
              <w:rPr/>
            </w:pPr>
            <w:r>
              <w:rPr/>
              <w:t>Notices</w:t>
            </w:r>
          </w:p>
        </w:tc>
        <w:tc>
          <w:tcPr>
            <w:tcW w:w="410" w:type="dxa"/>
            <w:tcBorders/>
            <w:shd w:fill="CCEEFF" w:val="clear"/>
            <w:vAlign w:val="center"/>
          </w:tcPr>
          <w:p>
            <w:pPr>
              <w:pStyle w:val="TableContents"/>
              <w:bidi w:val="0"/>
              <w:spacing w:before="0" w:after="283"/>
              <w:jc w:val="right"/>
              <w:rPr/>
            </w:pPr>
            <w:r>
              <w:rPr/>
              <w:t>43</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7.6</w:t>
            </w:r>
          </w:p>
        </w:tc>
        <w:tc>
          <w:tcPr>
            <w:tcW w:w="7880" w:type="dxa"/>
            <w:tcBorders/>
            <w:shd w:fill="FFFFFF" w:val="clear"/>
            <w:vAlign w:val="center"/>
          </w:tcPr>
          <w:p>
            <w:pPr>
              <w:pStyle w:val="TableContents"/>
              <w:bidi w:val="0"/>
              <w:spacing w:before="0" w:after="283"/>
              <w:jc w:val="left"/>
              <w:rPr/>
            </w:pPr>
            <w:r>
              <w:rPr/>
              <w:t>Governing Law and Jurisdiction</w:t>
            </w:r>
          </w:p>
        </w:tc>
        <w:tc>
          <w:tcPr>
            <w:tcW w:w="410" w:type="dxa"/>
            <w:tcBorders/>
            <w:shd w:fill="FFFFFF" w:val="clear"/>
            <w:vAlign w:val="center"/>
          </w:tcPr>
          <w:p>
            <w:pPr>
              <w:pStyle w:val="TableContents"/>
              <w:bidi w:val="0"/>
              <w:spacing w:before="0" w:after="283"/>
              <w:jc w:val="right"/>
              <w:rPr/>
            </w:pPr>
            <w:r>
              <w:rPr/>
              <w:t>43</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7.7</w:t>
            </w:r>
          </w:p>
        </w:tc>
        <w:tc>
          <w:tcPr>
            <w:tcW w:w="7880" w:type="dxa"/>
            <w:tcBorders/>
            <w:shd w:fill="CCEEFF" w:val="clear"/>
            <w:vAlign w:val="center"/>
          </w:tcPr>
          <w:p>
            <w:pPr>
              <w:pStyle w:val="TableContents"/>
              <w:bidi w:val="0"/>
              <w:spacing w:before="0" w:after="283"/>
              <w:jc w:val="left"/>
              <w:rPr/>
            </w:pPr>
            <w:r>
              <w:rPr/>
              <w:t>Assignment</w:t>
            </w:r>
          </w:p>
        </w:tc>
        <w:tc>
          <w:tcPr>
            <w:tcW w:w="410" w:type="dxa"/>
            <w:tcBorders/>
            <w:shd w:fill="CCEEFF" w:val="clear"/>
            <w:vAlign w:val="center"/>
          </w:tcPr>
          <w:p>
            <w:pPr>
              <w:pStyle w:val="TableContents"/>
              <w:bidi w:val="0"/>
              <w:spacing w:before="0" w:after="283"/>
              <w:jc w:val="right"/>
              <w:rPr/>
            </w:pPr>
            <w:r>
              <w:rPr/>
              <w:t>45</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7.8</w:t>
            </w:r>
          </w:p>
        </w:tc>
        <w:tc>
          <w:tcPr>
            <w:tcW w:w="7880" w:type="dxa"/>
            <w:tcBorders/>
            <w:shd w:fill="FFFFFF" w:val="clear"/>
            <w:vAlign w:val="center"/>
          </w:tcPr>
          <w:p>
            <w:pPr>
              <w:pStyle w:val="TableContents"/>
              <w:bidi w:val="0"/>
              <w:spacing w:before="0" w:after="283"/>
              <w:jc w:val="left"/>
              <w:rPr/>
            </w:pPr>
            <w:r>
              <w:rPr/>
              <w:t>Compliance with, and No Disclaimer under, U.S. Securities Laws</w:t>
            </w:r>
          </w:p>
        </w:tc>
        <w:tc>
          <w:tcPr>
            <w:tcW w:w="410" w:type="dxa"/>
            <w:tcBorders/>
            <w:shd w:fill="FFFFFF" w:val="clear"/>
            <w:vAlign w:val="center"/>
          </w:tcPr>
          <w:p>
            <w:pPr>
              <w:pStyle w:val="TableContents"/>
              <w:bidi w:val="0"/>
              <w:spacing w:before="0" w:after="283"/>
              <w:jc w:val="right"/>
              <w:rPr/>
            </w:pPr>
            <w:r>
              <w:rPr/>
              <w:t>45</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Section 7.9</w:t>
            </w:r>
          </w:p>
        </w:tc>
        <w:tc>
          <w:tcPr>
            <w:tcW w:w="7880" w:type="dxa"/>
            <w:tcBorders/>
            <w:shd w:fill="CCEEFF" w:val="clear"/>
            <w:vAlign w:val="center"/>
          </w:tcPr>
          <w:p>
            <w:pPr>
              <w:pStyle w:val="TableContents"/>
              <w:bidi w:val="0"/>
              <w:spacing w:before="0" w:after="283"/>
              <w:jc w:val="left"/>
              <w:rPr/>
            </w:pPr>
            <w:r>
              <w:rPr/>
              <w:t>French Law References</w:t>
            </w:r>
          </w:p>
        </w:tc>
        <w:tc>
          <w:tcPr>
            <w:tcW w:w="410" w:type="dxa"/>
            <w:tcBorders/>
            <w:shd w:fill="CCEEFF" w:val="clear"/>
            <w:vAlign w:val="center"/>
          </w:tcPr>
          <w:p>
            <w:pPr>
              <w:pStyle w:val="TableContents"/>
              <w:bidi w:val="0"/>
              <w:spacing w:before="0" w:after="283"/>
              <w:jc w:val="right"/>
              <w:rPr/>
            </w:pPr>
            <w:r>
              <w:rPr/>
              <w:t>46</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Section 7.10</w:t>
            </w:r>
          </w:p>
        </w:tc>
        <w:tc>
          <w:tcPr>
            <w:tcW w:w="7880" w:type="dxa"/>
            <w:tcBorders/>
            <w:shd w:fill="FFFFFF" w:val="clear"/>
            <w:vAlign w:val="center"/>
          </w:tcPr>
          <w:p>
            <w:pPr>
              <w:pStyle w:val="TableContents"/>
              <w:bidi w:val="0"/>
              <w:spacing w:before="0" w:after="283"/>
              <w:jc w:val="left"/>
              <w:rPr/>
            </w:pPr>
            <w:r>
              <w:rPr/>
              <w:t>Titles and References</w:t>
            </w:r>
          </w:p>
        </w:tc>
        <w:tc>
          <w:tcPr>
            <w:tcW w:w="410" w:type="dxa"/>
            <w:tcBorders/>
            <w:shd w:fill="FFFFFF" w:val="clear"/>
            <w:vAlign w:val="center"/>
          </w:tcPr>
          <w:p>
            <w:pPr>
              <w:pStyle w:val="TableContents"/>
              <w:bidi w:val="0"/>
              <w:spacing w:before="0" w:after="283"/>
              <w:jc w:val="right"/>
              <w:rPr/>
            </w:pPr>
            <w:r>
              <w:rPr/>
              <w:t>46</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EXHIBITS</w:t>
            </w:r>
          </w:p>
        </w:tc>
        <w:tc>
          <w:tcPr>
            <w:tcW w:w="78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r>
      <w:tr>
        <w:trPr/>
        <w:tc>
          <w:tcPr>
            <w:tcW w:w="8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left"/>
              <w:rPr/>
            </w:pPr>
            <w:r>
              <w:rPr/>
              <w:t> </w:t>
            </w:r>
          </w:p>
        </w:tc>
        <w:tc>
          <w:tcPr>
            <w:tcW w:w="7880" w:type="dxa"/>
            <w:tcBorders/>
            <w:shd w:fill="CCEEFF" w:val="clear"/>
            <w:vAlign w:val="center"/>
          </w:tcPr>
          <w:p>
            <w:pPr>
              <w:pStyle w:val="TableContents"/>
              <w:bidi w:val="0"/>
              <w:spacing w:before="0" w:after="283"/>
              <w:jc w:val="left"/>
              <w:rPr/>
            </w:pPr>
            <w:r>
              <w:rPr/>
              <w:t>Form of ADR.</w:t>
            </w:r>
          </w:p>
        </w:tc>
        <w:tc>
          <w:tcPr>
            <w:tcW w:w="410" w:type="dxa"/>
            <w:tcBorders/>
            <w:shd w:fill="CCEEFF" w:val="clear"/>
            <w:vAlign w:val="center"/>
          </w:tcPr>
          <w:p>
            <w:pPr>
              <w:pStyle w:val="TableContents"/>
              <w:bidi w:val="0"/>
              <w:spacing w:before="0" w:after="283"/>
              <w:jc w:val="right"/>
              <w:rPr/>
            </w:pPr>
            <w:r>
              <w:rPr/>
              <w:t>A-1</w:t>
            </w:r>
          </w:p>
        </w:tc>
      </w:tr>
      <w:tr>
        <w:trPr/>
        <w:tc>
          <w:tcPr>
            <w:tcW w:w="8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 </w:t>
            </w:r>
          </w:p>
        </w:tc>
        <w:tc>
          <w:tcPr>
            <w:tcW w:w="7880" w:type="dxa"/>
            <w:tcBorders/>
            <w:shd w:fill="FFFFFF" w:val="clear"/>
            <w:vAlign w:val="center"/>
          </w:tcPr>
          <w:p>
            <w:pPr>
              <w:pStyle w:val="TableContents"/>
              <w:bidi w:val="0"/>
              <w:spacing w:before="0" w:after="283"/>
              <w:jc w:val="left"/>
              <w:rPr/>
            </w:pPr>
            <w:r>
              <w:rPr/>
              <w:t>Fee Schedule.</w:t>
            </w:r>
          </w:p>
        </w:tc>
        <w:tc>
          <w:tcPr>
            <w:tcW w:w="410" w:type="dxa"/>
            <w:tcBorders/>
            <w:shd w:fill="FFFFFF" w:val="clear"/>
            <w:vAlign w:val="center"/>
          </w:tcPr>
          <w:p>
            <w:pPr>
              <w:pStyle w:val="TableContents"/>
              <w:bidi w:val="0"/>
              <w:spacing w:before="0" w:after="283"/>
              <w:jc w:val="right"/>
              <w:rPr/>
            </w:pPr>
            <w:r>
              <w:rPr/>
              <w:t>B-1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dated as of October 24, 2023, by and among (i)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and its successors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(ii) CITIBANK, N.A., a national banking association organized under the laws of the United States of America (“</w:t>
      </w:r>
      <w:r>
        <w:rPr>
          <w:rFonts w:ascii="Times New Roman;Times;Serif" w:hAnsi="Times New Roman;Times;Serif"/>
          <w:b w:val="false"/>
          <w:i w:val="false"/>
          <w:caps w:val="false"/>
          <w:smallCaps w:val="false"/>
          <w:sz w:val="20"/>
          <w:u w:val="single"/>
        </w:rPr>
        <w:t>Citibank</w:t>
      </w:r>
      <w:r>
        <w:rPr>
          <w:rFonts w:ascii="Times New Roman;Times;Serif" w:hAnsi="Times New Roman;Times;Serif"/>
          <w:b w:val="false"/>
          <w:i w:val="false"/>
          <w:caps w:val="false"/>
          <w:smallCaps w:val="false"/>
          <w:sz w:val="20"/>
        </w:rPr>
        <w:t>”) acting in its capacity as depositary, and any successor depositary hereunder (Citibank in such capacity,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(iii) all Holders and Beneficial Owners of American Depositary Shares issued hereunder (all such capitalized terms as hereinafter defined).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I T N E S S E T H T H A 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 xml:space="preserve">the Company desires to establish with the Depositary an ADR (as hereinafter defined) facility to provide,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for the deposit of the 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Depositary is willing to act as the Depositary for such ADR facility upon the terms set forth in the Deposit Agreement (as hereinafter defined);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any American Depositary Receipts issued pursuant to the terms of the Deposit Agreement are to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with appropriate insertions, modifications and omissions, as hereinafter provided in the Deposit Agreement;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the parties hereto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used, but not otherwise defined, herein shall have the meanings set forth below, unless otherwise clearly indicated: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ADS Record Date</w:t>
      </w:r>
      <w:r>
        <w:rPr>
          <w:rFonts w:ascii="Times New Roman;Times;Serif" w:hAnsi="Times New Roman;Times;Serif"/>
          <w:b w:val="false"/>
          <w:i w:val="false"/>
          <w:caps w:val="false"/>
          <w:smallCaps w:val="false"/>
          <w:sz w:val="20"/>
        </w:rPr>
        <w:t>” shall have the meaning given to such term in Section 4.9.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shall have the meaning assigned to such term by the Commission (as hereinafter defined) under Regulation C promulgated under the Securities Act (as hereinafter defined), or under any successor regulation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American Depositary Receipt(s)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ADR(s)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Receipt(s)</w:t>
      </w:r>
      <w:r>
        <w:rPr>
          <w:rFonts w:ascii="Times New Roman;Times;Serif" w:hAnsi="Times New Roman;Times;Serif"/>
          <w:b w:val="false"/>
          <w:i w:val="false"/>
          <w:caps w:val="false"/>
          <w:smallCaps w:val="false"/>
          <w:sz w:val="20"/>
        </w:rPr>
        <w:t>” shall mean the certificate(s) issued by the Depositary to 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American Depositary Share(s)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ADS(s)</w:t>
      </w:r>
      <w:r>
        <w:rPr>
          <w:rFonts w:ascii="Times New Roman;Times;Serif" w:hAnsi="Times New Roman;Times;Serif"/>
          <w:b w:val="false"/>
          <w:i w:val="false"/>
          <w:caps w:val="false"/>
          <w:smallCaps w:val="false"/>
          <w:sz w:val="20"/>
        </w:rPr>
        <w:t>” shall mean the rights and interests in the Deposited Property (as hereinafter defined) granted to the Holders and Beneficial Owners pursuant to the terms and conditions of the Deposit Agreement and , if issued as Certificated ADS(s) (as hereinafter defined), the ADR(s) issued to evidence such ADSs. ADS(s) may be issued under the terms of the Deposit Agreement in the form of (a) 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Exhibit A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Beneficial Owner</w:t>
      </w:r>
      <w:r>
        <w:rPr>
          <w:rFonts w:ascii="Times New Roman;Times;Serif" w:hAnsi="Times New Roman;Times;Serif"/>
          <w:b w:val="false"/>
          <w:i w:val="false"/>
          <w:caps w:val="false"/>
          <w:smallCaps w:val="false"/>
          <w:sz w:val="20"/>
        </w:rPr>
        <w:t>” shall mean, as to any ADS, any person or entity having a beneficial interest deriving from the ownership 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w:t>
      </w:r>
      <w:r>
        <w:rPr>
          <w:rFonts w:ascii="Times New Roman;Times;Serif" w:hAnsi="Times New Roman;Times;Serif"/>
          <w:b/>
          <w:i w:val="false"/>
          <w:caps w:val="false"/>
          <w:smallCaps w:val="false"/>
          <w:sz w:val="20"/>
          <w:u w:val="single"/>
        </w:rPr>
        <w:t>By-laws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shall mean the by-laws (</w:t>
      </w:r>
      <w:r>
        <w:rPr>
          <w:rFonts w:ascii="Times New Roman;Times;Serif" w:hAnsi="Times New Roman;Times;Serif"/>
          <w:b w:val="false"/>
          <w:i/>
          <w:caps w:val="false"/>
          <w:smallCaps w:val="false"/>
          <w:sz w:val="20"/>
        </w:rPr>
        <w:t>statuts</w:t>
      </w:r>
      <w:r>
        <w:rPr>
          <w:rFonts w:ascii="Times New Roman;Times;Serif" w:hAnsi="Times New Roman;Times;Serif"/>
          <w:b w:val="false"/>
          <w:i w:val="false"/>
          <w:caps w:val="false"/>
          <w:smallCaps w:val="false"/>
          <w:sz w:val="20"/>
        </w:rPr>
        <w:t>)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Certificated ADS(s)</w:t>
      </w:r>
      <w:r>
        <w:rPr>
          <w:rFonts w:ascii="Times New Roman;Times;Serif" w:hAnsi="Times New Roman;Times;Serif"/>
          <w:b w:val="false"/>
          <w:i w:val="false"/>
          <w:caps w:val="false"/>
          <w:smallCaps w:val="false"/>
          <w:sz w:val="20"/>
        </w:rPr>
        <w:t>” shall have the meaning set forth in Section 2.13.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Citibank</w:t>
      </w:r>
      <w:r>
        <w:rPr>
          <w:rFonts w:ascii="Times New Roman;Times;Serif" w:hAnsi="Times New Roman;Times;Serif"/>
          <w:b w:val="false"/>
          <w:i w:val="false"/>
          <w:caps w:val="false"/>
          <w:smallCaps w:val="false"/>
          <w:sz w:val="20"/>
        </w:rPr>
        <w:t>” shall mean Citibank, N.A., a national banking association organized under the laws of the United States of America, and its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shall mean the Securities and Exchange Commission of the United States or any successor governmental agency thereto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shall mean Abivax SA, a company incorporated and existing under the laws of France, and its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Custodian</w:t>
      </w:r>
      <w:r>
        <w:rPr>
          <w:rFonts w:ascii="Times New Roman;Times;Serif" w:hAnsi="Times New Roman;Times;Serif"/>
          <w:b w:val="false"/>
          <w:i w:val="false"/>
          <w:caps w:val="false"/>
          <w:smallCaps w:val="false"/>
          <w:sz w:val="20"/>
        </w:rPr>
        <w:t>” shall mean (i) as of the date hereof, Citibank Europe plc having its principal office at 1 North Wall Quay, Dublin 1, Ireland ,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Deliver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Delivery</w:t>
      </w:r>
      <w:r>
        <w:rPr>
          <w:rFonts w:ascii="Times New Roman;Times;Serif" w:hAnsi="Times New Roman;Times;Serif"/>
          <w:b w:val="false"/>
          <w:i w:val="false"/>
          <w:caps w:val="false"/>
          <w:smallCaps w:val="false"/>
          <w:sz w:val="20"/>
        </w:rPr>
        <w:t>” shall mean (x) when used in respect of Shares and other Deposited Securities, either (i) the physical delivery of the certificate(s) representing such securities, or (ii) the book-entry transfer and recordation of such securities on the books of the Share Registrar (as hereinafter defined) or in the applicable book-entry settlement system, and (y) when used in respect of ADSs, either (i) the physical delivery of ADR(s) evidencing the ADSs, or (ii) the book-entry transfer and recordation of ADSs on the books of the Depositary or any book-entry settlement system in which the ADSs are settlement-eligible.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Deposit Agreement</w:t>
      </w:r>
      <w:r>
        <w:rPr>
          <w:rFonts w:ascii="Times New Roman;Times;Serif" w:hAnsi="Times New Roman;Times;Serif"/>
          <w:b w:val="false"/>
          <w:i w:val="false"/>
          <w:caps w:val="false"/>
          <w:smallCaps w:val="false"/>
          <w:sz w:val="20"/>
        </w:rPr>
        <w:t>” shall mean this Deposit Agreement and all exhibits hereto, as the same may from time to time be amended and supplemented from time to time in accordance with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Depositary</w:t>
      </w:r>
      <w:r>
        <w:rPr>
          <w:rFonts w:ascii="Times New Roman;Times;Serif" w:hAnsi="Times New Roman;Times;Serif"/>
          <w:b w:val="false"/>
          <w:i w:val="false"/>
          <w:caps w:val="false"/>
          <w:smallCaps w:val="false"/>
          <w:sz w:val="20"/>
        </w:rPr>
        <w:t>” shall mean Citibank, N.A., a national banking association organized under the laws of the United States, in its capacity as depositary under the terms of the Deposit Agreement, and any successor depositary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Deposited Property</w:t>
      </w:r>
      <w:r>
        <w:rPr>
          <w:rFonts w:ascii="Times New Roman;Times;Serif" w:hAnsi="Times New Roman;Times;Serif"/>
          <w:b w:val="false"/>
          <w:i w:val="false"/>
          <w:caps w:val="false"/>
          <w:smallCaps w:val="false"/>
          <w:sz w:val="20"/>
        </w:rPr>
        <w:t>” shall mean the Deposited Securities and any cash and other property held on deposit by the Depositary 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Deposited Securities</w:t>
      </w:r>
      <w:r>
        <w:rPr>
          <w:rFonts w:ascii="Times New Roman;Times;Serif" w:hAnsi="Times New Roman;Times;Serif"/>
          <w:b w:val="false"/>
          <w:i w:val="false"/>
          <w:caps w:val="false"/>
          <w:smallCaps w:val="false"/>
          <w:sz w:val="20"/>
        </w:rPr>
        <w:t>” shall mean the Shares and any other securities held on deposit by the Custodian from time to time in respect of the ADSs under the Deposit Agreement and constituting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w:t>
      </w:r>
      <w:r>
        <w:rPr>
          <w:rFonts w:ascii="Times New Roman;Times;Serif" w:hAnsi="Times New Roman;Times;Serif"/>
          <w:b w:val="false"/>
          <w:i w:val="false"/>
          <w:caps w:val="false"/>
          <w:smallCaps w:val="false"/>
          <w:sz w:val="20"/>
        </w:rPr>
        <w:t>” shall refer to the lawful currency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DTC</w:t>
      </w:r>
      <w:r>
        <w:rPr>
          <w:rFonts w:ascii="Times New Roman;Times;Serif" w:hAnsi="Times New Roman;Times;Serif"/>
          <w:b w:val="false"/>
          <w:i w:val="false"/>
          <w:caps w:val="false"/>
          <w:smallCaps w:val="false"/>
          <w:sz w:val="20"/>
        </w:rPr>
        <w:t>” shall mean The Depository Trust Company, a national clearinghouse and the central book-entry settlement system for securities traded in the United States and, as such, the custodian for the securities of DTC Participants (as hereinafter defined) maintained in DTC, and any successor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DTC Participant</w:t>
      </w:r>
      <w:r>
        <w:rPr>
          <w:rFonts w:ascii="Times New Roman;Times;Serif" w:hAnsi="Times New Roman;Times;Serif"/>
          <w:b w:val="false"/>
          <w:i w:val="false"/>
          <w:caps w:val="false"/>
          <w:smallCaps w:val="false"/>
          <w:sz w:val="20"/>
        </w:rPr>
        <w:t>” shall mean any financial institution (or any nominee of such institution) having one or more participant 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Euros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shall refer to the lawful currency of France.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shall mean the United States Securities Exchange Act of 1934, as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Foreign Currency</w:t>
      </w:r>
      <w:r>
        <w:rPr>
          <w:rFonts w:ascii="Times New Roman;Times;Serif" w:hAnsi="Times New Roman;Times;Serif"/>
          <w:b w:val="false"/>
          <w:i w:val="false"/>
          <w:caps w:val="false"/>
          <w:smallCaps w:val="false"/>
          <w:sz w:val="20"/>
        </w:rPr>
        <w:t>” shall mean any currency other than Dollars.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Full Entitlement ADR(s)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Full Entitlement ADS(s)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Full Entitlement Share(s)</w:t>
      </w:r>
      <w:r>
        <w:rPr>
          <w:rFonts w:ascii="Times New Roman;Times;Serif" w:hAnsi="Times New Roman;Times;Serif"/>
          <w:b w:val="false"/>
          <w:i w:val="false"/>
          <w:caps w:val="false"/>
          <w:smallCaps w:val="false"/>
          <w:sz w:val="20"/>
        </w:rPr>
        <w:t>” shall have the respective meanings set forth in Section 2.12.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Holder(s)</w:t>
      </w:r>
      <w:r>
        <w:rPr>
          <w:rFonts w:ascii="Times New Roman;Times;Serif" w:hAnsi="Times New Roman;Times;Serif"/>
          <w:b w:val="false"/>
          <w:i w:val="false"/>
          <w:caps w:val="false"/>
          <w:smallCaps w:val="false"/>
          <w:sz w:val="20"/>
        </w:rPr>
        <w:t>” shall mean the person(s) in whose name the ADSs are registered on the books of the Depositary (or the Registrar, if 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Partial Entitlement ADR(s)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Partial Entitlement ADS(s)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Partial Entitlement Share(s)</w:t>
      </w:r>
      <w:r>
        <w:rPr>
          <w:rFonts w:ascii="Times New Roman;Times;Serif" w:hAnsi="Times New Roman;Times;Serif"/>
          <w:b w:val="false"/>
          <w:i w:val="false"/>
          <w:caps w:val="false"/>
          <w:smallCaps w:val="false"/>
          <w:sz w:val="20"/>
        </w:rPr>
        <w:t>” shall have the respective meanings set forth in Section 2.12.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Principal Office</w:t>
      </w:r>
      <w:r>
        <w:rPr>
          <w:rFonts w:ascii="Times New Roman;Times;Serif" w:hAnsi="Times New Roman;Times;Serif"/>
          <w:b w:val="false"/>
          <w:i w:val="false"/>
          <w:caps w:val="false"/>
          <w:smallCaps w:val="false"/>
          <w:sz w:val="20"/>
        </w:rPr>
        <w:t>” shall mean, when used with respect to the Depositary, the principal office of the Depositary at which at any particular time its depositary receipts business shall be administered, which, at the date of the Deposit Agreement, is located at 388 Greenwich Street, New York, New York 10013,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Registrar</w:t>
      </w:r>
      <w:r>
        <w:rPr>
          <w:rFonts w:ascii="Times New Roman;Times;Serif" w:hAnsi="Times New Roman;Times;Serif"/>
          <w:b w:val="false"/>
          <w:i w:val="false"/>
          <w:caps w:val="false"/>
          <w:smallCaps w:val="false"/>
          <w:sz w:val="20"/>
        </w:rPr>
        <w:t>” shall mean the Depositary or any bank or trust company having an office in the Borough of Manhattan, The City of 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Restricted Securities</w:t>
      </w:r>
      <w:r>
        <w:rPr>
          <w:rFonts w:ascii="Times New Roman;Times;Serif" w:hAnsi="Times New Roman;Times;Serif"/>
          <w:b w:val="false"/>
          <w:i w:val="false"/>
          <w:caps w:val="false"/>
          <w:smallCaps w:val="false"/>
          <w:sz w:val="20"/>
        </w:rPr>
        <w:t>” shall mean Shares, Deposited Securities or ADSs which (i) have been acquired directly or indirectly 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France, or under a shareholder agreement or the By-laws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Restricted ADR(s)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Restricted ADS(s)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Restricted Shares</w:t>
      </w:r>
      <w:r>
        <w:rPr>
          <w:rFonts w:ascii="Times New Roman;Times;Serif" w:hAnsi="Times New Roman;Times;Serif"/>
          <w:b w:val="false"/>
          <w:i w:val="false"/>
          <w:caps w:val="false"/>
          <w:smallCaps w:val="false"/>
          <w:sz w:val="20"/>
        </w:rPr>
        <w:t>” shall have the respective meanings set forth in Section 2.14.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United States Securities Act of 1933, as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Share Registrar</w:t>
      </w:r>
      <w:r>
        <w:rPr>
          <w:rFonts w:ascii="Times New Roman;Times;Serif" w:hAnsi="Times New Roman;Times;Serif"/>
          <w:b w:val="false"/>
          <w:i w:val="false"/>
          <w:caps w:val="false"/>
          <w:smallCaps w:val="false"/>
          <w:sz w:val="20"/>
        </w:rPr>
        <w:t>” shall mean Uptevia or any other institution organized under the laws of France appointed by the Company from time to time to carry out the duties of registrar for the Shares, and any successor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shall mean the Company’s ordinary shares, par value €0.01 per share, validly issued and outstanding 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Uncertificated ADS(s)</w:t>
      </w:r>
      <w:r>
        <w:rPr>
          <w:rFonts w:ascii="Times New Roman;Times;Serif" w:hAnsi="Times New Roman;Times;Serif"/>
          <w:b w:val="false"/>
          <w:i w:val="false"/>
          <w:caps w:val="false"/>
          <w:smallCaps w:val="false"/>
          <w:sz w:val="20"/>
        </w:rPr>
        <w:t>” shall have the meaning set forth in Section 2.13.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U.S.</w:t>
      </w:r>
      <w:r>
        <w:rPr>
          <w:rFonts w:ascii="Times New Roman;Times;Serif" w:hAnsi="Times New Roman;Times;Serif"/>
          <w:b w:val="false"/>
          <w:i w:val="false"/>
          <w:caps w:val="false"/>
          <w:smallCaps w:val="false"/>
          <w:sz w:val="20"/>
        </w:rPr>
        <w:t>” shall have the meaning assigned to it in Regulation S as promulgated by the Commission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DEPOSITARY; FORM OF RECEIPTS;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OF SHARES; EXECUTION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TRANSFER AND SURRENDER OF RECEIPTS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Appointment of Depositary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hereby appoints the Depositary as depositary for the Deposited Property and 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subject to Section 7.11,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Form and Transferability of ADSs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Form</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Certificated ADSs shall be evidenced by definitive ADRs which shall be engraved, printed, lithographed or produced in such other manner as may be agreed upon by the Company and the Depositary. ADRs may be issued under the Deposit Agreement in denominations of any whole number of ADSs. The ADRs shall be substantially in the form set forth in Exhibit A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Legends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ADRs may be endorsed with, or have incorporated in the text thereof, such legends or recitals not inconsistent with the provisions of the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Title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Subject to the limitations contained herein and in the ADR, title to an ADR (and to each Certificated ADS evidenced thereby) 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Book-Entry Systems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Depositary shall make arrangements for the acceptance of the ADSs into DTC. All ADSs held through DTC 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Deposit of Shares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Subject to the terms and conditions of the Deposit Agreement and applicable law, Shares or evidence of 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in the case of Shares represented by certificates issued in registered form, appropriate instruments of transfer or endorsement, in a form satisfactory to the Custodian, and (ii) in the case of Shares delivered by book-entry transfer and recordation, confirmation of the book-entry transfer and recordation in the books of the Share Registrar or the applicable book-entry settlement system, as applicable, 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France,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France and any necessary approval has been granted by any applicable governmental body in France,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By-laws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2.4  </w:t>
      </w:r>
      <w:r>
        <w:rPr>
          <w:rFonts w:ascii="Times New Roman;Times;Serif" w:hAnsi="Times New Roman;Times;Serif"/>
          <w:b/>
          <w:i w:val="false"/>
          <w:caps w:val="false"/>
          <w:smallCaps w:val="false"/>
          <w:sz w:val="20"/>
          <w:u w:val="single"/>
        </w:rPr>
        <w:t>Registration and Safekeeping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instruct the Custodian upon each Delivery of 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2.5  </w:t>
      </w:r>
      <w:r>
        <w:rPr>
          <w:rFonts w:ascii="Times New Roman;Times;Serif" w:hAnsi="Times New Roman;Times;Serif"/>
          <w:b/>
          <w:i w:val="false"/>
          <w:caps w:val="false"/>
          <w:smallCaps w:val="false"/>
          <w:sz w:val="20"/>
          <w:u w:val="single"/>
        </w:rPr>
        <w:t>Issuance of ADSs.</w:t>
      </w:r>
      <w:r>
        <w:rPr>
          <w:rFonts w:ascii="Times New Roman;Times;Serif" w:hAnsi="Times New Roman;Times;Serif"/>
          <w:b w:val="false"/>
          <w:i w:val="false"/>
          <w:caps w:val="false"/>
          <w:smallCaps w:val="false"/>
          <w:sz w:val="20"/>
        </w:rPr>
        <w:t xml:space="preserve"> The Depositary has made arrangements with the Custodian for the Custodian to confirm to the Depositary 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system,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ADS fees and charges of the Depositary for accepting a deposit of Shares and issuing ADSs (as set forth in Section 5.9 and Exhibit B hereto) and all taxes and governmental charges and fees payable in connection with such deposit and the transfer of the Shares and the issuance of the ADS(s). Upon receipt of satisfactory instructions from ADS Holders and payment of applicable taxes and the ADS fees and charges of the Depositary for the issuance, cancellation and conversion of ADSs (as set forth in Section 5.9 and Exhibit B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equal to the number of existing ADSs cancelled of the corresponding series, and (ii) only process such ADS conversion to the extent the Depositary has to the extent applicable instructed the Custodian to transfer the corresponding Shares from and into the applicable custody accounts maintained for the applicable ADS series. The Depositary shall only issue ADSs in whole numbers and deliver, if applicable, ADR(s) evidencing whole numbers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2.6  </w:t>
      </w:r>
      <w:r>
        <w:rPr>
          <w:rFonts w:ascii="Times New Roman;Times;Serif" w:hAnsi="Times New Roman;Times;Serif"/>
          <w:b/>
          <w:i w:val="false"/>
          <w:caps w:val="false"/>
          <w:smallCaps w:val="false"/>
          <w:sz w:val="20"/>
          <w:u w:val="single"/>
        </w:rPr>
        <w:t>Transfer, Combination and Split-up of ADRs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Transfer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Exhibit B hereto) have been paid, subject, however, in each case, to the terms and conditions of the applicable ADRs, of the Deposit Agreement and of applicable law,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Combination &amp; Split-Up</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Exhibit B hereto) have been paid, subject, however, in each case, to the terms and conditions of the applicable ADRs, of the Deposit Agreement and of applicable law,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2.7  </w:t>
      </w:r>
      <w:r>
        <w:rPr>
          <w:rFonts w:ascii="Times New Roman;Times;Serif" w:hAnsi="Times New Roman;Times;Serif"/>
          <w:b/>
          <w:i w:val="false"/>
          <w:caps w:val="false"/>
          <w:smallCaps w:val="false"/>
          <w:sz w:val="20"/>
          <w:u w:val="single"/>
        </w:rPr>
        <w:t>Surrender of ADSs and Withdrawal of Deposited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Holder of ADSs shall be entitled to Delivery (at the 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Exhibit B) have been paid, subject, however, in each case, to the terms and conditions of the ADRs evidencing the surrendered ADSs, of the Deposit Agreement, of the Company’s By-laws and of any applicable laws and the rules of the applicable book-entry settlement system and to any provisions of or governing the Deposited Securities ,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Times;Serif" w:hAnsi="Times New Roman;Times;Serif"/>
          <w:b w:val="false"/>
          <w:i/>
          <w:caps w:val="false"/>
          <w:smallCaps w:val="false"/>
          <w:sz w:val="20"/>
        </w:rPr>
        <w:t xml:space="preserve">subject however, in each case, </w:t>
      </w:r>
      <w:r>
        <w:rPr>
          <w:rFonts w:ascii="Times New Roman;Times;Serif" w:hAnsi="Times New Roman;Times;Serif"/>
          <w:b w:val="false"/>
          <w:i w:val="false"/>
          <w:caps w:val="false"/>
          <w:smallCaps w:val="false"/>
          <w:sz w:val="20"/>
        </w:rPr>
        <w:t>to the terms and conditions of the Deposit Agreement, of the ADRs evidencing the ADSs so canceled, of the By-laws of the Company, of any applicable laws and of the rules of the applicable book-entry settlement system, and to the terms and conditions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satisfactory instructions from ADS Holders and payment of applicable taxes and the ADS fees and charges of the Depositary for the issuance, cancellation, and conversion of ADSs (as set forth in Section 5.9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2.8  </w:t>
      </w:r>
      <w:r>
        <w:rPr>
          <w:rFonts w:ascii="Times New Roman;Times;Serif" w:hAnsi="Times New Roman;Times;Serif"/>
          <w:b/>
          <w:i w:val="false"/>
          <w:caps w:val="false"/>
          <w:smallCaps w:val="false"/>
          <w:sz w:val="20"/>
          <w:u w:val="single"/>
        </w:rPr>
        <w:t>Limitations on Execution and Delivery, Transfer, etc. of ADSs; Suspension of Delivery, Transfer, etc</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Additional Requirements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As a condition precedent to the execution and Delivery, the registration of issuance, transfer, split-up, 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Exhibit B, (ii) the production of proof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Additional Limitations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Regulatory Restrictions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Notwithstanding any provision of the Deposit Agreement or any ADR(s)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2.9  </w:t>
      </w:r>
      <w:r>
        <w:rPr>
          <w:rFonts w:ascii="Times New Roman;Times;Serif" w:hAnsi="Times New Roman;Times;Serif"/>
          <w:b/>
          <w:i w:val="false"/>
          <w:caps w:val="false"/>
          <w:smallCaps w:val="false"/>
          <w:sz w:val="20"/>
          <w:u w:val="single"/>
        </w:rPr>
        <w:t>Lost ADRs,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case any ADR shall be mutilated, destroyed, lost, or stolen, the Depositary shall execute and deliver a new ADR of like tenor at the expense of the Holder (a) in the case of a mutilated ADR, in exchange of and substitution for such mutilated ADR upon cancellation thereof, or (b) in the case of a destroyed, lost or stolen ADR,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2.10  </w:t>
      </w:r>
      <w:r>
        <w:rPr>
          <w:rFonts w:ascii="Times New Roman;Times;Serif" w:hAnsi="Times New Roman;Times;Serif"/>
          <w:b/>
          <w:i w:val="false"/>
          <w:caps w:val="false"/>
          <w:smallCaps w:val="false"/>
          <w:sz w:val="20"/>
          <w:u w:val="single"/>
        </w:rPr>
        <w:t>Cancellation and Destruction of Surrendered ADRs; Maintenance of 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ADRs surrendered to the Depositary shall 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(e.g., through accounts at DTC) shall be deemed canceled when the Depositary causes the number of ADSs evidenced by the Balance Certificate to be reduced by the number of ADSs surrendered (without the need to physically destroy the Balance Certificate).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2.11  </w:t>
      </w:r>
      <w:r>
        <w:rPr>
          <w:rFonts w:ascii="Times New Roman;Times;Serif" w:hAnsi="Times New Roman;Times;Serif"/>
          <w:b/>
          <w:i w:val="false"/>
          <w:caps w:val="false"/>
          <w:smallCaps w:val="false"/>
          <w:sz w:val="20"/>
          <w:u w:val="single"/>
        </w:rPr>
        <w:t>Escheatment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any unclaimed property relating to the ADSs, for any reason, is in the possession of the Depositary and 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2.12  </w:t>
      </w:r>
      <w:r>
        <w:rPr>
          <w:rFonts w:ascii="Times New Roman;Times;Serif" w:hAnsi="Times New Roman;Times;Serif"/>
          <w:b/>
          <w:i w:val="false"/>
          <w:caps w:val="false"/>
          <w:smallCaps w:val="false"/>
          <w:sz w:val="20"/>
          <w:u w:val="single"/>
        </w:rPr>
        <w:t>Partial Entitlement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any Shares are deposited which (i) entitle the holders thereof to receive a per-share 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Times;Serif" w:hAnsi="Times New Roman;Times;Serif"/>
          <w:b w:val="false"/>
          <w:i w:val="false"/>
          <w:caps w:val="false"/>
          <w:smallCaps w:val="false"/>
          <w:sz w:val="20"/>
          <w:u w:val="single"/>
        </w:rPr>
        <w:t>Full Entitlement Shares</w:t>
      </w:r>
      <w:r>
        <w:rPr>
          <w:rFonts w:ascii="Times New Roman;Times;Serif" w:hAnsi="Times New Roman;Times;Serif"/>
          <w:b w:val="false"/>
          <w:i w:val="false"/>
          <w:caps w:val="false"/>
          <w:smallCaps w:val="false"/>
          <w:sz w:val="20"/>
        </w:rPr>
        <w:t>” and the Shares with different entitlement, “</w:t>
      </w:r>
      <w:r>
        <w:rPr>
          <w:rFonts w:ascii="Times New Roman;Times;Serif" w:hAnsi="Times New Roman;Times;Serif"/>
          <w:b w:val="false"/>
          <w:i w:val="false"/>
          <w:caps w:val="false"/>
          <w:smallCaps w:val="false"/>
          <w:sz w:val="20"/>
          <w:u w:val="single"/>
        </w:rPr>
        <w:t>Partial Entitlement Shares</w:t>
      </w:r>
      <w:r>
        <w:rPr>
          <w:rFonts w:ascii="Times New Roman;Times;Serif" w:hAnsi="Times New Roman;Times;Serif"/>
          <w:b w:val="false"/>
          <w:i w:val="false"/>
          <w:caps w:val="false"/>
          <w:smallCaps w:val="false"/>
          <w:sz w:val="20"/>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Times;Serif" w:hAnsi="Times New Roman;Times;Serif"/>
          <w:b w:val="false"/>
          <w:i w:val="false"/>
          <w:caps w:val="false"/>
          <w:smallCaps w:val="false"/>
          <w:sz w:val="20"/>
          <w:u w:val="single"/>
        </w:rPr>
        <w:t>Partial Entitlement ADSs/ADRs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Full Entitlement ADSs/ADRs</w:t>
      </w:r>
      <w:r>
        <w:rPr>
          <w:rFonts w:ascii="Times New Roman;Times;Serif" w:hAnsi="Times New Roman;Times;Serif"/>
          <w:b w:val="false"/>
          <w:i w:val="false"/>
          <w:caps w:val="false"/>
          <w:smallCaps w:val="false"/>
          <w:sz w:val="20"/>
        </w:rPr>
        <w:t>”,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Exhibit B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2.13  </w:t>
      </w:r>
      <w:r>
        <w:rPr>
          <w:rFonts w:ascii="Times New Roman;Times;Serif" w:hAnsi="Times New Roman;Times;Serif"/>
          <w:b/>
          <w:i w:val="false"/>
          <w:caps w:val="false"/>
          <w:smallCaps w:val="false"/>
          <w:sz w:val="20"/>
          <w:u w:val="single"/>
        </w:rPr>
        <w:t>Certificated/Uncertificated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the Deposit Agreement, the Depositary may, at any time and from time to time, issue ADSs that are not evidenced by ADRs (such ADSs, the “</w:t>
      </w:r>
      <w:r>
        <w:rPr>
          <w:rFonts w:ascii="Times New Roman;Times;Serif" w:hAnsi="Times New Roman;Times;Serif"/>
          <w:b w:val="false"/>
          <w:i w:val="false"/>
          <w:caps w:val="false"/>
          <w:smallCaps w:val="false"/>
          <w:sz w:val="20"/>
          <w:u w:val="single"/>
        </w:rPr>
        <w:t>Uncertificated ADS(s)</w:t>
      </w:r>
      <w:r>
        <w:rPr>
          <w:rFonts w:ascii="Times New Roman;Times;Serif" w:hAnsi="Times New Roman;Times;Serif"/>
          <w:b w:val="false"/>
          <w:i w:val="false"/>
          <w:caps w:val="false"/>
          <w:smallCaps w:val="false"/>
          <w:sz w:val="20"/>
        </w:rPr>
        <w:t>” and the ADS(s) evidenced by ADR(s), the “</w:t>
      </w:r>
      <w:r>
        <w:rPr>
          <w:rFonts w:ascii="Times New Roman;Times;Serif" w:hAnsi="Times New Roman;Times;Serif"/>
          <w:b w:val="false"/>
          <w:i w:val="false"/>
          <w:caps w:val="false"/>
          <w:smallCaps w:val="false"/>
          <w:sz w:val="20"/>
          <w:u w:val="single"/>
        </w:rPr>
        <w:t>Certificated ADS(s)</w:t>
      </w:r>
      <w:r>
        <w:rPr>
          <w:rFonts w:ascii="Times New Roman;Times;Serif" w:hAnsi="Times New Roman;Times;Serif"/>
          <w:b w:val="false"/>
          <w:i w:val="false"/>
          <w:caps w:val="false"/>
          <w:smallCaps w:val="false"/>
          <w:sz w:val="20"/>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2.14  </w:t>
      </w:r>
      <w:r>
        <w:rPr>
          <w:rFonts w:ascii="Times New Roman;Times;Serif" w:hAnsi="Times New Roman;Times;Serif"/>
          <w:b/>
          <w:i w:val="false"/>
          <w:caps w:val="false"/>
          <w:smallCaps w:val="false"/>
          <w:sz w:val="20"/>
          <w:u w:val="single"/>
        </w:rPr>
        <w:t>Restricted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at the request and expense of the Company, establish procedures enabling the deposit hereunder of Shares that are Restricted Securities in order to enable the holder of such Shares to hold its ownership interests in such Restricted Securities in the form of ADSs issued under the terms hereof (such Shares, “Restricted Shares”).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“Restricted ADSs,” and the ADRs evidencing such Restricted ADSs, the “Restricted ADRs”). Notwithstanding anything contained in this Section 2.14, the Depositary and the Company may, to the extent not prohibited by law, agree to issue the Restricted ADSs in uncertificated form (“Uncertificated Restricted ADSs”)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inter alia,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Restricted ADRs, the Restricted ADSs and the Restricted Shares cease to be Restricted Securities, the Depositary, upon receipt of (x) an opinion of counsel reasonably satisfactory to the Depositary setting forth,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OBLIGATIONS OF 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BENEFICIAL OWNERS OF ADSs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Proofs, Certificates and Other Information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person presenting Shares for deposit, any Holder and 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Liability for Taxes and Other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tax or other governmental charge payable by the Custodian or by the 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Representations and Warranties on Deposit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person depositing Shares under the Deposit 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Compliance with Information Requests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the Deposit Agreement or any ADR(s), each Holder and Beneficial Owner agrees to comply with requests from the Company pursuant to applicable law, the rules and requirements of any stock exchange on which the Shares or ADSs are, or will be, registered, traded or listed, and/or the By-laws of the Company, which are made to provide information, inter alia,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3.5  </w:t>
      </w:r>
      <w:r>
        <w:rPr>
          <w:rFonts w:ascii="Times New Roman;Times;Serif" w:hAnsi="Times New Roman;Times;Serif"/>
          <w:b/>
          <w:i w:val="false"/>
          <w:caps w:val="false"/>
          <w:smallCaps w:val="false"/>
          <w:sz w:val="20"/>
          <w:u w:val="single"/>
        </w:rPr>
        <w:t>Ownership Restrictions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contained in the Deposit Agreement or any ADR(s) to the contrary, the Company may restrict transfers of the Shares where such transfer might result in ownership of Shares exceeding limits imposed by applicable law or the By-laws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By-laws of the Company. Nothing herein shall be interpreted as obligating the Depositary or the Company to ensure compliance with the ownership restrictions described in this Section 3.5.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3.6  </w:t>
      </w:r>
      <w:r>
        <w:rPr>
          <w:rFonts w:ascii="Times New Roman;Times;Serif" w:hAnsi="Times New Roman;Times;Serif"/>
          <w:b/>
          <w:i w:val="false"/>
          <w:caps w:val="false"/>
          <w:smallCaps w:val="false"/>
          <w:sz w:val="20"/>
          <w:u w:val="single"/>
        </w:rPr>
        <w:t>Reporting Obligations and Regulatory Approvals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DEPOSITED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Cash Distributions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Company intends to make a distribution of a cash dividend or other cash distribution in respect of any Deposited Securities, the Company shall give timely notice thereof to the Depositary at least twenty (20) calendar days (or such other number of days as the Depositary and the Company may agree to in writing from time to time) prior to the proposed distribution specifying, inter alia,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in respect of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Exhibit B,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Distribution in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Company intends to make a distribution that consists of a dividend in, or free distribution of, Shares, the Company shall give timely notice thereof to the Depositary at least twenty (20) calendar days (or such other number of days as the Depositary and the Company may agree to in writing from time to time) prior to the proposed distribution, specifying, inter alia,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val="false"/>
          <w:caps w:val="false"/>
          <w:smallCaps w:val="false"/>
          <w:sz w:val="20"/>
          <w:u w:val="single"/>
        </w:rPr>
        <w:t>Elective Distributions in Cash or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Company intends to make a distribution payable at the election of the holders of Deposited Securities in cash or in additional Shares, the Company shall give timely notice thereof to the Depositary at least sixty (60) calendar days (or such other number of days as the Depositary and the Company may agree to in writing from time to time) prior to the proposed distribution specifying, inter alia,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France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val="false"/>
          <w:caps w:val="false"/>
          <w:smallCaps w:val="false"/>
          <w:sz w:val="20"/>
          <w:u w:val="single"/>
        </w:rPr>
        <w:t>Distribution of Rights to Purchase Additional ADSs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Distribution to ADS Holders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Whenever the Company intends to distribute to the holders of the Deposited Securities rights to subscribe for additional Shares, the Company shall give timely notice thereof to the Depositary at least sixty (60) calendar days (or such other number of days as the Depositary and the Company may agree to in writing from time to time) prior to the proposed distribution specifying, inter alia,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Sale of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(i) the Company does not timely request the Depositary to make the rights available to Holders or requests that the 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Lapse of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the Depositary is unable to make any rights available to Holders upon the terms described in Section 4.4(a) or to arrange for the sale of the rights upon the terms described in Section 4.4(b), the Depositary shall allow such rights to lapse.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4.5  </w:t>
      </w:r>
      <w:r>
        <w:rPr>
          <w:rFonts w:ascii="Times New Roman;Times;Serif" w:hAnsi="Times New Roman;Times;Serif"/>
          <w:b/>
          <w:i w:val="false"/>
          <w:caps w:val="false"/>
          <w:smallCaps w:val="false"/>
          <w:sz w:val="20"/>
          <w:u w:val="single"/>
        </w:rPr>
        <w:t>Distributions Other Than Cash, Shares or Rights to Purchase Shares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4.6  [Intentionally Omitted].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4.7  </w:t>
      </w:r>
      <w:r>
        <w:rPr>
          <w:rFonts w:ascii="Times New Roman;Times;Serif" w:hAnsi="Times New Roman;Times;Serif"/>
          <w:b/>
          <w:i w:val="false"/>
          <w:caps w:val="false"/>
          <w:smallCaps w:val="false"/>
          <w:sz w:val="20"/>
          <w:u w:val="single"/>
        </w:rPr>
        <w:t>Redemption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the Company intends to exercise any right of redemption in respect of any of the Deposited Securities, the Company shall give timely notice thereof to the Depositary at least sixty (60) calendar days (or such other number of days as the Depositary and the Company may agree to in writing from time to time)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applicable taxes), retire ADSs and cancel ADRs ,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4.8  </w:t>
      </w:r>
      <w:r>
        <w:rPr>
          <w:rFonts w:ascii="Times New Roman;Times;Serif" w:hAnsi="Times New Roman;Times;Serif"/>
          <w:b/>
          <w:i w:val="false"/>
          <w:caps w:val="false"/>
          <w:smallCaps w:val="false"/>
          <w:sz w:val="20"/>
          <w:u w:val="single"/>
        </w:rPr>
        <w:t>Conversion of Foreign Currency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Depositary or the Custodian shall receive Foreign Currency, by way of 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B,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4.9  </w:t>
      </w:r>
      <w:r>
        <w:rPr>
          <w:rFonts w:ascii="Times New Roman;Times;Serif" w:hAnsi="Times New Roman;Times;Serif"/>
          <w:b/>
          <w:i w:val="false"/>
          <w:caps w:val="false"/>
          <w:smallCaps w:val="false"/>
          <w:sz w:val="20"/>
          <w:u w:val="single"/>
        </w:rPr>
        <w:t>Fixing of ADS Record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(a) the Depositary shall receive notice of the fixing of a record date by the Company 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France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i w:val="false"/>
          <w:caps w:val="false"/>
          <w:smallCaps w:val="false"/>
          <w:sz w:val="20"/>
          <w:u w:val="single"/>
        </w:rPr>
        <w:t>Voting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calendar days (or such other number of days as the Depositary and the Company may agree to in writing from time to time)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By-laws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By-laws of the Company and the provisions of the Deposited Securities, to vote, or cause the Custodian to vote, the Deposited Securities (in person or by proxy) represented by such Holder’s ADSs in accordance with such voting instructions.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With respect to Deposited Securities represented by ADSs for which no timely voting instructions are received by the Depositary from the Holder, the Depositary shall (unless otherwise specified in the notice distributed to Holders)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(i) the Company does not wish such proxy to be given, (ii) substantial opposition exists, or (iii) the rights of holders of Deposited Securities may be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French laws. The Company agrees to take any and all actions reasonably necessary to enable Holders and Beneficial Owners to exercise the voting rights accruing to the Deposited Securities and to deliver to the Depositary an opinion of U.S. counsel addressing any actions requested to be taken if so requested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receive the notice described above with sufficient time to enable the Holder to return voting instructions to the Depositary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i w:val="false"/>
          <w:caps w:val="false"/>
          <w:smallCaps w:val="false"/>
          <w:sz w:val="20"/>
          <w:u w:val="single"/>
        </w:rPr>
        <w:t>Changes Affecting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any change in nominal or par value, split-up, cancellation, consolidation or 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i w:val="false"/>
          <w:caps w:val="false"/>
          <w:smallCaps w:val="false"/>
          <w:sz w:val="20"/>
          <w:u w:val="single"/>
        </w:rPr>
        <w:t>Available Information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4.13  </w:t>
      </w:r>
      <w:r>
        <w:rPr>
          <w:rFonts w:ascii="Times New Roman;Times;Serif" w:hAnsi="Times New Roman;Times;Serif"/>
          <w:b/>
          <w:i w:val="false"/>
          <w:caps w:val="false"/>
          <w:smallCaps w:val="false"/>
          <w:sz w:val="20"/>
          <w:u w:val="single"/>
        </w:rPr>
        <w:t>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4.14  </w:t>
      </w:r>
      <w:r>
        <w:rPr>
          <w:rFonts w:ascii="Times New Roman;Times;Serif" w:hAnsi="Times New Roman;Times;Serif"/>
          <w:b/>
          <w:i w:val="false"/>
          <w:caps w:val="false"/>
          <w:smallCaps w:val="false"/>
          <w:sz w:val="20"/>
          <w:u w:val="single"/>
        </w:rPr>
        <w:t>List of Holders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Promptly upon written request by the Company, the Depositary shall furnish to it a list, as of a recent date, of the names, addresses and holdings of ADSs of all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4.15  </w:t>
      </w:r>
      <w:r>
        <w:rPr>
          <w:rFonts w:ascii="Times New Roman;Times;Serif" w:hAnsi="Times New Roman;Times;Serif"/>
          <w:b/>
          <w:i w:val="false"/>
          <w:caps w:val="false"/>
          <w:smallCaps w:val="false"/>
          <w:sz w:val="20"/>
          <w:u w:val="single"/>
        </w:rPr>
        <w:t>Taxation</w:t>
      </w:r>
      <w:r>
        <w:rPr>
          <w:rFonts w:ascii="Times New Roman;Times;Serif" w:hAnsi="Times New Roman;Times;Serif"/>
          <w:b w:val="false"/>
          <w:i w:val="false"/>
          <w:caps w:val="false"/>
          <w:smallCaps w:val="false"/>
          <w:sz w:val="20"/>
        </w:rPr>
        <w:t>. The Depositary will, and will instruct the Custodian to, forward to the Company or its agents such information from 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any of its agents) withholds from any distribution any amount on account of taxes or governmental charges, or pays any other tax in respect of such distribution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under no obligation to provide the Holders and Beneficial Owners with any information about the tax status of the Company. Neither the Company nor the Depositary shall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57" w:right="0" w:hanging="0"/>
        <w:jc w:val="center"/>
        <w:rPr>
          <w:caps w:val="false"/>
          <w:smallCaps w:val="false"/>
        </w:rPr>
      </w:pPr>
      <w:r>
        <w:rPr>
          <w:caps w:val="false"/>
          <w:smallCaps w:val="false"/>
        </w:rPr>
        <w:t> </w:t>
      </w:r>
    </w:p>
    <w:p>
      <w:pPr>
        <w:pStyle w:val="TextBody"/>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DEPOSITARY, THE CUSTODIAN AND THE COMPANY</w:t>
      </w:r>
    </w:p>
    <w:p>
      <w:pPr>
        <w:pStyle w:val="TextBody"/>
        <w:bidi w:val="0"/>
        <w:spacing w:before="0" w:after="0"/>
        <w:ind w:left="57"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Maintenance of Office and Transfer Books by the Registrar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Until termination of the Deposit 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notify the Company of any such removal or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Exoneration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contained in the Deposit Agreement or any ADR, neither the Depositary nor the 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France or any other country, or of any other governmental authority or regulatory authority or stock exchange, or on account of potential criminal or civil penalties or restraint, or by reason of any provision, present or future, of the By-laws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By-laws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Standard of Care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the Depositary assume no obligation and shall not be subject to any liability under the Deposit Agreement or any ADRs to any Holder(s) or Beneficial Owner(s), except that the Company and the Depositary agree to perform their respective obligations specifically set forth in the Deposit Agreement or the applicable ADRs without negligence or bad faith.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  </w:t>
      </w:r>
      <w:r>
        <w:rPr>
          <w:rFonts w:ascii="Times New Roman;Times;Serif" w:hAnsi="Times New Roman;Times;Serif"/>
          <w:b/>
          <w:i w:val="false"/>
          <w:caps w:val="false"/>
          <w:smallCaps w:val="false"/>
          <w:sz w:val="20"/>
          <w:u w:val="single"/>
        </w:rPr>
        <w:t>Resignation and Removal of the Depositary; Appointment of Successor Depositary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may at any time resign as Depositary hereunder by written notice of resignation delivered to the Company, such resignation to be effective on the earlier of (i) the 90th calendar day after delivery thereof to the Company (whereupon the Depositary shall be entitled to take the actions contemplated in Section 6.2), or (ii) the appointment by the Company of a successor depositary and its acceptance of such appointment as hereinafter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entity into or with which the Depositary may be merged or consolidated shall be the successor of the Depositary without the execution or filing of any document or any further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5.5  </w:t>
      </w:r>
      <w:r>
        <w:rPr>
          <w:rFonts w:ascii="Times New Roman;Times;Serif" w:hAnsi="Times New Roman;Times;Serif"/>
          <w:b/>
          <w:i w:val="false"/>
          <w:caps w:val="false"/>
          <w:smallCaps w:val="false"/>
          <w:sz w:val="20"/>
          <w:u w:val="single"/>
        </w:rPr>
        <w:t>The Custodian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has initially appointed Citibank Europe plc as Custodian for the purpose of the Deposit Agreement. The Custodian or its successors in acting hereunder shall be authorized to act as custodian in France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5.6  </w:t>
      </w:r>
      <w:r>
        <w:rPr>
          <w:rFonts w:ascii="Times New Roman;Times;Serif" w:hAnsi="Times New Roman;Times;Serif"/>
          <w:b/>
          <w:i w:val="false"/>
          <w:caps w:val="false"/>
          <w:smallCaps w:val="false"/>
          <w:sz w:val="20"/>
          <w:u w:val="single"/>
        </w:rPr>
        <w:t>Notices and 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By-laws of the Company that may be relevant or pertain to such notice of meeting or be the subject of a vote thereat.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transmit to the Depositary (a) an English language version of the other notices, reports and communications which are made generally available by the Company to holders of its Shares or other Deposited Securities, and (b) the English-language version of the Company’s annual and semi-annual reports prepared in accordance with the applicable requirements of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By-laws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5.7  </w:t>
      </w:r>
      <w:r>
        <w:rPr>
          <w:rFonts w:ascii="Times New Roman;Times;Serif" w:hAnsi="Times New Roman;Times;Serif"/>
          <w:b/>
          <w:i w:val="false"/>
          <w:caps w:val="false"/>
          <w:smallCaps w:val="false"/>
          <w:sz w:val="20"/>
          <w:u w:val="single"/>
        </w:rPr>
        <w:t>Issuance of Additional Shares, ADSs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that in the event it or any of its Affiliates proposes (i) an 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French counsel stating that (1) making the transaction available to Holders and Beneficial Owners does not violate the laws or regulations of France and (2) all requisite regulatory consents and approvals have been obtained in France.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Deposit Agreement, nothing in the Deposit Agreement shall be deemed to obligate the Company to file any registration statement in respect of any proposed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5.8  </w:t>
      </w:r>
      <w:r>
        <w:rPr>
          <w:rFonts w:ascii="Times New Roman;Times;Serif" w:hAnsi="Times New Roman;Times;Serif"/>
          <w:b/>
          <w:i w:val="false"/>
          <w:caps w:val="false"/>
          <w:smallCaps w:val="false"/>
          <w:sz w:val="20"/>
          <w:u w:val="single"/>
        </w:rPr>
        <w:t>Indemnification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agrees to indemnify the Company and its directors, officers, employees, agents and Affiliates against, and hold each of them harmless from, any direct loss, liability, tax, charge or expense of any kind whatsoever (including, but not limited to, the reasonable fees and expenses of counsel) which may arise out of acts performed or omitted by the Depositary or the Custodian (for so long as the Custodian is a branch of Citibank) under the terms hereof due to the negligence or bad faith of the Depositary or the Custodian (for so long as the Custodian is a branch of Citibank).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the Custodian (for so long as the Custodian is a branch of Citibank) or its or their respective directors, officers, employees, agents and Affiliates against any taxes imposed on net income of the Depositary or the Custodian or against any liability or expense arising out of information relating to the Depositary or such Custodian, as the case may be, furnished in a signed writing to the Company, executed by the Depositary expressly for use in any registration statement, prospectus, preliminary prospectus or any other offering document relating to the ADRs, the ADSs or any Deposited Securities represented by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set forth in this Section shall survive the termination of the Deposit Agreement and the succession or substitution of any party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5.9  </w:t>
      </w:r>
      <w:r>
        <w:rPr>
          <w:rFonts w:ascii="Times New Roman;Times;Serif" w:hAnsi="Times New Roman;Times;Serif"/>
          <w:b/>
          <w:i w:val="false"/>
          <w:caps w:val="false"/>
          <w:smallCaps w:val="false"/>
          <w:sz w:val="20"/>
          <w:u w:val="single"/>
        </w:rPr>
        <w:t>ADS Fees and Charges</w:t>
      </w:r>
      <w:r>
        <w:rPr>
          <w:rFonts w:ascii="Times New Roman;Times;Serif" w:hAnsi="Times New Roman;Times;Serif"/>
          <w:b w:val="false"/>
          <w:i w:val="false"/>
          <w:caps w:val="false"/>
          <w:smallCaps w:val="false"/>
          <w:sz w:val="20"/>
        </w:rPr>
        <w:t>. The Company, the Holders, the Beneficial Owners, persons depositing Shares or withdrawing Deposited 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Exhibit B.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5.10  </w:t>
      </w:r>
      <w:r>
        <w:rPr>
          <w:rFonts w:ascii="Times New Roman;Times;Serif" w:hAnsi="Times New Roman;Times;Serif"/>
          <w:b/>
          <w:i w:val="false"/>
          <w:caps w:val="false"/>
          <w:smallCaps w:val="false"/>
          <w:sz w:val="20"/>
          <w:u w:val="single"/>
        </w:rPr>
        <w:t>Restricted Securities Owners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to advise in writing each of the persons or entities who, to the knowledge 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Amendment/Supplement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Section 6.1 and applicable law, the ADRs 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calendar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at any time at the written direction of the Company, terminate the Deposit Agreement by distributing notice of such termination to the Holders of all ADSs then outstanding at least thirty (30) calendar days prior to the date fixed in such notice for such termination. If (i) ninety (90) calendar days shall have expired after the Depositary shall have delivered to the Company a written notice of its election to resign, or (ii) ninety (90) calendar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Deposit Agreement, and the Holders and Beneficial Owners will be entitled to all of their rights under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the ADS fees and charges of, and reimbursement of the applicable expenses incurred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 Agreement may be executed in any number of counterparts, each of which shall be deemed an original and all of such counterparts together shall constitute one and the same agreement. Copies of the Deposit Agreement shall be maintained with the Depositary and shall be open to inspection by any Holder during business hours.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No Third-Party Beneficiaries/Acknowledgments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 Agreement is for the exclusive benefit of the parties hereto (and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France,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7.3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case any one or more of the provisions contained in the Deposit Agreement or in the ADRs should be or become invalid, illegal or unenforceable in any respect, the validity, legality and enforceability of the remaining provisions contained herein or therein shall in no way be affected, prejudiced or disturbed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7.4  </w:t>
      </w:r>
      <w:r>
        <w:rPr>
          <w:rFonts w:ascii="Times New Roman;Times;Serif" w:hAnsi="Times New Roman;Times;Serif"/>
          <w:b/>
          <w:i w:val="false"/>
          <w:caps w:val="false"/>
          <w:smallCaps w:val="false"/>
          <w:sz w:val="20"/>
          <w:u w:val="single"/>
        </w:rPr>
        <w:t>Holders and Beneficial Owners as Parties; Binding Effect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Holders and Beneficial Owners from time to time of ADSs issued hereunder shall be parties to the Deposit Agreement and shall be bound by all of the terms and conditions hereof and of any ADR evidencing their ADSs by acceptance thereof or any beneficial interest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7.5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and all notices to be given to the Company shall be deemed to have been duly given if personally delivered or sent by mail, air courier or cable, telex or facsimile transmission, confirmed by letter personally delivered or sent by mail or air courier, addressed to 7-11 boulevard Haussmann 75009 Paris, France, Attention: Didier Blondel, Chief Financial Officer and Corporate Secretary, or to any other address which the Company may specify in writing to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Times;Serif" w:hAnsi="Times New Roman;Times;Serif"/>
          <w:b w:val="false"/>
          <w:i w:val="false"/>
          <w:caps w:val="false"/>
          <w:smallCaps w:val="false"/>
          <w:sz w:val="20"/>
          <w:u w:val="single"/>
        </w:rPr>
        <w:t>Attention</w:t>
      </w:r>
      <w:r>
        <w:rPr>
          <w:rFonts w:ascii="Times New Roman;Times;Serif" w:hAnsi="Times New Roman;Times;Serif"/>
          <w:b w:val="false"/>
          <w:i w:val="false"/>
          <w:caps w:val="false"/>
          <w:smallCaps w:val="false"/>
          <w:sz w:val="20"/>
        </w:rPr>
        <w:t>: Depositary Receipts Department, or to any other address which the Depositary may specify in writing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7.6  </w:t>
      </w:r>
      <w:r>
        <w:rPr>
          <w:rFonts w:ascii="Times New Roman;Times;Serif" w:hAnsi="Times New Roman;Times;Serif"/>
          <w:b/>
          <w:i w:val="false"/>
          <w:caps w:val="false"/>
          <w:smallCaps w:val="false"/>
          <w:sz w:val="20"/>
          <w:u w:val="single"/>
        </w:rPr>
        <w:t>Governing Law and Jurisdiction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 Agreement, the ADRs and the ADSs shall be interpreted in accordance with, 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France (or, if applicable, such other laws as may govern the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C T Corporation System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now at 1015 15th Street N.W., Suite 1000, Washington, D.C. 20005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Depositary and the Company unconditionally agree that in the event of any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7.6 shall survive any termination of the Deposit Agreement, in whole or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7.7  </w:t>
      </w:r>
      <w:r>
        <w:rPr>
          <w:rFonts w:ascii="Times New Roman;Times;Serif" w:hAnsi="Times New Roman;Times;Serif"/>
          <w:b/>
          <w:i w:val="false"/>
          <w:caps w:val="false"/>
          <w:smallCaps w:val="false"/>
          <w:sz w:val="20"/>
          <w:u w:val="single"/>
        </w:rPr>
        <w:t>Assignment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provisions of Section 5.4, the Deposit Agreement may not be assigned by either the Company or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7.8  </w:t>
      </w:r>
      <w:r>
        <w:rPr>
          <w:rFonts w:ascii="Times New Roman;Times;Serif" w:hAnsi="Times New Roman;Times;Serif"/>
          <w:b/>
          <w:i w:val="false"/>
          <w:caps w:val="false"/>
          <w:smallCaps w:val="false"/>
          <w:sz w:val="20"/>
          <w:u w:val="single"/>
        </w:rPr>
        <w:t>Compliance with, and No Disclaimer under, U.S. Securities Laws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45 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7.9  </w:t>
      </w:r>
      <w:r>
        <w:rPr>
          <w:rFonts w:ascii="Times New Roman;Times;Serif" w:hAnsi="Times New Roman;Times;Serif"/>
          <w:b/>
          <w:i w:val="false"/>
          <w:caps w:val="false"/>
          <w:smallCaps w:val="false"/>
          <w:sz w:val="20"/>
          <w:u w:val="single"/>
        </w:rPr>
        <w:t>French Law References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summary of French laws and regulations and of the terms of the Company’s By-laws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By-laws may change after the date of the Deposit Agreement. Neither the Depositary nor the Company has any obligation under the terms of the Deposit Agreement to update any such summaries.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7.10  </w:t>
      </w:r>
      <w:r>
        <w:rPr>
          <w:rFonts w:ascii="Times New Roman;Times;Serif" w:hAnsi="Times New Roman;Times;Serif"/>
          <w:b/>
          <w:i w:val="false"/>
          <w:caps w:val="false"/>
          <w:smallCaps w:val="false"/>
          <w:sz w:val="20"/>
          <w:u w:val="single"/>
        </w:rPr>
        <w:t>Titles and References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Deposit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references in the Deposit Agreement to exhibits, articles, sections, subsections, and other subdivisions refer 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ADRs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references in any ADR(s) to paragraphs, exhibits, articles, sections, subsections, and other subdivisions 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vice versa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of the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46 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ABIVAX SA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pStyle w:val="TextBody"/>
        <w:bidi w:val="0"/>
        <w:spacing w:before="0" w:after="0"/>
        <w:ind w:left="0" w:right="0" w:firstLine="72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485"/>
        <w:gridCol w:w="2975"/>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pPr>
            <w:r>
              <w:rPr/>
              <w:t>ABIVAX SA</w:t>
            </w:r>
          </w:p>
        </w:tc>
      </w:tr>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By:  </w:t>
            </w:r>
          </w:p>
        </w:tc>
        <w:tc>
          <w:tcPr>
            <w:tcW w:w="2975" w:type="dxa"/>
            <w:tcBorders>
              <w:bottom w:val="single" w:sz="8" w:space="0" w:color="000000"/>
            </w:tcBorders>
            <w:tcMar>
              <w:bottom w:w="28" w:type="dxa"/>
            </w:tcMar>
            <w:vAlign w:val="center"/>
          </w:tcPr>
          <w:p>
            <w:pPr>
              <w:pStyle w:val="TableContents"/>
              <w:bidi w:val="0"/>
              <w:spacing w:before="0" w:after="283"/>
              <w:jc w:val="left"/>
              <w:rPr/>
            </w:pPr>
            <w:r>
              <w:rPr/>
              <w:t>/s/ Marc de Garidel</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Name: Marc de Garidel</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pPr>
            <w:r>
              <w:rPr/>
              <w:t>CITIBANK, N.A.</w:t>
            </w:r>
          </w:p>
        </w:tc>
      </w:tr>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By:  </w:t>
            </w:r>
          </w:p>
        </w:tc>
        <w:tc>
          <w:tcPr>
            <w:tcW w:w="2975" w:type="dxa"/>
            <w:tcBorders>
              <w:bottom w:val="single" w:sz="8" w:space="0" w:color="000000"/>
            </w:tcBorders>
            <w:tcMar>
              <w:bottom w:w="28" w:type="dxa"/>
            </w:tcMar>
            <w:vAlign w:val="center"/>
          </w:tcPr>
          <w:p>
            <w:pPr>
              <w:pStyle w:val="TableContents"/>
              <w:bidi w:val="0"/>
              <w:spacing w:before="0" w:after="283"/>
              <w:jc w:val="left"/>
              <w:rPr/>
            </w:pPr>
            <w:r>
              <w:rPr/>
              <w:t>/s/ Leslie DeLuca</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Name: Leslie DeLuca</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Title:   Attorney-in-Fact</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jc w:val="center"/>
        <w:rPr>
          <w:i/>
          <w:bdr w:val="single" w:sz="8" w:space="1" w:color="000000"/>
        </w:rPr>
      </w:pPr>
      <w:r>
        <w:rPr>
          <w:i/>
          <w:bdr w:val="single" w:sz="8" w:space="1" w:color="000000"/>
        </w:rPr>
        <w:t>[Signature page to Deposit Agreement]</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ADR]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6"/>
        <w:gridCol w:w="8849"/>
      </w:tblGrid>
      <w:tr>
        <w:trPr/>
        <w:tc>
          <w:tcPr>
            <w:tcW w:w="1356" w:type="dxa"/>
            <w:tcBorders/>
            <w:vAlign w:val="center"/>
          </w:tcPr>
          <w:p>
            <w:pPr>
              <w:pStyle w:val="TableContents"/>
              <w:bidi w:val="0"/>
              <w:spacing w:before="0" w:after="283"/>
              <w:jc w:val="left"/>
              <w:rPr/>
            </w:pPr>
            <w:r>
              <w:rPr/>
              <w:t>Number</w:t>
            </w:r>
          </w:p>
        </w:tc>
        <w:tc>
          <w:tcPr>
            <w:tcW w:w="8849" w:type="dxa"/>
            <w:tcBorders/>
            <w:vAlign w:val="center"/>
          </w:tcPr>
          <w:p>
            <w:pPr>
              <w:pStyle w:val="TableContents"/>
              <w:bidi w:val="0"/>
              <w:spacing w:before="0" w:after="283"/>
              <w:jc w:val="right"/>
              <w:rPr/>
            </w:pPr>
            <w:r>
              <w:rPr/>
              <w:t>CUSIP NUMBER:  _______</w:t>
            </w:r>
          </w:p>
        </w:tc>
      </w:tr>
      <w:tr>
        <w:trPr/>
        <w:tc>
          <w:tcPr>
            <w:tcW w:w="1356" w:type="dxa"/>
            <w:tcBorders/>
            <w:vAlign w:val="center"/>
          </w:tcPr>
          <w:p>
            <w:pPr>
              <w:pStyle w:val="TableContents"/>
              <w:bidi w:val="0"/>
              <w:spacing w:before="0" w:after="283"/>
              <w:jc w:val="left"/>
              <w:rPr/>
            </w:pPr>
            <w:r>
              <w:rPr/>
              <w:t>_____________</w:t>
            </w:r>
          </w:p>
        </w:tc>
        <w:tc>
          <w:tcPr>
            <w:tcW w:w="8849" w:type="dxa"/>
            <w:tcBorders/>
            <w:vAlign w:val="center"/>
          </w:tcPr>
          <w:p>
            <w:pPr>
              <w:pStyle w:val="TableContents"/>
              <w:bidi w:val="0"/>
              <w:spacing w:before="0" w:after="283"/>
              <w:jc w:val="left"/>
              <w:rPr/>
            </w:pPr>
            <w:r>
              <w:rPr/>
              <w:t> </w:t>
            </w:r>
          </w:p>
        </w:tc>
      </w:tr>
      <w:tr>
        <w:trPr/>
        <w:tc>
          <w:tcPr>
            <w:tcW w:w="1356"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left"/>
              <w:rPr/>
            </w:pPr>
            <w:r>
              <w:rPr/>
              <w:t>American Depositary Shares (each American Depositary Share representing the right to receive one (1) fully paid ordinary share)</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RECEIPT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ABIVAX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France)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 national banking association organized and existing under the laws of the United States of America, as depositary (the “Depositary”), hereby certifies that _____________ is the owner of ______________ American Depositary Shares (hereinafter “ADS”) representing deposited ordinary shares, including evidence of rights to receive such ordinary shares (the “Shares”), of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and its successors (the “Company”). As of the date of issuance of this ADR, each ADS represents the right to receive one (1) Share deposited under the Deposit Agreement (as hereinafter defined) with the Custodian, which at the date of issuance of this ADR is Citibank Europe plc (the “Custodian”). The ADS(s)-to-Share(s) ratio is subject to amendment as provided in Articles IV and VI of the Deposit Agreement. The Depositary’s Principal Office is located at 388 Greenwich Street, New York, New York 10013,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The Deposit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American Depositary Receipt is one of an issue of American Depositary Receipts (“ADRs”), all issued and to be issued upon the terms and conditions set forth in the Deposit Agreement, dated as of October 24, 2023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on the face and reverse of this ADR are summaries of certain provisions of the Deposit Agreement and the By-laws of the Company (as in effect on the date of the signing of the Deposit Agreement) and are qualified by and subject to the detailed provisions of the Deposit Agreement and the By-laws, to which reference is hereby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not defined herein shall have the meanings ascribed thereto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Surrender of ADSs and Withdrawal of Deposited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Holder of this ADR (and of the ADSs evidenced hereby) shall be 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have been paid,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to the terms and conditions of this ADR evidencing the surrendered ADSs, of the Deposit Agreement, of the Company’s By-laws and of any applicable laws and the rules of the applicable book entry settlement system, and to any provisions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to the terms and conditions of the Deposit Agreement, of this ADR evidencing the ADS so canceled, of the By-laws of the Company, of any applicable laws and of the rules of the applicable book entry settlement system, and to the terms and conditions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Transfer, Combination and Split-up of ADRs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Registrar shall register the transfer of this ADR (and of the ADSs represented 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have been paid,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xml:space="preserve"> to the terms and conditions of this ADR, of the Deposit Agreement and of applicable law,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have been paid,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to the terms and conditions of this ADR, of the Deposit Agreement and of applicable law,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Pre-Conditions to Registration, Transfer,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 condition precedent to the execution and Delivery, the registration of issuance, 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Compliance With Information Requests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the Deposit Agreement or this ADR, each Holder and Beneficial Owner of the ADSs represented hereby agrees to comply with requests from the Company pursuant to applicable law, the rules and requirements of any stock exchange on which the Shares or ADSs are, or will be, registered, traded or listed, and/or the By-laws of the Company, which are made to provide information,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Ownership Restrictions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contained in this ADR or of the Deposit Agreement to the contrary, the Company may restrict transfers of the Shares where such transfer might result in ownership of Shares exceeding limits imposed by applicable law or the By-laws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By-laws of the Company. Nothing herein or in the Deposit Agreement shall be interpreted as obligating the Depositary or the Company to ensure compliance with the ownership restrictions described herein or in Section 3.5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Reporting Obligations and Regulatory Approvals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Liability for Taxes and Other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tax or other governmental charge payable by the Custodian or by the Depositary with 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Representations and Warranties on Deposit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person depositing Shares under the Deposit 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Proofs, Certificates and Other Information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person presenting Shares for deposit, any Holder and 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ADS Fees and Charges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following ADS fees (some of which may be cumulative) are payable under the terms of the Deposit Agreement: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left"/>
              <w:rPr/>
            </w:pPr>
            <w:r>
              <w:rPr>
                <w:u w:val="single"/>
              </w:rPr>
              <w:t>ADS Issuance Fee</w:t>
            </w:r>
            <w:r>
              <w:rPr/>
              <w:t>: by any person for whom ADSs are issued (</w:t>
            </w:r>
            <w:r>
              <w:rPr>
                <w:i/>
              </w:rPr>
              <w:t>e.g.</w:t>
            </w:r>
            <w:r>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left"/>
              <w:rPr/>
            </w:pPr>
            <w:r>
              <w:rPr>
                <w:u w:val="single"/>
              </w:rPr>
              <w:t>ADS Cancellation Fee</w:t>
            </w:r>
            <w:r>
              <w:rPr/>
              <w:t>: by any person for whom ADSs are being cancelled (</w:t>
            </w:r>
            <w:r>
              <w:rPr>
                <w:i/>
              </w:rPr>
              <w:t>e.g.</w:t>
            </w:r>
            <w:r>
              <w:rPr/>
              <w:t>, a cancellation of ADSs for Delivery of deposited shares, upon a change in the ADS(s)-to-Share(s) ratio, or for any other reason), a fee not in excess of U.S. $5.00 per 100 ADSs (or fraction thereof) cancelled;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9863" w:type="dxa"/>
            <w:tcBorders/>
            <w:vAlign w:val="center"/>
          </w:tcPr>
          <w:p>
            <w:pPr>
              <w:pStyle w:val="TableContents"/>
              <w:bidi w:val="0"/>
              <w:spacing w:before="0" w:after="283"/>
              <w:jc w:val="left"/>
              <w:rPr/>
            </w:pPr>
            <w:r>
              <w:rPr>
                <w:u w:val="single"/>
              </w:rPr>
              <w:t>Cash Distribution Fee</w:t>
            </w:r>
            <w:r>
              <w:rPr/>
              <w:t>: by any Holder of ADSs, a fee not in excess of U.S. $5.00 per 100 ADSs (or fraction thereof) held for the distribution of cash dividends or other cash distributions (</w:t>
            </w:r>
            <w:r>
              <w:rPr>
                <w:i/>
              </w:rPr>
              <w:t>e.g.</w:t>
            </w:r>
            <w:r>
              <w:rPr/>
              <w:t>, upon a sale of rights and other entitlements);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(iv)</w:t>
            </w:r>
          </w:p>
        </w:tc>
        <w:tc>
          <w:tcPr>
            <w:tcW w:w="9869" w:type="dxa"/>
            <w:tcBorders/>
            <w:vAlign w:val="center"/>
          </w:tcPr>
          <w:p>
            <w:pPr>
              <w:pStyle w:val="TableContents"/>
              <w:bidi w:val="0"/>
              <w:spacing w:before="0" w:after="283"/>
              <w:jc w:val="left"/>
              <w:rPr/>
            </w:pPr>
            <w:r>
              <w:rPr>
                <w:u w:val="single"/>
              </w:rPr>
              <w:t>Stock Distribution /Rights Exercise Fee</w:t>
            </w:r>
            <w:r>
              <w:rPr/>
              <w:t>: by any Holder of ADS(s), a fee not in excess of U.S. $5.00 per 100 ADSs (or fraction thereof) held for the distribution of ADSs pursuant to (a) stock dividends or other free stock distributions, or (b) an exercise of rights to purchase additional ADSs;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A-7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(v)</w:t>
            </w:r>
          </w:p>
        </w:tc>
        <w:tc>
          <w:tcPr>
            <w:tcW w:w="9930" w:type="dxa"/>
            <w:tcBorders/>
            <w:vAlign w:val="center"/>
          </w:tcPr>
          <w:p>
            <w:pPr>
              <w:pStyle w:val="TableContents"/>
              <w:bidi w:val="0"/>
              <w:spacing w:before="0" w:after="283"/>
              <w:jc w:val="left"/>
              <w:rPr/>
            </w:pPr>
            <w:r>
              <w:rPr>
                <w:u w:val="single"/>
              </w:rPr>
              <w:t>Other Distribution Fee</w:t>
            </w:r>
            <w:r>
              <w:rPr/>
              <w:t>: by any Holder of ADS(s), a fee not in excess of U.S. $5.00 per 100 ADSs (or fraction thereof) held for the distribution of financial instruments, including, without limitation, securities, other than ADSs or rights to purchase additional ADSs (</w:t>
            </w:r>
            <w:r>
              <w:rPr>
                <w:i/>
              </w:rPr>
              <w:t>e.g.</w:t>
            </w:r>
            <w:r>
              <w:rPr/>
              <w:t>, spin-off shares and contingent value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(vi)</w:t>
            </w:r>
          </w:p>
        </w:tc>
        <w:tc>
          <w:tcPr>
            <w:tcW w:w="9854" w:type="dxa"/>
            <w:tcBorders/>
            <w:vAlign w:val="center"/>
          </w:tcPr>
          <w:p>
            <w:pPr>
              <w:pStyle w:val="TableContents"/>
              <w:bidi w:val="0"/>
              <w:spacing w:before="0" w:after="283"/>
              <w:jc w:val="left"/>
              <w:rPr/>
            </w:pPr>
            <w:r>
              <w:rPr>
                <w:u w:val="single"/>
              </w:rPr>
              <w:t>Depositary Services Fee</w:t>
            </w:r>
            <w:r>
              <w:rPr/>
              <w:t>: by any Holder of ADS(s), a fee not in excess of U.S. $5.00 per 100 ADSs (or fraction thereof) held on the applicable record date(s) established by the Depositary;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(vii)</w:t>
            </w:r>
          </w:p>
        </w:tc>
        <w:tc>
          <w:tcPr>
            <w:tcW w:w="9799" w:type="dxa"/>
            <w:tcBorders/>
            <w:vAlign w:val="center"/>
          </w:tcPr>
          <w:p>
            <w:pPr>
              <w:pStyle w:val="TableContents"/>
              <w:bidi w:val="0"/>
              <w:spacing w:before="0" w:after="283"/>
              <w:jc w:val="left"/>
              <w:rPr/>
            </w:pPr>
            <w:r>
              <w:rPr>
                <w:u w:val="single"/>
              </w:rPr>
              <w:t>Registration of ADS Transfer Fee</w:t>
            </w:r>
            <w:r>
              <w:rPr/>
              <w:t>: by any Holder of ADS(s) being transferred or by any person to whom ADSs are transferred, a fee not in excess of U.S. $5.00 per 100 ADSs (or fraction thereof) transferred;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1"/>
        <w:gridCol w:w="9757"/>
      </w:tblGrid>
      <w:tr>
        <w:trPr/>
        <w:tc>
          <w:tcPr>
            <w:tcW w:w="3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(viii)</w:t>
            </w:r>
          </w:p>
        </w:tc>
        <w:tc>
          <w:tcPr>
            <w:tcW w:w="9757" w:type="dxa"/>
            <w:tcBorders/>
            <w:vAlign w:val="center"/>
          </w:tcPr>
          <w:p>
            <w:pPr>
              <w:pStyle w:val="TableContents"/>
              <w:bidi w:val="0"/>
              <w:spacing w:before="0" w:after="283"/>
              <w:jc w:val="left"/>
              <w:rPr/>
            </w:pPr>
            <w:r>
              <w:rPr>
                <w:u w:val="single"/>
              </w:rPr>
              <w:t>ADS Conversion Fee</w:t>
            </w:r>
            <w:r>
              <w:rPr/>
              <w:t>: by any Holder of ADS(s) being converted or by any person to whom the converted ADSs are delivered, a fee not in excess of U.S. $5.00 per 100 ADSs (or fraction thereof) converted from one ADS series to another ADS series (</w:t>
            </w:r>
            <w:r>
              <w:rPr>
                <w:i/>
              </w:rPr>
              <w:t>e.g.</w:t>
            </w:r>
            <w:r>
              <w:rPr/>
              <w:t xml:space="preserve">, upon conversion of Partial Entitlement ADSs for Full Entitlement ADSs, or upon conversion of Restricted ADSs into freely transferrable ADSs, and </w:t>
            </w:r>
            <w:r>
              <w:rPr>
                <w:i/>
              </w:rPr>
              <w:t>vice versa</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pStyle w:val="TextBody"/>
        <w:bidi w:val="0"/>
        <w:spacing w:before="0" w:after="0"/>
        <w:ind w:left="0" w:right="0" w:firstLine="72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23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790" w:type="dxa"/>
            <w:tcBorders/>
            <w:vAlign w:val="center"/>
          </w:tcPr>
          <w:p>
            <w:pPr>
              <w:pStyle w:val="TableContents"/>
              <w:bidi w:val="0"/>
              <w:spacing w:before="0" w:after="283"/>
              <w:jc w:val="left"/>
              <w:rPr/>
            </w:pPr>
            <w:r>
              <w:rPr/>
              <w:t>taxes (including applicable interest and penalties) and other governmental charges;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left"/>
              <w:rPr/>
            </w:pPr>
            <w:r>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(iii)</w:t>
            </w:r>
          </w:p>
        </w:tc>
        <w:tc>
          <w:tcPr>
            <w:tcW w:w="9865" w:type="dxa"/>
            <w:tcBorders/>
            <w:vAlign w:val="center"/>
          </w:tcPr>
          <w:p>
            <w:pPr>
              <w:pStyle w:val="TableContents"/>
              <w:bidi w:val="0"/>
              <w:spacing w:before="0" w:after="283"/>
              <w:jc w:val="left"/>
              <w:rPr/>
            </w:pPr>
            <w:r>
              <w:rPr/>
              <w:t>such cable, telex and facsimile transmission and delivery expenses as are expressly provided in the Deposit Agreement to be at the expense of the person depositing Shares or withdrawing Deposited Securities or of the Holders and Beneficial Owners of ADSs;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(iv)</w:t>
            </w:r>
          </w:p>
        </w:tc>
        <w:tc>
          <w:tcPr>
            <w:tcW w:w="9871" w:type="dxa"/>
            <w:tcBorders/>
            <w:vAlign w:val="center"/>
          </w:tcPr>
          <w:p>
            <w:pPr>
              <w:pStyle w:val="TableContents"/>
              <w:bidi w:val="0"/>
              <w:spacing w:before="0" w:after="283"/>
              <w:jc w:val="left"/>
              <w:rPr/>
            </w:pPr>
            <w:r>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A-8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(v)</w:t>
            </w:r>
          </w:p>
        </w:tc>
        <w:tc>
          <w:tcPr>
            <w:tcW w:w="9920" w:type="dxa"/>
            <w:tcBorders/>
            <w:vAlign w:val="center"/>
          </w:tcPr>
          <w:p>
            <w:pPr>
              <w:pStyle w:val="TableContents"/>
              <w:bidi w:val="0"/>
              <w:spacing w:before="0" w:after="283"/>
              <w:jc w:val="left"/>
              <w:rPr/>
            </w:pPr>
            <w:r>
              <w:rPr/>
              <w:t>any reasonable and customary out-of-pocket expenses incurred in such conversion and/or on behalf of the Holders and Beneficial Owners in complying with currency exchange control or other governmental requirements;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(vi)</w:t>
            </w:r>
          </w:p>
        </w:tc>
        <w:tc>
          <w:tcPr>
            <w:tcW w:w="9836" w:type="dxa"/>
            <w:tcBorders/>
            <w:vAlign w:val="center"/>
          </w:tcPr>
          <w:p>
            <w:pPr>
              <w:pStyle w:val="TableContents"/>
              <w:bidi w:val="0"/>
              <w:spacing w:before="0" w:after="283"/>
              <w:jc w:val="left"/>
              <w:rPr/>
            </w:pPr>
            <w:r>
              <w:rPr/>
              <w:t>the fees, charges, costs and expenses incurred by the Depositary, the Custodian, or any nominee in connection with the ADR program.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Title to ADRs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limitations contained in the Deposit Agreement and in this ADR, it is a condition of this ADR, and every 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Validity of ADR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Holder(s) of this ADR (and the ADSs represented hereby) shall not be entitled to any benefits under the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Available Information; Reports; Inspection of Transfer Books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is subject to the periodic reporting requirements of the Exchange Act and, accordingly, is required to file or furnish certain reports with the Commission. These reports can be retrieved from the Commission's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294" w:type="dxa"/>
        <w:jc w:val="left"/>
        <w:tblInd w:w="0" w:type="dxa"/>
        <w:tblLayout w:type="fixed"/>
        <w:tblCellMar>
          <w:top w:w="0" w:type="dxa"/>
          <w:left w:w="0" w:type="dxa"/>
          <w:bottom w:w="0" w:type="dxa"/>
          <w:right w:w="0" w:type="dxa"/>
        </w:tblCellMar>
      </w:tblPr>
      <w:tblGrid>
        <w:gridCol w:w="435"/>
        <w:gridCol w:w="2359"/>
        <w:gridCol w:w="60"/>
        <w:gridCol w:w="365"/>
        <w:gridCol w:w="2075"/>
      </w:tblGrid>
      <w:tr>
        <w:trPr/>
        <w:tc>
          <w:tcPr>
            <w:tcW w:w="2794" w:type="dxa"/>
            <w:gridSpan w:val="2"/>
            <w:tcBorders/>
            <w:vAlign w:val="center"/>
          </w:tcPr>
          <w:p>
            <w:pPr>
              <w:pStyle w:val="TableContents"/>
              <w:bidi w:val="0"/>
              <w:spacing w:before="0" w:after="283"/>
              <w:ind w:left="0" w:right="0" w:hanging="0"/>
              <w:jc w:val="left"/>
              <w:rPr/>
            </w:pPr>
            <w:r>
              <w:rPr/>
              <w:t>CITIBANK, N.A.</w:t>
              <w:br/>
              <w:t>Transfer Agent and Registrar</w:t>
            </w:r>
          </w:p>
        </w:tc>
        <w:tc>
          <w:tcPr>
            <w:tcW w:w="60" w:type="dxa"/>
            <w:tcBorders/>
            <w:vAlign w:val="center"/>
          </w:tcPr>
          <w:p>
            <w:pPr>
              <w:pStyle w:val="TableContents"/>
              <w:bidi w:val="0"/>
              <w:spacing w:before="0" w:after="283"/>
              <w:ind w:left="0" w:right="0" w:hanging="0"/>
              <w:jc w:val="left"/>
              <w:rPr/>
            </w:pPr>
            <w:r>
              <w:rPr/>
              <w:t> </w:t>
            </w:r>
          </w:p>
        </w:tc>
        <w:tc>
          <w:tcPr>
            <w:tcW w:w="2440" w:type="dxa"/>
            <w:gridSpan w:val="2"/>
            <w:tcBorders/>
            <w:vAlign w:val="center"/>
          </w:tcPr>
          <w:p>
            <w:pPr>
              <w:pStyle w:val="TableContents"/>
              <w:bidi w:val="0"/>
              <w:spacing w:before="0" w:after="283"/>
              <w:ind w:left="0" w:right="0" w:hanging="0"/>
              <w:jc w:val="left"/>
              <w:rPr/>
            </w:pPr>
            <w:r>
              <w:rPr/>
              <w:t>CITIBANK, N.A.</w:t>
              <w:br/>
              <w:t>as Depositary</w:t>
            </w:r>
          </w:p>
        </w:tc>
      </w:tr>
      <w:tr>
        <w:trPr/>
        <w:tc>
          <w:tcPr>
            <w:tcW w:w="2794"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0" w:type="dxa"/>
            <w:gridSpan w:val="2"/>
            <w:tcBorders/>
            <w:vAlign w:val="center"/>
          </w:tcPr>
          <w:p>
            <w:pPr>
              <w:pStyle w:val="TableContents"/>
              <w:bidi w:val="0"/>
              <w:spacing w:before="0" w:after="283"/>
              <w:ind w:left="0" w:right="0" w:hanging="0"/>
              <w:jc w:val="left"/>
              <w:rPr/>
            </w:pPr>
            <w:r>
              <w:rPr/>
              <w:t> </w:t>
            </w:r>
          </w:p>
        </w:tc>
      </w:tr>
      <w:tr>
        <w:trPr/>
        <w:tc>
          <w:tcPr>
            <w:tcW w:w="435" w:type="dxa"/>
            <w:tcBorders/>
            <w:vAlign w:val="center"/>
          </w:tcPr>
          <w:p>
            <w:pPr>
              <w:pStyle w:val="TableContents"/>
              <w:bidi w:val="0"/>
              <w:spacing w:before="0" w:after="283"/>
              <w:ind w:left="0" w:right="0" w:hanging="0"/>
              <w:jc w:val="left"/>
              <w:rPr/>
            </w:pPr>
            <w:r>
              <w:rPr/>
              <w:t>By:</w:t>
            </w:r>
          </w:p>
        </w:tc>
        <w:tc>
          <w:tcPr>
            <w:tcW w:w="2359" w:type="dxa"/>
            <w:tcBorders>
              <w:bottom w:val="single" w:sz="8" w:space="0" w:color="000000"/>
            </w:tcBorders>
            <w:tcMar>
              <w:bottom w:w="28" w:type="dxa"/>
            </w:tcMar>
            <w:vAlign w:val="center"/>
          </w:tcPr>
          <w:p>
            <w:pPr>
              <w:pStyle w:val="TableContents"/>
              <w:bidi w:val="0"/>
              <w:spacing w:before="0" w:after="283"/>
              <w:ind w:left="0" w:right="0" w:hanging="0"/>
              <w:jc w:val="left"/>
              <w:rPr/>
            </w:pPr>
            <w:r>
              <w:rPr/>
              <w:tab/>
              <w:tab/>
            </w:r>
          </w:p>
        </w:tc>
        <w:tc>
          <w:tcPr>
            <w:tcW w:w="60"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By:</w:t>
            </w:r>
          </w:p>
        </w:tc>
        <w:tc>
          <w:tcPr>
            <w:tcW w:w="2075" w:type="dxa"/>
            <w:tcBorders>
              <w:bottom w:val="single" w:sz="8" w:space="0" w:color="000000"/>
            </w:tcBorders>
            <w:tcMar>
              <w:bottom w:w="28" w:type="dxa"/>
            </w:tcMar>
            <w:vAlign w:val="center"/>
          </w:tcPr>
          <w:p>
            <w:pPr>
              <w:pStyle w:val="TableContents"/>
              <w:bidi w:val="0"/>
              <w:spacing w:before="0" w:after="283"/>
              <w:ind w:left="0" w:right="0" w:hanging="0"/>
              <w:jc w:val="left"/>
              <w:rPr/>
            </w:pPr>
            <w:r>
              <w:rPr/>
              <w:tab/>
              <w:tab/>
            </w:r>
          </w:p>
        </w:tc>
      </w:tr>
      <w:tr>
        <w:trPr/>
        <w:tc>
          <w:tcPr>
            <w:tcW w:w="435" w:type="dxa"/>
            <w:tcBorders/>
            <w:vAlign w:val="center"/>
          </w:tcPr>
          <w:p>
            <w:pPr>
              <w:pStyle w:val="TableContents"/>
              <w:bidi w:val="0"/>
              <w:spacing w:before="0" w:after="283"/>
              <w:ind w:left="0" w:right="0" w:hanging="0"/>
              <w:jc w:val="left"/>
              <w:rPr/>
            </w:pPr>
            <w:r>
              <w:rPr/>
              <w:t> </w:t>
            </w:r>
          </w:p>
        </w:tc>
        <w:tc>
          <w:tcPr>
            <w:tcW w:w="2359" w:type="dxa"/>
            <w:tcBorders/>
            <w:vAlign w:val="center"/>
          </w:tcPr>
          <w:p>
            <w:pPr>
              <w:pStyle w:val="TableContents"/>
              <w:bidi w:val="0"/>
              <w:spacing w:before="0" w:after="283"/>
              <w:ind w:left="0" w:right="0" w:hanging="0"/>
              <w:jc w:val="left"/>
              <w:rPr/>
            </w:pPr>
            <w:r>
              <w:rPr/>
              <w:t>Authorized Signatory</w:t>
            </w:r>
          </w:p>
        </w:tc>
        <w:tc>
          <w:tcPr>
            <w:tcW w:w="60"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2075"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Office of the Depositary is 388 Greenwich Street, New York, New York 10013, U.S.A.</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A-11 </w:t>
      </w:r>
    </w:p>
    <w:p>
      <w:pPr>
        <w:pStyle w:val="TextBody"/>
        <w:bidi w:val="0"/>
        <w:spacing w:before="0" w:after="0"/>
        <w:jc w:val="center"/>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ADR]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CERTAIN ADDITIONAL PROVISIONS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Dividends and Distributions in Cash, Shares,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Cash Distributions</w:t>
      </w:r>
      <w:r>
        <w:rPr>
          <w:rFonts w:ascii="Times New Roman;Times;Serif" w:hAnsi="Times New Roman;Times;Serif"/>
          <w:b w:val="false"/>
          <w:i w:val="false"/>
          <w:caps w:val="false"/>
          <w:smallCaps w:val="false"/>
          <w:sz w:val="20"/>
        </w:rPr>
        <w:t xml:space="preserve">: Upon the timely receipt by the Depositary of a notice from the 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Share Distributions</w:t>
      </w:r>
      <w:r>
        <w:rPr>
          <w:rFonts w:ascii="Times New Roman;Times;Serif" w:hAnsi="Times New Roman;Times;Serif"/>
          <w:b w:val="false"/>
          <w:i w:val="false"/>
          <w:caps w:val="false"/>
          <w:smallCaps w:val="false"/>
          <w:sz w:val="20"/>
        </w:rPr>
        <w:t>: Upon the timely receipt by the Depositary of a notice from the Company that it intends to make a distribution that 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Elective Distributions in Cash or Shares</w:t>
      </w:r>
      <w:r>
        <w:rPr>
          <w:rFonts w:ascii="Times New Roman;Times;Serif" w:hAnsi="Times New Roman;Times;Serif"/>
          <w:b w:val="false"/>
          <w:i w:val="false"/>
          <w:caps w:val="false"/>
          <w:smallCaps w:val="false"/>
          <w:sz w:val="20"/>
        </w:rPr>
        <w:t>: Upon the timely receipt of a notice indicating that the Company wishes an elective distribution in 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France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Distribution of Rights to Purchase Additional ADSs</w:t>
      </w:r>
      <w:r>
        <w:rPr>
          <w:rFonts w:ascii="Times New Roman;Times;Serif" w:hAnsi="Times New Roman;Times;Serif"/>
          <w:b w:val="false"/>
          <w:i w:val="false"/>
          <w:caps w:val="false"/>
          <w:smallCaps w:val="false"/>
          <w:sz w:val="20"/>
        </w:rPr>
        <w:t>: Upon the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Distributions other than Cash, Shares or Rights to Purchase Shares</w:t>
      </w:r>
      <w:r>
        <w:rPr>
          <w:rFonts w:ascii="Times New Roman;Times;Serif" w:hAnsi="Times New Roman;Times;Serif"/>
          <w:b w:val="false"/>
          <w:i w:val="false"/>
          <w:caps w:val="false"/>
          <w:smallCaps w:val="false"/>
          <w:sz w:val="20"/>
        </w:rPr>
        <w:t>: Upon receipt of a notice indicating that the Company wishes 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i w:val="false"/>
          <w:caps w:val="false"/>
          <w:smallCaps w:val="false"/>
          <w:sz w:val="20"/>
          <w:u w:val="single"/>
        </w:rPr>
        <w:t>Redemption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timely receipt of notice from the Company that it intends to exercise its right of redemption in respect of any of the 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applicable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i w:val="false"/>
          <w:caps w:val="false"/>
          <w:smallCaps w:val="false"/>
          <w:sz w:val="20"/>
          <w:u w:val="single"/>
        </w:rPr>
        <w:t>Fixing of ADS Record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Depositary shall receive notice of the fixing of a record date by the Company for 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Times;Serif" w:hAnsi="Times New Roman;Times;Serif"/>
          <w:b w:val="false"/>
          <w:i w:val="false"/>
          <w:caps w:val="false"/>
          <w:smallCaps w:val="false"/>
          <w:sz w:val="20"/>
          <w:u w:val="single"/>
        </w:rPr>
        <w:t>ADS Record Date</w:t>
      </w:r>
      <w:r>
        <w:rPr>
          <w:rFonts w:ascii="Times New Roman;Times;Serif" w:hAnsi="Times New Roman;Times;Serif"/>
          <w:b w:val="false"/>
          <w:i w:val="false"/>
          <w:caps w:val="false"/>
          <w:smallCaps w:val="false"/>
          <w:sz w:val="20"/>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i w:val="false"/>
          <w:caps w:val="false"/>
          <w:smallCaps w:val="false"/>
          <w:sz w:val="20"/>
          <w:u w:val="single"/>
        </w:rPr>
        <w:t>Voting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calendar days (or such other number of days as the Depositary and the Company may agree in writing from time to time)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By-laws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By-laws of the Company and the provisions of the Deposited Securities, to vote, or cause the Custodian to vote, the Deposited Securities (in person or by proxy) represented by such Holder’s ADSs in accordance with such voting instructions.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With respect to Deposited Securities represented by ADSs for which no timely voting instructions are received by the Depositary from the Holder, the Depositary shall (unless otherwise specified in the notice distributed to Holders)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(i) the Company does not wish such proxy to be given, (ii) substantial opposition exists, or (iii) the rights of holders of Deposited Securities may be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or French laws. The Company agrees to take any and all actions reasonably necessary to enable Holders and Beneficial Owners to exercise the voting rights accruing to the Deposited Securities and to deliver to the Depositary an opinion of U.S. counsel addressing any actions requested to be taken if so requested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receive the notice described above with sufficient time to enable the Holder to return voting instructions to the Depositary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i w:val="false"/>
          <w:caps w:val="false"/>
          <w:smallCaps w:val="false"/>
          <w:sz w:val="20"/>
          <w:u w:val="single"/>
        </w:rPr>
        <w:t>Changes Affecting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any change in nominal or par value, split-up, cancellation, consolidation or 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i w:val="false"/>
          <w:caps w:val="false"/>
          <w:smallCaps w:val="false"/>
          <w:sz w:val="20"/>
          <w:u w:val="single"/>
        </w:rPr>
        <w:t>Exoneration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contained in the Deposit Agreement or any ADR, neither the Depositary nor the Company shall be 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France or any other country, or of any other governmental authority or regulatory authority or stock exchange, or on account of potential criminal or civil penalties or restraint, or by reason of any provision, present or future, of the By-laws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By-laws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Standard of Care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the Depositary assume no obligation and shall not be subject to any liability under the Deposit 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Resignation and Removal of the Depositary; Appointment of Successor Depositary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may at any time resign as Depositary under the Deposit Agreement by written notice of resignation delivered to the Company, such resignation to be effective on the earlier of (i) the 90th calendar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i w:val="false"/>
          <w:caps w:val="false"/>
          <w:smallCaps w:val="false"/>
          <w:sz w:val="20"/>
          <w:u w:val="single"/>
        </w:rPr>
        <w:t>Amendment/Supplement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paragraph 23, and Section 6.1 of the Deposit Agreement and 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calendar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each such case, the notice given to the Holders identifies a means for Holders and Beneficial Owners to retrieve or receive the text of such amendment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at any time at the written direction of the Company, terminate the Deposit Agreement by distributing notice of such termination to the Holders of all ADSs then outstanding at least thirty (30) calendar days prior to the date fixed in such notice for such termination. If (i) ninety (90) calendar days shall have expired after the Depositary shall have delivered to the Company a written notice of its election to resign, or (ii) ninety (90) calendar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Compliance with, and No Disclaimer under, U.S. Securities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Notwithstanding any provisions in this ADR or the Deposit 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No Third Party Beneficiaries/Acknowledgements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Deposit Agreement is for the exclusive benefit of the parties hereto (and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France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u w:val="single"/>
        </w:rPr>
        <w:t>Governing Law / Waiver of Jury Trial</w:t>
      </w:r>
      <w:r>
        <w:rPr>
          <w:rFonts w:ascii="Times New Roman;Times;Serif" w:hAnsi="Times New Roman;Times;Serif"/>
          <w:b w:val="false"/>
          <w:i w:val="false"/>
          <w:caps w:val="false"/>
          <w:smallCaps w:val="false"/>
          <w:sz w:val="20"/>
        </w:rPr>
        <w:t>. The Deposit Agreement, the ADRs and the ADSs shall be interpreted in accordance with, 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France (or, if applicable, such other laws as may govern the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A-25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TRANSFER SIGNATURE 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Holder hereby sell(s), assign(s) and transfer(s) unto ______________________________ whose taxpayer identification number is _______________________ and whose address including postal zip code is ________________, the within ADR and all rights thereunder, hereby irrevocably constituting and appointing ________________________ attorney-in-fact to transfer said ADR on the books of the Depositary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8"/>
        <w:gridCol w:w="4854"/>
        <w:gridCol w:w="3253"/>
      </w:tblGrid>
      <w:tr>
        <w:trPr/>
        <w:tc>
          <w:tcPr>
            <w:tcW w:w="2098" w:type="dxa"/>
            <w:tcBorders/>
            <w:vAlign w:val="center"/>
          </w:tcPr>
          <w:p>
            <w:pPr>
              <w:pStyle w:val="TableContents"/>
              <w:bidi w:val="0"/>
              <w:spacing w:before="0" w:after="283"/>
              <w:jc w:val="left"/>
              <w:rPr/>
            </w:pPr>
            <w:r>
              <w:rPr/>
              <w:t>Dated:    </w:t>
            </w:r>
          </w:p>
        </w:tc>
        <w:tc>
          <w:tcPr>
            <w:tcW w:w="4854" w:type="dxa"/>
            <w:tcBorders/>
            <w:vAlign w:val="center"/>
          </w:tcPr>
          <w:p>
            <w:pPr>
              <w:pStyle w:val="TableContents"/>
              <w:bidi w:val="0"/>
              <w:spacing w:before="0" w:after="283"/>
              <w:jc w:val="left"/>
              <w:rPr/>
            </w:pPr>
            <w:r>
              <w:rPr/>
              <w:t>Name:  </w:t>
            </w:r>
          </w:p>
        </w:tc>
        <w:tc>
          <w:tcPr>
            <w:tcW w:w="325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By:</w:t>
            </w:r>
          </w:p>
        </w:tc>
      </w:tr>
      <w:tr>
        <w:trPr/>
        <w:tc>
          <w:tcPr>
            <w:tcW w:w="2098" w:type="dxa"/>
            <w:tcBorders/>
            <w:vAlign w:val="center"/>
          </w:tcPr>
          <w:p>
            <w:pPr>
              <w:pStyle w:val="TableContents"/>
              <w:bidi w:val="0"/>
              <w:spacing w:before="0" w:after="283"/>
              <w:jc w:val="left"/>
              <w:rPr/>
            </w:pPr>
            <w:r>
              <w:rPr/>
              <w:t> </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Title:</w:t>
            </w:r>
          </w:p>
        </w:tc>
      </w:tr>
      <w:tr>
        <w:trPr/>
        <w:tc>
          <w:tcPr>
            <w:tcW w:w="2098" w:type="dxa"/>
            <w:tcBorders/>
            <w:vAlign w:val="center"/>
          </w:tcPr>
          <w:p>
            <w:pPr>
              <w:pStyle w:val="TableContents"/>
              <w:bidi w:val="0"/>
              <w:spacing w:before="0" w:after="283"/>
              <w:jc w:val="left"/>
              <w:rPr/>
            </w:pPr>
            <w:r>
              <w:rPr/>
              <w:t> </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NOTICE: The signature of the Holder to this assignment must correspond with the name as written upon the face of the within instrument in every particular, without alteration or enlargement or any change whatsoever.</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ADR.</w:t>
            </w:r>
          </w:p>
        </w:tc>
      </w:tr>
      <w:tr>
        <w:trPr/>
        <w:tc>
          <w:tcPr>
            <w:tcW w:w="2098" w:type="dxa"/>
            <w:tcBorders/>
            <w:vAlign w:val="center"/>
          </w:tcPr>
          <w:p>
            <w:pPr>
              <w:pStyle w:val="TableContents"/>
              <w:bidi w:val="0"/>
              <w:spacing w:before="0" w:after="283"/>
              <w:jc w:val="left"/>
              <w:rPr/>
            </w:pPr>
            <w:r>
              <w:rPr/>
              <w:t>__________________________</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SIGNATURE GUARANTEED</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All endorsements or assignments of ADRs must be guaranteed by a member of a Medallion Signature Program approved by the Securities Transfer Association,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b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A-26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 FEES AND RELATED CHARGES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1283"/>
        <w:gridCol w:w="8608"/>
      </w:tblGrid>
      <w:tr>
        <w:trPr/>
        <w:tc>
          <w:tcPr>
            <w:tcW w:w="31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pPr>
            <w:r>
              <w:rPr/>
              <w:t>I.</w:t>
            </w:r>
          </w:p>
        </w:tc>
        <w:tc>
          <w:tcPr>
            <w:tcW w:w="8608" w:type="dxa"/>
            <w:tcBorders/>
            <w:vAlign w:val="center"/>
          </w:tcPr>
          <w:p>
            <w:pPr>
              <w:pStyle w:val="TableContents"/>
              <w:bidi w:val="0"/>
              <w:spacing w:before="0" w:after="283"/>
              <w:jc w:val="left"/>
              <w:rPr>
                <w:b/>
                <w:u w:val="single"/>
              </w:rPr>
            </w:pPr>
            <w:r>
              <w:rPr>
                <w:b/>
                <w:u w:val="single"/>
              </w:rPr>
              <w:t>ADS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ADS fees (some of which may be cumulative) are payable under the terms of the Deposit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6239"/>
        <w:gridCol w:w="2050"/>
        <w:gridCol w:w="1916"/>
      </w:tblGrid>
      <w:tr>
        <w:trPr/>
        <w:tc>
          <w:tcPr>
            <w:tcW w:w="62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Service</w:t>
            </w:r>
          </w:p>
        </w:tc>
        <w:tc>
          <w:tcPr>
            <w:tcW w:w="20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Rate</w:t>
            </w:r>
          </w:p>
        </w:tc>
        <w:tc>
          <w:tcPr>
            <w:tcW w:w="191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By Whom Paid</w:t>
            </w:r>
          </w:p>
        </w:tc>
      </w:tr>
      <w:tr>
        <w:trPr/>
        <w:tc>
          <w:tcPr>
            <w:tcW w:w="623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w:t>
              <w:tab/>
              <w:t>Issuance of ADSs (</w:t>
            </w:r>
            <w:r>
              <w:rPr>
                <w:i/>
              </w:rPr>
              <w:t>e.g.</w:t>
            </w:r>
            <w:r>
              <w:rPr/>
              <w:t>, an issuance upon a deposit of Shares, upon a change in the ADS(s)-to-Share(s) ratio, ADS conversions, or for any other reason), excluding issuances as a result of distributions described in paragraph (4) below.</w:t>
            </w:r>
          </w:p>
        </w:tc>
        <w:tc>
          <w:tcPr>
            <w:tcW w:w="2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issued.</w:t>
            </w:r>
          </w:p>
        </w:tc>
        <w:tc>
          <w:tcPr>
            <w:tcW w:w="19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ADSs are issued.</w:t>
            </w:r>
          </w:p>
        </w:tc>
      </w:tr>
      <w:tr>
        <w:trPr/>
        <w:tc>
          <w:tcPr>
            <w:tcW w:w="623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(2)</w:t>
              <w:tab/>
              <w:t>Cancellation of ADSs (</w:t>
            </w:r>
            <w:r>
              <w:rPr>
                <w:i/>
              </w:rPr>
              <w:t>e.g.</w:t>
            </w:r>
            <w:r>
              <w:rPr/>
              <w:t>,  a cancellation of ADSs for Delivery of deposited Shares, upon a change in the ADS(s)-to-Share(s) ratio, ADS conversions, upon termination of the Deposit Agreement, or for any other reason).</w:t>
            </w:r>
          </w:p>
        </w:tc>
        <w:tc>
          <w:tcPr>
            <w:tcW w:w="2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cancelled.</w:t>
            </w:r>
          </w:p>
        </w:tc>
        <w:tc>
          <w:tcPr>
            <w:tcW w:w="19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ADSs are being cancelled.</w:t>
            </w:r>
          </w:p>
        </w:tc>
      </w:tr>
      <w:tr>
        <w:trPr/>
        <w:tc>
          <w:tcPr>
            <w:tcW w:w="623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w:t>
              <w:tab/>
              <w:t>Distribution of cash dividends or other cash distributions (</w:t>
            </w:r>
            <w:r>
              <w:rPr>
                <w:i/>
              </w:rPr>
              <w:t>e.g.</w:t>
            </w:r>
            <w:r>
              <w:rPr/>
              <w:t>, upon a sale of rights and other entitlements).</w:t>
            </w:r>
          </w:p>
        </w:tc>
        <w:tc>
          <w:tcPr>
            <w:tcW w:w="2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held.</w:t>
            </w:r>
          </w:p>
        </w:tc>
        <w:tc>
          <w:tcPr>
            <w:tcW w:w="19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to whom the distribution is made.</w:t>
            </w:r>
          </w:p>
        </w:tc>
      </w:tr>
      <w:tr>
        <w:trPr/>
        <w:tc>
          <w:tcPr>
            <w:tcW w:w="623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(4)</w:t>
              <w:tab/>
              <w:t>Distribution of ADSs pursuant to (i) stock dividends or other free stock distributions, or (ii) an exercise of rights to purchase additional ADSs.</w:t>
            </w:r>
          </w:p>
        </w:tc>
        <w:tc>
          <w:tcPr>
            <w:tcW w:w="2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held.</w:t>
            </w:r>
          </w:p>
        </w:tc>
        <w:tc>
          <w:tcPr>
            <w:tcW w:w="19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to whom the distribution is made.</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B-1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10" w:type="dxa"/>
        <w:tblLayout w:type="fixed"/>
        <w:tblCellMar>
          <w:top w:w="28" w:type="dxa"/>
          <w:left w:w="28" w:type="dxa"/>
          <w:bottom w:w="28" w:type="dxa"/>
          <w:right w:w="28" w:type="dxa"/>
        </w:tblCellMar>
      </w:tblPr>
      <w:tblGrid>
        <w:gridCol w:w="5520"/>
        <w:gridCol w:w="2548"/>
        <w:gridCol w:w="2137"/>
      </w:tblGrid>
      <w:tr>
        <w:trPr/>
        <w:tc>
          <w:tcPr>
            <w:tcW w:w="55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(5)</w:t>
              <w:tab/>
              <w:t>Distribution of financial instruments, including, without limitation, securities, other than ADSs or rights to purchase additional ADSs (</w:t>
            </w:r>
            <w:r>
              <w:rPr>
                <w:i/>
              </w:rPr>
              <w:t>e.g.</w:t>
            </w:r>
            <w:r>
              <w:rPr/>
              <w:t>, spin-off shares and contingent value rights).</w:t>
            </w:r>
          </w:p>
        </w:tc>
        <w:tc>
          <w:tcPr>
            <w:tcW w:w="25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Up to U.S. $5.00 per 100 ADSs (or fraction thereof) held.</w:t>
            </w:r>
          </w:p>
        </w:tc>
        <w:tc>
          <w:tcPr>
            <w:tcW w:w="21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Person to whom the distribution is made.</w:t>
            </w:r>
          </w:p>
        </w:tc>
      </w:tr>
      <w:tr>
        <w:trPr/>
        <w:tc>
          <w:tcPr>
            <w:tcW w:w="5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(6)</w:t>
              <w:tab/>
              <w:t>ADS Services.</w:t>
            </w:r>
          </w:p>
        </w:tc>
        <w:tc>
          <w:tcPr>
            <w:tcW w:w="25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held on the applicable record date(s) established by the Depositary.</w:t>
            </w:r>
          </w:p>
        </w:tc>
        <w:tc>
          <w:tcPr>
            <w:tcW w:w="21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holding ADSs on the applicable record date(s) established by the Depositary.</w:t>
            </w:r>
          </w:p>
        </w:tc>
      </w:tr>
      <w:tr>
        <w:trPr/>
        <w:tc>
          <w:tcPr>
            <w:tcW w:w="5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(7)</w:t>
              <w:tab/>
              <w:t>Registration of ADS Transfers (</w:t>
            </w:r>
            <w:r>
              <w:rPr>
                <w:i/>
              </w:rPr>
              <w:t>e.g.</w:t>
            </w:r>
            <w:r>
              <w:rPr/>
              <w:t xml:space="preserve">, upon a registration of the transfer of registered ownership of ADSs, upon a transfer of ADSs into DTC and </w:t>
            </w:r>
            <w:r>
              <w:rPr>
                <w:i/>
              </w:rPr>
              <w:t>vice versa</w:t>
            </w:r>
            <w:r>
              <w:rPr/>
              <w:t>, or for any other reason).</w:t>
            </w:r>
          </w:p>
        </w:tc>
        <w:tc>
          <w:tcPr>
            <w:tcW w:w="25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transferred.</w:t>
            </w:r>
          </w:p>
        </w:tc>
        <w:tc>
          <w:tcPr>
            <w:tcW w:w="21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or to whom ADSs are transferred.</w:t>
            </w:r>
          </w:p>
        </w:tc>
      </w:tr>
      <w:tr>
        <w:trPr/>
        <w:tc>
          <w:tcPr>
            <w:tcW w:w="5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(8)</w:t>
              <w:tab/>
              <w:t>Conversion of ADSs of one series for ADSs of another series (</w:t>
            </w:r>
            <w:r>
              <w:rPr>
                <w:i/>
              </w:rPr>
              <w:t>e.g.</w:t>
            </w:r>
            <w:r>
              <w:rPr/>
              <w:t xml:space="preserve">, upon conversion of Partial Entitlement ADSs for Full Entitlement ADSs, or upon conversion of Restricted ADSs into freely transferable ADSs, and </w:t>
            </w:r>
            <w:r>
              <w:rPr>
                <w:i/>
              </w:rPr>
              <w:t>vice versa</w:t>
            </w:r>
            <w:r>
              <w:rPr/>
              <w:t>) or conversion of ADSs for unsponsored American Depositary Shares (e.g., upon termination of the Deposit Agreement).</w:t>
            </w:r>
          </w:p>
        </w:tc>
        <w:tc>
          <w:tcPr>
            <w:tcW w:w="25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Up to U.S. $5.00 per 100 ADSs (or fraction thereof) converted.</w:t>
            </w:r>
          </w:p>
        </w:tc>
        <w:tc>
          <w:tcPr>
            <w:tcW w:w="21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Person for whom ADSs are converted or to whom the converted ADSs are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2167"/>
        <w:gridCol w:w="7680"/>
      </w:tblGrid>
      <w:tr>
        <w:trPr/>
        <w:tc>
          <w:tcPr>
            <w:tcW w:w="358"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pPr>
            <w:r>
              <w:rPr/>
              <w:t>II.</w:t>
            </w:r>
          </w:p>
        </w:tc>
        <w:tc>
          <w:tcPr>
            <w:tcW w:w="7680" w:type="dxa"/>
            <w:tcBorders/>
            <w:vAlign w:val="center"/>
          </w:tcPr>
          <w:p>
            <w:pPr>
              <w:pStyle w:val="TableContents"/>
              <w:bidi w:val="0"/>
              <w:spacing w:before="0" w:after="283"/>
              <w:jc w:val="left"/>
              <w:rPr>
                <w:u w:val="single"/>
              </w:rPr>
            </w:pPr>
            <w:r>
              <w:rPr>
                <w:u w:val="single"/>
              </w:rPr>
              <w:t>Charges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1"/>
        <w:gridCol w:w="9866"/>
      </w:tblGrid>
      <w:tr>
        <w:trPr/>
        <w:tc>
          <w:tcPr>
            <w:tcW w:w="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w:t>
            </w:r>
          </w:p>
        </w:tc>
        <w:tc>
          <w:tcPr>
            <w:tcW w:w="9866" w:type="dxa"/>
            <w:tcBorders/>
            <w:vAlign w:val="center"/>
          </w:tcPr>
          <w:p>
            <w:pPr>
              <w:pStyle w:val="TableContents"/>
              <w:bidi w:val="0"/>
              <w:spacing w:before="0" w:after="283"/>
              <w:jc w:val="left"/>
              <w:rPr/>
            </w:pPr>
            <w:r>
              <w:rPr/>
              <w:t>taxes (including applicable interest and penalties) and other governmental charges;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left"/>
              <w:rPr/>
            </w:pPr>
            <w:r>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(iii)</w:t>
            </w:r>
          </w:p>
        </w:tc>
        <w:tc>
          <w:tcPr>
            <w:tcW w:w="9866" w:type="dxa"/>
            <w:tcBorders/>
            <w:vAlign w:val="center"/>
          </w:tcPr>
          <w:p>
            <w:pPr>
              <w:pStyle w:val="TableContents"/>
              <w:bidi w:val="0"/>
              <w:spacing w:before="0" w:after="283"/>
              <w:jc w:val="left"/>
              <w:rPr/>
            </w:pPr>
            <w:r>
              <w:rPr/>
              <w:t>such cable, telex and facsimile transmission and delivery expenses as are expressly provided in the Deposit Agreement to be at the expense of the person depositing Shares or withdrawing Deposited Property or of the Holders and Beneficial Owners of ADSs;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283"/>
              <w:jc w:val="left"/>
              <w:rPr/>
            </w:pPr>
            <w:r>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(v)</w:t>
            </w:r>
          </w:p>
        </w:tc>
        <w:tc>
          <w:tcPr>
            <w:tcW w:w="9921" w:type="dxa"/>
            <w:tcBorders/>
            <w:vAlign w:val="center"/>
          </w:tcPr>
          <w:p>
            <w:pPr>
              <w:pStyle w:val="TableContents"/>
              <w:bidi w:val="0"/>
              <w:spacing w:before="0" w:after="283"/>
              <w:jc w:val="left"/>
              <w:rPr/>
            </w:pPr>
            <w:r>
              <w:rPr/>
              <w:t>any reasonable and customary out-of-pocket expenses incurred in such conversion and/or on behalf of the Holders and Beneficial Owners in complying with currency exchange control or other governmental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(vi)</w:t>
            </w:r>
          </w:p>
        </w:tc>
        <w:tc>
          <w:tcPr>
            <w:tcW w:w="9839" w:type="dxa"/>
            <w:tcBorders/>
            <w:vAlign w:val="center"/>
          </w:tcPr>
          <w:p>
            <w:pPr>
              <w:pStyle w:val="TableContents"/>
              <w:bidi w:val="0"/>
              <w:spacing w:before="0" w:after="283"/>
              <w:jc w:val="left"/>
              <w:rPr/>
            </w:pPr>
            <w:r>
              <w:rPr/>
              <w:t>the fees, charges, costs and expenses incurred by the Depositary, the Custodian, or any nominee in connection with the ADR program;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1"/>
        <w:gridCol w:w="9797"/>
      </w:tblGrid>
      <w:tr>
        <w:trPr/>
        <w:tc>
          <w:tcPr>
            <w:tcW w:w="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(vii)</w:t>
            </w:r>
          </w:p>
        </w:tc>
        <w:tc>
          <w:tcPr>
            <w:tcW w:w="9797" w:type="dxa"/>
            <w:tcBorders/>
            <w:vAlign w:val="center"/>
          </w:tcPr>
          <w:p>
            <w:pPr>
              <w:pStyle w:val="TableContents"/>
              <w:bidi w:val="0"/>
              <w:spacing w:before="0" w:after="283"/>
              <w:jc w:val="left"/>
              <w:rPr/>
            </w:pPr>
            <w:r>
              <w:rPr/>
              <w:t>the amounts payable to the Depositary by any party to the Deposit Agreement pursuant to any ancillary agreement to the Deposit Agreement in respect of the ADR program, the ADSs and the ADRs.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fees and charges may at any time and from time to time be changed by agreement between the Company and the Depositary and may be assessed cumulatively based on cumulative functions of services rendered.</w:t>
      </w:r>
    </w:p>
    <w:p>
      <w:pPr>
        <w:pStyle w:val="TextBody"/>
        <w:bidi w:val="0"/>
        <w:spacing w:before="0" w:after="0"/>
        <w:ind w:left="0" w:right="0" w:firstLine="72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w:t>
      </w:r>
    </w:p>
    <w:p>
      <w:pPr>
        <w:pStyle w:val="TextBody"/>
        <w:bidi w:val="0"/>
        <w:spacing w:before="0" w:after="0"/>
        <w:ind w:left="0" w:right="0" w:hanging="0"/>
        <w:jc w:val="center"/>
        <w:rPr>
          <w:caps w:val="false"/>
          <w:smallCaps w:val="false"/>
        </w:rPr>
      </w:pPr>
      <w:bookmarkStart w:id="4" w:name="e665785_ex99-bi.htm"/>
      <w:bookmarkStart w:id="5" w:name="kse665785_ex99bi"/>
      <w:bookmarkEnd w:id="4"/>
      <w:bookmarkEnd w:id="5"/>
      <w:r>
        <w:rPr>
          <w:caps w:val="false"/>
          <w:smallCaps w:val="false"/>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10,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tab/>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tab/>
        <w:t>Lin Kong</w:t>
      </w:r>
    </w:p>
    <w:p>
      <w:pPr>
        <w:pStyle w:val="TextBody"/>
        <w:bidi w:val="0"/>
        <w:spacing w:before="0" w:after="0"/>
        <w:ind w:left="144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Program ADSs (CUSIP No.: 00370M103)</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Deposit Agreement, dated as of October 24, 2023, as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and its successors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w:t>
      </w:r>
      <w:r>
        <w:rPr>
          <w:rFonts w:ascii="Times New Roman;Times;Serif" w:hAnsi="Times New Roman;Times;Serif"/>
          <w:b w:val="false"/>
          <w:i w:val="false"/>
          <w:caps w:val="false"/>
          <w:smallCaps w:val="false"/>
          <w:sz w:val="20"/>
          <w:u w:val="single"/>
        </w:rPr>
        <w:t>Citibank</w:t>
      </w:r>
      <w:r>
        <w:rPr>
          <w:rFonts w:ascii="Times New Roman;Times;Serif" w:hAnsi="Times New Roman;Times;Serif"/>
          <w:b w:val="false"/>
          <w:i w:val="false"/>
          <w:caps w:val="false"/>
          <w:smallCaps w:val="false"/>
          <w:sz w:val="20"/>
        </w:rPr>
        <w:t>”)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All capitalized terms used, but not otherwise defined herein, shall have the meaning assigned thereto in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upon the terms set forth in the Equity Distribution Agreement, dated November 19, 2024 (the “</w:t>
      </w:r>
      <w:r>
        <w:rPr>
          <w:rFonts w:ascii="Times New Roman;Times;Serif" w:hAnsi="Times New Roman;Times;Serif"/>
          <w:b w:val="false"/>
          <w:i w:val="false"/>
          <w:caps w:val="false"/>
          <w:smallCaps w:val="false"/>
          <w:sz w:val="20"/>
          <w:u w:val="single"/>
        </w:rPr>
        <w:t>EDA</w:t>
      </w:r>
      <w:r>
        <w:rPr>
          <w:rFonts w:ascii="Times New Roman;Times;Serif" w:hAnsi="Times New Roman;Times;Serif"/>
          <w:b w:val="false"/>
          <w:i w:val="false"/>
          <w:caps w:val="false"/>
          <w:smallCaps w:val="false"/>
          <w:sz w:val="20"/>
        </w:rPr>
        <w:t>”), between the Company and Piper Sandler &amp; Co.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agreed to issue and sell through Agent, acting as agent and/or principal, ADSs (the “</w:t>
      </w:r>
      <w:r>
        <w:rPr>
          <w:rFonts w:ascii="Times New Roman;Times;Serif" w:hAnsi="Times New Roman;Times;Serif"/>
          <w:b w:val="false"/>
          <w:i w:val="false"/>
          <w:caps w:val="false"/>
          <w:smallCaps w:val="false"/>
          <w:sz w:val="20"/>
          <w:u w:val="single"/>
        </w:rPr>
        <w:t>Program ADSs</w:t>
      </w:r>
      <w:r>
        <w:rPr>
          <w:rFonts w:ascii="Times New Roman;Times;Serif" w:hAnsi="Times New Roman;Times;Serif"/>
          <w:b w:val="false"/>
          <w:i w:val="false"/>
          <w:caps w:val="false"/>
          <w:smallCaps w:val="false"/>
          <w:sz w:val="20"/>
        </w:rPr>
        <w:t>”), each Program ADS representing one (1) fully paid Share, with such Program ADSs having an aggregate offering price of up to U.S. $150,000,000 (the “</w:t>
      </w:r>
      <w:r>
        <w:rPr>
          <w:rFonts w:ascii="Times New Roman;Times;Serif" w:hAnsi="Times New Roman;Times;Serif"/>
          <w:b w:val="false"/>
          <w:i w:val="false"/>
          <w:caps w:val="false"/>
          <w:smallCaps w:val="false"/>
          <w:sz w:val="20"/>
          <w:u w:val="single"/>
        </w:rPr>
        <w:t>Program Offer</w:t>
      </w:r>
      <w:r>
        <w:rPr>
          <w:rFonts w:ascii="Times New Roman;Times;Serif" w:hAnsi="Times New Roman;Times;Serif"/>
          <w:b w:val="false"/>
          <w:i w:val="false"/>
          <w:caps w:val="false"/>
          <w:smallCaps w:val="false"/>
          <w:sz w:val="20"/>
        </w:rPr>
        <w:t>”). The Program Offer of Program ADSs through Agent will be made pursuant to a shelf registration statement on Form F-3 (File No.: 333-283336)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with the Commission on November 19, 2024, in accordance with the provisions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the rules and regulations thereunder and declared effective on or prior to the date hereof by the Commission, which Registration Statement includes (i) a base prospectus, relating to certain securities to be offered from time to time by the Company, and (ii) a prospectus supplement, specifically relating to the Program ADSs, to the base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deposit from time to time of Shares by the Company in accordance with the Deposit Agreement and as contemplated in the EDA, each Program ADS will be issuable at the instruction, and deliverable at the direction, of Agent and the Company in accordance with the terms and conditions of the EDA.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will confirm our understanding and agreement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Deposit of Shares</w:t>
      </w:r>
      <w:r>
        <w:rPr>
          <w:rFonts w:ascii="Times New Roman;Times;Serif" w:hAnsi="Times New Roman;Times;Serif"/>
          <w:b w:val="false"/>
          <w:i w:val="false"/>
          <w:caps w:val="false"/>
          <w:smallCaps w:val="false"/>
          <w:sz w:val="20"/>
        </w:rPr>
        <w:t>. The Company and the Depositary hereby agree that the Shares underlying the Program ADSs, to be delivered upon the sale of Program ADSs (each, a “</w:t>
      </w:r>
      <w:r>
        <w:rPr>
          <w:rFonts w:ascii="Times New Roman;Times;Serif" w:hAnsi="Times New Roman;Times;Serif"/>
          <w:b w:val="false"/>
          <w:i w:val="false"/>
          <w:caps w:val="false"/>
          <w:smallCaps w:val="false"/>
          <w:sz w:val="20"/>
          <w:u w:val="single"/>
        </w:rPr>
        <w:t>Program Sale</w:t>
      </w:r>
      <w:r>
        <w:rPr>
          <w:rFonts w:ascii="Times New Roman;Times;Serif" w:hAnsi="Times New Roman;Times;Serif"/>
          <w:b w:val="false"/>
          <w:i w:val="false"/>
          <w:caps w:val="false"/>
          <w:smallCaps w:val="false"/>
          <w:sz w:val="20"/>
        </w:rPr>
        <w:t xml:space="preserve">”) following the delivery of a Placement Notice, as such term is defined in the EDA, shall be deposited by, or on behalf of, the Company with the Custodian under the Deposit Agreement, in accordance with the terms hereof and thereof. The Company hereby confirms that at the time of delivery to the Custodian (x) the Shares to be deposited with the Custodian upon a Program Sale of Program ADSs (i) will have been duly authorized and will be validly issued, fully paid, and non-assessable, (ii)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and therefore will be fully fungible with the Shares then on deposit with the Custodian under the Deposit Agreement, (iii) will be legally issued to, and deposited with, the Custodian, the Depositary, or any nominee of the Custodian or the Depositary, as the case may be, and will not be stripped of any rights or entitlements by the Company prior to or upon deposit with the Custodian, (iv) will be free and clear of any lien, encumbrance, security interest, charge, mortgage or adverse claim, including, without limitation, any claim related to liabilities arising from the imposition of stamp duty taxes or stamp duty reserve tax, and (y) there will be no pre-emptive rights (and any similar rights) with respect to the Shares to be deposited with the Custodian upon a Program Sale that have not been waived, disapplied or exercised or otherwise lapsed.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Issuance and Delivery of Program ADSs upon a Program Sale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hereby instructs the Depositary to issue and deliver Program ADSs against the deposit of Shares by, or on behalf of, the Company upon the execution of a Program Sale, subject to compliance with the terms and conditions of the Deposit Agreement and this Letter Agreement, including without limitation, the receipt by the Custodian or on behalf of the Depositary of the applicable Shares and the receipt, by the Depositary, of the corresponding fees. The Depositary hereby agrees to issue Program ADSs representing the right to receive such Shares in accordance with the Deposit Agreement upon receipt of (i) the opinions referred to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Letter Agreement at each of the times of delivery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Letter Agreement, (ii) confirmation of deposit of the applicable Shares by, or on behalf of, the Company, (iii) the corresponding fees referred to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Letter Agreement, and (iv) a Program Issuance and Delivery Instruction for each Program Sale, substantially in the form annexed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hereby represents and warrants to the Depositary that (i) the terms of the EDA provide that the Program ADSs, when issued and delivered against payment therefor, will be freely transferable by Agent and the initial purchasers thereof; and there are no legal restrictions on subsequent transfers of the Program ADSs under the laws of France or the United States, and (ii) it will cause the Shares underlying the Program ADSs deliverable upon a Program Sale to be deposited with the Custodian or on behalf of the Depositary and shall authorize and instruct, together with Agent, the Depositary to issue the Program ADSs in accordance with the Deposit Agreement and the terms of this Letter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Opinions and Certificates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furtherance of the foregoing, the Company shall, (i) at the time of execution of this Letter Agreement, provide the Depositary with (x) an opinion of its French counsel (its “</w:t>
      </w:r>
      <w:r>
        <w:rPr>
          <w:rFonts w:ascii="Times New Roman;Times;Serif" w:hAnsi="Times New Roman;Times;Serif"/>
          <w:b w:val="false"/>
          <w:i w:val="false"/>
          <w:caps w:val="false"/>
          <w:smallCaps w:val="false"/>
          <w:sz w:val="20"/>
          <w:u w:val="single"/>
        </w:rPr>
        <w:t>French Counsel</w:t>
      </w:r>
      <w:r>
        <w:rPr>
          <w:rFonts w:ascii="Times New Roman;Times;Serif" w:hAnsi="Times New Roman;Times;Serif"/>
          <w:b w:val="false"/>
          <w:i w:val="false"/>
          <w:caps w:val="false"/>
          <w:smallCaps w:val="false"/>
          <w:sz w:val="20"/>
        </w:rPr>
        <w:t>”) to the Depositary which addresses, among other things, that subject to customary and appropriate assumptions and qualifications, (a) the execution, delivery and performance of this Letter Agreement have been authorized by and on behalf of the Company and, upon the execution and unconditional delivery of this Letter Agreement by a director, officer or other authorized person for and on behalf of the Company, this Letter Agreement will have been duly executed on behalf of the Company, and (b) the execution and delivery of this Letter Agreement by the Company and the exercise by the Company of its rights and performance of its obligations under this Letter Agreement do not and will not contravene or conflict with any laws of France normally applicable to transactions of the type contemplated by this Letter Agreement, any provision of its constitutional documents, any order or judgment of any court or other agency of government applicable to it or any of its assets; (y) an opinion of its U.S. counsel (its “</w:t>
      </w:r>
      <w:r>
        <w:rPr>
          <w:rFonts w:ascii="Times New Roman;Times;Serif" w:hAnsi="Times New Roman;Times;Serif"/>
          <w:b w:val="false"/>
          <w:i w:val="false"/>
          <w:caps w:val="false"/>
          <w:smallCaps w:val="false"/>
          <w:sz w:val="20"/>
          <w:u w:val="single"/>
        </w:rPr>
        <w:t>U.S. Counsel</w:t>
      </w:r>
      <w:r>
        <w:rPr>
          <w:rFonts w:ascii="Times New Roman;Times;Serif" w:hAnsi="Times New Roman;Times;Serif"/>
          <w:b w:val="false"/>
          <w:i w:val="false"/>
          <w:caps w:val="false"/>
          <w:smallCaps w:val="false"/>
          <w:sz w:val="20"/>
        </w:rPr>
        <w:t xml:space="preserve">”) to the Depositary which addresses, among other things, that subject to customary and appropriate assumptions and qualifications (a) assuming its due authorization, execution and delivery, this Letter Agreement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(b) the offer and sale of the Shares underlying the Program ADSs to be issued in connection with each Program Sale has been duly registered with the Securities and Exchange Commission on the Registration Statement in compliance with the Securities Act; and (z) a certificate signed by the corporate secretary of the Company certifying that this Letter Agreement has been executed and unconditionally delivered by a director, officer or other authorized person for and on behalf of the Company, and (ii) concurrently with each Program Sale, (x) an opinion of its French Counsel to the Depositary which addresses, among other things, that subject to customary and appropriate assumptions and qualifications, (a) the issuance and deposit of the Shares issuable upon a Program Sale, and the exercise by the Company of its rights and the performance of its obligations under this Letter Agreement will not require any consents, approvals or authorizations to be obtained by the Company, or any registrations, declarations or filings to be made by the Company, in each case under any French law or regulation applicable to the Company that have not been obtained or made, and (b) when Shares underlying any Program ADSs deliverable upon a Program Sale are issued and allotted in accordance with the terms of this Letter Agreement, the directors of the Company will have been duly and validly authorized to allot such Shares by the Company’s shareholders and such Shares will be validly issued fully paid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and be fully fungible with the other issued ordinary shares, nominal value €0.01 per share, of the Company then held by the Custodian on behalf of the Depositary and underlying the ADSs then outstanding; and (y) an opinion of its U.S. Counsel to the Depositary which addresses, among other things, that subject to customary and appropriate assumptions and qualifications, at the time of delivery of each such opinion, the Registration Statement will be effective under the Securities Act, no stop order suspending the effectiveness of the Registration Statement will have been issued and no proceeding for that purpose will have been initiated or to the knowledge of such counsel threatened.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Fees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and the Depositary agree that the Company shall pay or cause to be paid to the Depositary a depositary fee of up to US$0.05 per Program ADS issued upon a Program Sale and such other fees as are prescribed in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each of the parties hereto agrees and acknowledges that in the event the Company fails to remit payment of the aggregate issuance fees to the Depositary in connection with any Program Sale, the Depositary shall (i) not be obligated to perform any of the services contemplated by this Letter Agreement or the EDA, and (ii) incur no liability for its failure to undertake or perform any of the services contemplated by this Letter Agreement or the EDA, or otherwise contemplated to be undertaken or performed in connection with any Program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Fractional Shares and Program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to the contrary in the Deposit Agreement, the Company will not deliver to the Depositary or the Custodian in connection with the issuance of Program ADSs upon a Program Sale, and the Depositary shall not be required to accept, under any circumstances (a) any fraction of a Share, nor (b) a number of Shares which upon application of the ADS-to-Share ratio would give rise to a fraction of a Program ADS.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F-6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and the Company hereto confirm that a signed conformed copy of this Letter Agreement shall be filed as an exhibit to the next Registration Statement on Form F-6 (or next amendment to any existing Registration Statement on Form F-6 currently on file) that may be filed in respect of the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and the Depositary each hereby acknowledges and agrees that its indemnification obligations contained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Deposit Agreement shall, to the extent not unlawful, apply to all of the terms, conditions, obligations and performances under this Letter Agreement as if they were set forth in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to duly execute and deliver, or cause to be duly executed and delivered, such further documents and instruments and do and cause to be done such further acts, as may be reasonably requested by the other party in order to implement the terms and provisions of this Letter Agreement and to effectuate the purpose and intent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Letter Agreement shall be interpreted and all rights hereunder and the provisions hereof shall be governed by the laws of the State of New York.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Letter Agreement shall be binding upon the parties hereto, and their respective legal successors and permanent assigns.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Letter Agreement may not be modified or amended except by a writing signed by both parties 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Letter Agreement may be executed in counterparts, each of which shall be deemed to be an original, and all of which, taken together, shall constitute one and the same instrument.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Depositary have caused this Letter Agreement to be executed and delivered on their behalf by their respective officers thereunto duly authorized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650"/>
        <w:gridCol w:w="1850"/>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rPr>
            </w:pPr>
            <w:r>
              <w:rPr>
                <w:b/>
              </w:rPr>
              <w:t>ABIVAX SA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  </w:t>
            </w:r>
          </w:p>
        </w:tc>
        <w:tc>
          <w:tcPr>
            <w:tcW w:w="1850" w:type="dxa"/>
            <w:tcBorders>
              <w:bottom w:val="single" w:sz="8" w:space="0" w:color="000000"/>
            </w:tcBorders>
            <w:tcMar>
              <w:bottom w:w="28" w:type="dxa"/>
            </w:tcMar>
            <w:vAlign w:val="center"/>
          </w:tcPr>
          <w:p>
            <w:pPr>
              <w:pStyle w:val="TableContents"/>
              <w:bidi w:val="0"/>
              <w:spacing w:before="0" w:after="283"/>
              <w:jc w:val="left"/>
              <w:rPr/>
            </w:pPr>
            <w:r>
              <w:rPr/>
              <w:t>/s/ Marc de Garidel</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left"/>
              <w:rPr/>
            </w:pPr>
            <w:r>
              <w:rPr/>
              <w:t>Marc de Garidel</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985"/>
        <w:gridCol w:w="2379"/>
        <w:gridCol w:w="75"/>
      </w:tblGrid>
      <w:tr>
        <w:trPr/>
        <w:tc>
          <w:tcPr>
            <w:tcW w:w="3364" w:type="dxa"/>
            <w:gridSpan w:val="2"/>
            <w:tcBorders/>
            <w:vAlign w:val="center"/>
          </w:tcPr>
          <w:p>
            <w:pPr>
              <w:pStyle w:val="TableContents"/>
              <w:bidi w:val="0"/>
              <w:spacing w:before="0" w:after="283"/>
              <w:jc w:val="left"/>
              <w:rPr>
                <w:b/>
              </w:rPr>
            </w:pPr>
            <w:r>
              <w:rPr>
                <w:b/>
              </w:rPr>
              <w:t>CITIBANK, N.A., as Depositary</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By:  </w:t>
            </w:r>
          </w:p>
        </w:tc>
        <w:tc>
          <w:tcPr>
            <w:tcW w:w="2379" w:type="dxa"/>
            <w:tcBorders>
              <w:bottom w:val="single" w:sz="8" w:space="0" w:color="000000"/>
            </w:tcBorders>
            <w:tcMar>
              <w:bottom w:w="28" w:type="dxa"/>
            </w:tcMar>
            <w:vAlign w:val="center"/>
          </w:tcPr>
          <w:p>
            <w:pPr>
              <w:pStyle w:val="TableContents"/>
              <w:bidi w:val="0"/>
              <w:spacing w:before="0" w:after="283"/>
              <w:jc w:val="left"/>
              <w:rPr/>
            </w:pPr>
            <w:r>
              <w:rPr/>
              <w:t>/s/ Joseph Connor</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Name:</w:t>
            </w:r>
          </w:p>
        </w:tc>
        <w:tc>
          <w:tcPr>
            <w:tcW w:w="2379" w:type="dxa"/>
            <w:tcBorders/>
            <w:vAlign w:val="center"/>
          </w:tcPr>
          <w:p>
            <w:pPr>
              <w:pStyle w:val="TableContents"/>
              <w:bidi w:val="0"/>
              <w:spacing w:before="0" w:after="283"/>
              <w:jc w:val="left"/>
              <w:rPr/>
            </w:pPr>
            <w:r>
              <w:rPr/>
              <w:t>Joseph Connor</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Title:   </w:t>
            </w:r>
          </w:p>
        </w:tc>
        <w:tc>
          <w:tcPr>
            <w:tcW w:w="2379" w:type="dxa"/>
            <w:tcBorders/>
            <w:vAlign w:val="center"/>
          </w:tcPr>
          <w:p>
            <w:pPr>
              <w:pStyle w:val="TableContents"/>
              <w:bidi w:val="0"/>
              <w:spacing w:before="0" w:after="283"/>
              <w:jc w:val="left"/>
              <w:rPr/>
            </w:pPr>
            <w:r>
              <w:rPr/>
              <w:t>Attorney in 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Agreement, dated as of December 10,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t>
      </w:r>
      <w:r>
        <w:rPr>
          <w:rFonts w:ascii="Times New Roman;Times;Serif" w:hAnsi="Times New Roman;Times;Serif"/>
          <w:b/>
          <w:i w:val="false"/>
          <w:caps w:val="false"/>
          <w:smallCaps w:val="false"/>
          <w:sz w:val="20"/>
          <w:u w:val="single"/>
        </w:rPr>
        <w:t>Letter Agreement</w:t>
      </w:r>
      <w:r>
        <w:rPr>
          <w:rFonts w:ascii="Times New Roman;Times;Serif" w:hAnsi="Times New Roman;Times;Serif"/>
          <w:b/>
          <w:i w:val="false"/>
          <w:caps w:val="false"/>
          <w:smallCaps w:val="false"/>
          <w:sz w:val="20"/>
        </w:rPr>
        <w:t>"), by and between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 Issuance and Delivery Instruction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Depositary</w:t>
        <w:br/>
        <w:t>388 Greenwich Street</w:t>
        <w:br/>
        <w:t>New York, New York 10013</w:t>
      </w:r>
    </w:p>
    <w:tbl>
      <w:tblPr>
        <w:tblW w:w="5275" w:type="dxa"/>
        <w:jc w:val="left"/>
        <w:tblInd w:w="0" w:type="dxa"/>
        <w:tblLayout w:type="fixed"/>
        <w:tblCellMar>
          <w:top w:w="0" w:type="dxa"/>
          <w:left w:w="0" w:type="dxa"/>
          <w:bottom w:w="0" w:type="dxa"/>
          <w:right w:w="0" w:type="dxa"/>
        </w:tblCellMar>
      </w:tblPr>
      <w:tblGrid>
        <w:gridCol w:w="575"/>
        <w:gridCol w:w="4700"/>
      </w:tblGrid>
      <w:tr>
        <w:trPr/>
        <w:tc>
          <w:tcPr>
            <w:tcW w:w="575" w:type="dxa"/>
            <w:tcBorders/>
            <w:vAlign w:val="center"/>
          </w:tcPr>
          <w:p>
            <w:pPr>
              <w:pStyle w:val="TableContents"/>
              <w:bidi w:val="0"/>
              <w:spacing w:before="0" w:after="283"/>
              <w:jc w:val="left"/>
              <w:rPr/>
            </w:pPr>
            <w:r>
              <w:rPr/>
              <w:t>Attn.:</w:t>
            </w:r>
          </w:p>
        </w:tc>
        <w:tc>
          <w:tcPr>
            <w:tcW w:w="4700" w:type="dxa"/>
            <w:tcBorders/>
            <w:vAlign w:val="center"/>
          </w:tcPr>
          <w:p>
            <w:pPr>
              <w:pStyle w:val="TableContents"/>
              <w:bidi w:val="0"/>
              <w:spacing w:before="0" w:after="283"/>
              <w:jc w:val="left"/>
              <w:rPr/>
            </w:pPr>
            <w:r>
              <w:rPr/>
              <w:t>Lin Kong (</w:t>
            </w:r>
            <w:r>
              <w:rPr>
                <w:u w:val="single"/>
              </w:rPr>
              <w:t>lin.kong@citi.com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Marisela Lopez (</w:t>
            </w:r>
            <w:r>
              <w:rPr>
                <w:u w:val="single"/>
              </w:rPr>
              <w:t>marisela.lopez@citi.com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Keith Galfo (</w:t>
            </w:r>
            <w:r>
              <w:rPr>
                <w:u w:val="single"/>
              </w:rPr>
              <w:t>keith.galfo@citi.com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Leslie DeLuca (</w:t>
            </w:r>
            <w:r>
              <w:rPr>
                <w:u w:val="single"/>
              </w:rPr>
              <w:t>leslie.deluca@citi.com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Joseph Connor (</w:t>
            </w:r>
            <w:r>
              <w:rPr>
                <w:u w:val="single"/>
              </w:rPr>
              <w:t>joseph.connor@citi.com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James Lee (</w:t>
            </w:r>
            <w:r>
              <w:rPr>
                <w:u w:val="single"/>
              </w:rPr>
              <w:t>james3.lee@citi.com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DR Broker Services (</w:t>
            </w:r>
            <w:r>
              <w:rPr>
                <w:u w:val="single"/>
              </w:rPr>
              <w:t>drbrokerservices@citi.com</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simultaneously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Europe plc</w:t>
        <w:br/>
        <w:t>1 North Wall Quay</w:t>
        <w:br/>
        <w:t>Dublin 1</w:t>
        <w:br/>
        <w:t>Republic of Ireland </w:t>
      </w:r>
    </w:p>
    <w:tbl>
      <w:tblPr>
        <w:tblW w:w="2650" w:type="dxa"/>
        <w:jc w:val="left"/>
        <w:tblInd w:w="0" w:type="dxa"/>
        <w:tblLayout w:type="fixed"/>
        <w:tblCellMar>
          <w:top w:w="0" w:type="dxa"/>
          <w:left w:w="0" w:type="dxa"/>
          <w:bottom w:w="0" w:type="dxa"/>
          <w:right w:w="0" w:type="dxa"/>
        </w:tblCellMar>
      </w:tblPr>
      <w:tblGrid>
        <w:gridCol w:w="650"/>
        <w:gridCol w:w="2000"/>
      </w:tblGrid>
      <w:tr>
        <w:trPr/>
        <w:tc>
          <w:tcPr>
            <w:tcW w:w="650" w:type="dxa"/>
            <w:tcBorders/>
            <w:vAlign w:val="center"/>
          </w:tcPr>
          <w:p>
            <w:pPr>
              <w:pStyle w:val="TableContents"/>
              <w:bidi w:val="0"/>
              <w:spacing w:before="0" w:after="283"/>
              <w:jc w:val="left"/>
              <w:rPr/>
            </w:pPr>
            <w:r>
              <w:rPr/>
              <w:t>Email:</w:t>
            </w:r>
          </w:p>
        </w:tc>
        <w:tc>
          <w:tcPr>
            <w:tcW w:w="2000" w:type="dxa"/>
            <w:tcBorders/>
            <w:vAlign w:val="center"/>
          </w:tcPr>
          <w:p>
            <w:pPr>
              <w:pStyle w:val="TableContents"/>
              <w:bidi w:val="0"/>
              <w:spacing w:before="0" w:after="283"/>
              <w:jc w:val="left"/>
              <w:rPr>
                <w:u w:val="single"/>
              </w:rPr>
            </w:pPr>
            <w:r>
              <w:rPr>
                <w:u w:val="single"/>
              </w:rPr>
              <w:t>dccdubadr@citi.com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Patterson Belknap Webb &amp; Tyler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 Avenue of the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tbl>
      <w:tblPr>
        <w:tblW w:w="4615" w:type="dxa"/>
        <w:jc w:val="left"/>
        <w:tblInd w:w="0" w:type="dxa"/>
        <w:tblLayout w:type="fixed"/>
        <w:tblCellMar>
          <w:top w:w="0" w:type="dxa"/>
          <w:left w:w="0" w:type="dxa"/>
          <w:bottom w:w="0" w:type="dxa"/>
          <w:right w:w="0" w:type="dxa"/>
        </w:tblCellMar>
      </w:tblPr>
      <w:tblGrid>
        <w:gridCol w:w="515"/>
        <w:gridCol w:w="4100"/>
      </w:tblGrid>
      <w:tr>
        <w:trPr/>
        <w:tc>
          <w:tcPr>
            <w:tcW w:w="515" w:type="dxa"/>
            <w:tcBorders/>
            <w:vAlign w:val="center"/>
          </w:tcPr>
          <w:p>
            <w:pPr>
              <w:pStyle w:val="TableContents"/>
              <w:bidi w:val="0"/>
              <w:spacing w:before="0" w:after="283"/>
              <w:jc w:val="left"/>
              <w:rPr/>
            </w:pPr>
            <w:r>
              <w:rPr/>
              <w:t>Attn:</w:t>
            </w:r>
          </w:p>
        </w:tc>
        <w:tc>
          <w:tcPr>
            <w:tcW w:w="4100" w:type="dxa"/>
            <w:tcBorders/>
            <w:vAlign w:val="center"/>
          </w:tcPr>
          <w:p>
            <w:pPr>
              <w:pStyle w:val="TableContents"/>
              <w:bidi w:val="0"/>
              <w:spacing w:before="0" w:after="283"/>
              <w:jc w:val="left"/>
              <w:rPr/>
            </w:pPr>
            <w:r>
              <w:rPr/>
              <w:t>Jean-Claude Lanza (</w:t>
            </w:r>
            <w:r>
              <w:rPr>
                <w:u w:val="single"/>
              </w:rPr>
              <w:t>jlanza@pbwt.com</w:t>
            </w:r>
            <w:r>
              <w:rPr/>
              <w:t>)</w:t>
            </w:r>
          </w:p>
        </w:tc>
      </w:tr>
      <w:tr>
        <w:trPr/>
        <w:tc>
          <w:tcPr>
            <w:tcW w:w="51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Daniel Graf (</w:t>
            </w:r>
            <w:r>
              <w:rPr>
                <w:u w:val="single"/>
              </w:rPr>
              <w:t>dgraf@pbwt.com</w:t>
            </w:r>
            <w:r>
              <w:rPr/>
              <w:t>)</w:t>
            </w:r>
          </w:p>
        </w:tc>
      </w:tr>
      <w:tr>
        <w:trPr/>
        <w:tc>
          <w:tcPr>
            <w:tcW w:w="51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Michael Farinacci (</w:t>
            </w:r>
            <w:r>
              <w:rPr>
                <w:u w:val="single"/>
              </w:rPr>
              <w:t>mfarinacci@pbwt.com</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Abivax SA (CUSIP No.: 00370M103) (ATM Settlement Date: [●] [●], 20[●]) Instruction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 Deposit Agreement, dated as of October 24, 2023, as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and its successors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w:t>
      </w:r>
      <w:r>
        <w:rPr>
          <w:rFonts w:ascii="Times New Roman;Times;Serif" w:hAnsi="Times New Roman;Times;Serif"/>
          <w:b w:val="false"/>
          <w:i w:val="false"/>
          <w:caps w:val="false"/>
          <w:smallCaps w:val="false"/>
          <w:sz w:val="20"/>
          <w:u w:val="single"/>
        </w:rPr>
        <w:t>Citibank</w:t>
      </w:r>
      <w:r>
        <w:rPr>
          <w:rFonts w:ascii="Times New Roman;Times;Serif" w:hAnsi="Times New Roman;Times;Serif"/>
          <w:b w:val="false"/>
          <w:i w:val="false"/>
          <w:caps w:val="false"/>
          <w:smallCaps w:val="false"/>
          <w:sz w:val="20"/>
        </w:rPr>
        <w:t>”)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At-the-Market Letter Agreement, dated as of December 10, 2024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Letter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limitations set forth in the Deposit Agreement as supplemented by the Letter Agreement and promptly following the Depositary’s receipt of confirmation from the Custodian that the Custodian has received a deposit of the number of Shares specified below from, or on behalf of, the Company in connection with a Program Sale, Piper Sandler &amp; Co.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and the Company hereby jointly instruct the Depositary, and the Depositary hereby agrees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promptly accept for deposit the number of Shares and issue the number of Program ADSs in each case as specified below:</w:t>
      </w:r>
    </w:p>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466"/>
        <w:gridCol w:w="2739"/>
      </w:tblGrid>
      <w:tr>
        <w:trPr/>
        <w:tc>
          <w:tcPr>
            <w:tcW w:w="7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 deposited in connection with Program Sale(s):</w:t>
            </w:r>
          </w:p>
        </w:tc>
        <w:tc>
          <w:tcPr>
            <w:tcW w:w="273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br/>
              <w:t>____________ Shares</w:t>
            </w:r>
          </w:p>
        </w:tc>
      </w:tr>
      <w:tr>
        <w:trPr/>
        <w:tc>
          <w:tcPr>
            <w:tcW w:w="74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Number of Program ADSs (CUSIP No.: 00370M103); each Program ADS representing one (1) Share to be issued in connection with Program Sale(s):</w:t>
            </w:r>
          </w:p>
        </w:tc>
        <w:tc>
          <w:tcPr>
            <w:tcW w:w="27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br/>
              <w:t>____________ Program ADSs</w:t>
            </w:r>
          </w:p>
        </w:tc>
      </w:tr>
      <w:tr>
        <w:trPr/>
        <w:tc>
          <w:tcPr>
            <w:tcW w:w="74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Price per Program ADS sold in the Program Sale(s):</w:t>
            </w:r>
          </w:p>
        </w:tc>
        <w:tc>
          <w:tcPr>
            <w:tcW w:w="27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____________</w:t>
            </w:r>
          </w:p>
        </w:tc>
      </w:tr>
      <w:tr>
        <w:trPr/>
        <w:tc>
          <w:tcPr>
            <w:tcW w:w="74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Total value of Program ADSs sold</w:t>
            </w:r>
          </w:p>
        </w:tc>
        <w:tc>
          <w:tcPr>
            <w:tcW w:w="27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____________</w:t>
            </w:r>
          </w:p>
        </w:tc>
      </w:tr>
      <w:tr>
        <w:trPr/>
        <w:tc>
          <w:tcPr>
            <w:tcW w:w="746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Settlement Date</w:t>
            </w:r>
          </w:p>
        </w:tc>
        <w:tc>
          <w:tcPr>
            <w:tcW w:w="27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 20[●]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(ii) to promptly deliver such Program ADSs,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263"/>
        <w:gridCol w:w="2942"/>
      </w:tblGrid>
      <w:tr>
        <w:trPr/>
        <w:tc>
          <w:tcPr>
            <w:tcW w:w="726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Name of DTC Participant to which the Program ADSs are to be delivered:</w:t>
            </w:r>
          </w:p>
        </w:tc>
        <w:tc>
          <w:tcPr>
            <w:tcW w:w="29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DTC Participant Account No.:</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Account No. for recipient of Program ADSs at DTC Participant (f/b/o information):</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 on whose behalf the above number of Program ADSs are to be issued and delivered:</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Contact person at DTC Participant:</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Daytime telephone number of contact person at DTC Participant:</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t>_____________________________</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(i) represents and warrants to the Depositary as of the date hereof that the Shares being deposited into the ADS facility for the purpose of the issuance of the corresponding Program ADSs (a) will have been duly authorized and will be validly issued, fully paid, and non-assessable, (b)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and therefore will be fully fungible with the Shares then on deposit with the Custodian under the Deposit Agreement, (c) will be legally issued to, and deposited with, the Custodian, the Depositary, or any nominee of the Custodian or the Depositary, as the case may be, and will not be stripped of any rights or entitlements by the Company prior to or upon deposit with the Custodian, (d) will be free and clear of any lien, encumbrance, security interest, charge, mortgage or adverse claim, including, without limitation, any claim related to liabilities arising from the imposition of stamp duty taxes or stamp duty reserve tax, (ii) there are no pre-emptive rights (and any similar rights) with respect to the Shares to be deposited with the Custodian that have not been waived, exercised or lapsed, and (iii)(a) the Registration Statement (as defined in the Letter Agreement) is effective under the Securities Act and (b) no stop order suspending the effectiveness of the Registration Statement has been issued and no proceedings for such purpose have been instituted or are pending or, to the best knowledge of the Company, are contemplated or threatened by the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separately waived in a signed writing received from the Depositary, the Company hereby agrees and acknowledges that an aggregate issuance fee in the amount of US$[●], being the sum of the per Program ADS issuance fee (US$0.05 per ADS) multiplied by the number of Program ADSs instructed to be issued above pursuant to this Program Issuance and Delivery Instruction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US$0.05 * [●]) (the “</w:t>
      </w:r>
      <w:r>
        <w:rPr>
          <w:rFonts w:ascii="Times New Roman;Times;Serif" w:hAnsi="Times New Roman;Times;Serif"/>
          <w:b w:val="false"/>
          <w:i w:val="false"/>
          <w:caps w:val="false"/>
          <w:smallCaps w:val="false"/>
          <w:sz w:val="20"/>
          <w:u w:val="single"/>
        </w:rPr>
        <w:t>Program ADS Issuance Fee</w:t>
      </w:r>
      <w:r>
        <w:rPr>
          <w:rFonts w:ascii="Times New Roman;Times;Serif" w:hAnsi="Times New Roman;Times;Serif"/>
          <w:b w:val="false"/>
          <w:i w:val="false"/>
          <w:caps w:val="false"/>
          <w:smallCaps w:val="false"/>
          <w:sz w:val="20"/>
        </w:rPr>
        <w:t>”), shall be due and payable by the Company to the Depositary prior to issuance of any Program ADSs. In the absence of such a signed waiver from the Depositary, the Company hereby agrees and acknowledges that the Program ADS Issuance Fee has been paid by the Company to the following account of the Depositary:</w:t>
      </w:r>
    </w:p>
    <w:p>
      <w:pPr>
        <w:pStyle w:val="TextBody"/>
        <w:bidi w:val="0"/>
        <w:spacing w:before="0" w:after="0"/>
        <w:ind w:left="0" w:right="0" w:firstLine="1440"/>
        <w:jc w:val="left"/>
        <w:rPr>
          <w:caps w:val="false"/>
          <w:smallCaps w:val="false"/>
        </w:rPr>
      </w:pPr>
      <w:r>
        <w:rPr>
          <w:caps w:val="false"/>
          <w:smallCaps w:val="false"/>
        </w:rPr>
        <w:t>  </w:t>
      </w:r>
    </w:p>
    <w:tbl>
      <w:tblPr>
        <w:tblW w:w="6580" w:type="dxa"/>
        <w:jc w:val="left"/>
        <w:tblInd w:w="-10" w:type="dxa"/>
        <w:tblLayout w:type="fixed"/>
        <w:tblCellMar>
          <w:top w:w="28" w:type="dxa"/>
          <w:left w:w="28" w:type="dxa"/>
          <w:bottom w:w="28" w:type="dxa"/>
          <w:right w:w="28" w:type="dxa"/>
        </w:tblCellMar>
      </w:tblPr>
      <w:tblGrid>
        <w:gridCol w:w="1685"/>
        <w:gridCol w:w="4820"/>
        <w:gridCol w:w="75"/>
      </w:tblGrid>
      <w:tr>
        <w:trPr/>
        <w:tc>
          <w:tcPr>
            <w:tcW w:w="16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Bank Name</w:t>
            </w:r>
          </w:p>
        </w:tc>
        <w:tc>
          <w:tcPr>
            <w:tcW w:w="48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Citibank, N.A.</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Account Number</w:t>
            </w:r>
          </w:p>
        </w:tc>
        <w:tc>
          <w:tcPr>
            <w:tcW w:w="48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36859028</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ABA Number</w:t>
            </w:r>
          </w:p>
        </w:tc>
        <w:tc>
          <w:tcPr>
            <w:tcW w:w="48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021-000-089</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Account Name</w:t>
            </w:r>
          </w:p>
        </w:tc>
        <w:tc>
          <w:tcPr>
            <w:tcW w:w="48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Citibank ADR Dept.</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Ref</w:t>
            </w:r>
          </w:p>
        </w:tc>
        <w:tc>
          <w:tcPr>
            <w:tcW w:w="48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Issuance Fees (Abivax SA ATM Fees, Lin Kong)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acknowledges that the Depositary shall have no obligation to issue any Program ADSs prior to its receipt of the Program ADS Issuance Fee in full.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each of the parties hereto agrees and acknowledges that in the event the Depositary fails to receive payment in full of the Program ADS Issuance Fee, on or prior to the date hereof, the Depositary shall (i) not be obligated to perform any of the services contemplated by the Letter Agreement, including the issuance of the Program ADSs pursuant to this instruction, or the EDA, and (ii) incur no liability for its failure to undertake or perform any of the services contemplated by the Letter Agreement, including the issuance of the Program ADSs pursuant to this instruction, or the EDA, or otherwise contemplated to be undertaken or performed in connection with any Program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Broker hereby (i) certifies that it will comply with all applicable requirements of the Securities Act and the rules and regulations thereunder, and (ii) acknowledges that it is responsible for complying with all applicable laws, rules, and regulations relating to the offer and sale of the Program ADSs, including without limitation applicable “Blue Sky” or state securities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Issuance and Delivery Instruction may be executed in counterparts, each of which shall be deemed to be an original, and all of which, taken together, shall constitute one and the same instrument.</w:t>
      </w:r>
    </w:p>
    <w:p>
      <w:pPr>
        <w:pStyle w:val="TextBody"/>
        <w:bidi w:val="0"/>
        <w:spacing w:before="0" w:after="0"/>
        <w:ind w:left="0" w:right="0" w:firstLine="1440"/>
        <w:jc w:val="left"/>
        <w:rPr>
          <w:caps w:val="false"/>
          <w:smallCaps w:val="false"/>
        </w:rPr>
      </w:pPr>
      <w:r>
        <w:rPr>
          <w:caps w:val="false"/>
          <w:smallCaps w:val="false"/>
        </w:rPr>
        <w:t> </w:t>
      </w:r>
    </w:p>
    <w:tbl>
      <w:tblPr>
        <w:tblW w:w="4193" w:type="dxa"/>
        <w:jc w:val="left"/>
        <w:tblInd w:w="0" w:type="dxa"/>
        <w:tblLayout w:type="fixed"/>
        <w:tblCellMar>
          <w:top w:w="0" w:type="dxa"/>
          <w:left w:w="0" w:type="dxa"/>
          <w:bottom w:w="0" w:type="dxa"/>
          <w:right w:w="0" w:type="dxa"/>
        </w:tblCellMar>
      </w:tblPr>
      <w:tblGrid>
        <w:gridCol w:w="2499"/>
        <w:gridCol w:w="250"/>
        <w:gridCol w:w="60"/>
        <w:gridCol w:w="1228"/>
        <w:gridCol w:w="156"/>
      </w:tblGrid>
      <w:tr>
        <w:trPr/>
        <w:tc>
          <w:tcPr>
            <w:tcW w:w="2749" w:type="dxa"/>
            <w:gridSpan w:val="2"/>
            <w:tcBorders/>
            <w:vAlign w:val="center"/>
          </w:tcPr>
          <w:p>
            <w:pPr>
              <w:pStyle w:val="TableContents"/>
              <w:bidi w:val="0"/>
              <w:spacing w:before="0" w:after="283"/>
              <w:jc w:val="left"/>
              <w:rPr>
                <w:b/>
              </w:rPr>
            </w:pPr>
            <w:r>
              <w:rPr>
                <w:b/>
              </w:rPr>
              <w:t>PIPER SANDLER &amp; CO.</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b/>
              </w:rPr>
            </w:pPr>
            <w:r>
              <w:rPr>
                <w:b/>
              </w:rPr>
              <w:t>ABIVAX SA</w:t>
            </w:r>
          </w:p>
        </w:tc>
      </w:tr>
      <w:tr>
        <w:trPr/>
        <w:tc>
          <w:tcPr>
            <w:tcW w:w="2499"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r>
      <w:tr>
        <w:trPr/>
        <w:tc>
          <w:tcPr>
            <w:tcW w:w="2499" w:type="dxa"/>
            <w:tcBorders/>
            <w:vAlign w:val="center"/>
          </w:tcPr>
          <w:p>
            <w:pPr>
              <w:pStyle w:val="TableContents"/>
              <w:bidi w:val="0"/>
              <w:spacing w:before="0" w:after="283"/>
              <w:jc w:val="left"/>
              <w:rPr/>
            </w:pPr>
            <w:r>
              <w:rPr/>
              <w:t>By:</w:t>
            </w:r>
          </w:p>
        </w:tc>
        <w:tc>
          <w:tcPr>
            <w:tcW w:w="2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By:</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99" w:type="dxa"/>
            <w:tcBorders/>
            <w:vAlign w:val="center"/>
          </w:tcPr>
          <w:p>
            <w:pPr>
              <w:pStyle w:val="TableContents"/>
              <w:bidi w:val="0"/>
              <w:spacing w:before="0" w:after="283"/>
              <w:jc w:val="left"/>
              <w:rPr/>
            </w:pPr>
            <w:r>
              <w:rPr/>
              <w:t>Name:</w:t>
            </w:r>
          </w:p>
        </w:tc>
        <w:tc>
          <w:tcPr>
            <w:tcW w:w="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Name:</w:t>
            </w:r>
          </w:p>
        </w:tc>
        <w:tc>
          <w:tcPr>
            <w:tcW w:w="156" w:type="dxa"/>
            <w:tcBorders/>
            <w:vAlign w:val="center"/>
          </w:tcPr>
          <w:p>
            <w:pPr>
              <w:pStyle w:val="TableContents"/>
              <w:bidi w:val="0"/>
              <w:spacing w:before="0" w:after="283"/>
              <w:jc w:val="left"/>
              <w:rPr/>
            </w:pPr>
            <w:r>
              <w:rPr/>
              <w:t> </w:t>
            </w:r>
          </w:p>
        </w:tc>
      </w:tr>
      <w:tr>
        <w:trPr/>
        <w:tc>
          <w:tcPr>
            <w:tcW w:w="2499" w:type="dxa"/>
            <w:tcBorders/>
            <w:vAlign w:val="center"/>
          </w:tcPr>
          <w:p>
            <w:pPr>
              <w:pStyle w:val="TableContents"/>
              <w:bidi w:val="0"/>
              <w:spacing w:before="0" w:after="283"/>
              <w:jc w:val="left"/>
              <w:rPr/>
            </w:pPr>
            <w:r>
              <w:rPr/>
              <w:t>Title:</w:t>
            </w:r>
          </w:p>
        </w:tc>
        <w:tc>
          <w:tcPr>
            <w:tcW w:w="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Title:</w:t>
            </w:r>
          </w:p>
        </w:tc>
        <w:tc>
          <w:tcPr>
            <w:tcW w:w="15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pBdr>
          <w:bottom w:val="single" w:sz="8" w:space="1" w:color="000000"/>
        </w:pBdr>
        <w:bidi w:val="0"/>
        <w:jc w:val="center"/>
        <w:rPr/>
      </w:pPr>
      <w:r>
        <w:rPr/>
        <w:t>A-4</w:t>
      </w:r>
    </w:p>
    <w:p>
      <w:pPr>
        <w:pStyle w:val="TextBody"/>
        <w:bidi w:val="0"/>
        <w:spacing w:before="0" w:after="0"/>
        <w:ind w:left="0" w:right="0" w:hanging="0"/>
        <w:jc w:val="left"/>
        <w:rPr/>
      </w:pPr>
      <w:bookmarkStart w:id="6" w:name="e665785_ex99-bii.htm"/>
      <w:bookmarkStart w:id="7" w:name="kse665785_ex99bii"/>
      <w:bookmarkEnd w:id="6"/>
      <w:bookmarkEnd w:id="7"/>
      <w:r>
        <w:rPr/>
        <w:t> </w:t>
      </w:r>
      <w:r>
        <w:br w:type="page"/>
      </w:r>
    </w:p>
    <w:p>
      <w:pPr>
        <w:pStyle w:val="TextBody"/>
        <w:bidi w:val="0"/>
        <w:spacing w:before="0" w:after="0"/>
        <w:jc w:val="center"/>
        <w:rPr>
          <w:u w:val="single"/>
        </w:rPr>
      </w:pPr>
      <w:r>
        <w:rPr>
          <w:u w:val="single"/>
        </w:rPr>
        <w:t>Exhibit (b)(ii)</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Nicole C. Niceforo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Abivax SA ADS Program - Restricted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Deposit Agreement, dated as of October 24, 2023,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(in such capacity,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All capitalized terms used, but not otherwise defined herein, shall have the meaning assigned thereto in the Deposit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establish procedures (the “</w:t>
      </w:r>
      <w:r>
        <w:rPr>
          <w:rFonts w:ascii="Times New Roman;Times;Serif" w:hAnsi="Times New Roman;Times;Serif"/>
          <w:b w:val="false"/>
          <w:i w:val="false"/>
          <w:caps w:val="false"/>
          <w:smallCaps w:val="false"/>
          <w:sz w:val="20"/>
          <w:u w:val="single"/>
        </w:rPr>
        <w:t>Restricted ADS Facility</w:t>
      </w:r>
      <w:r>
        <w:rPr>
          <w:rFonts w:ascii="Times New Roman;Times;Serif" w:hAnsi="Times New Roman;Times;Serif"/>
          <w:b w:val="false"/>
          <w:i w:val="false"/>
          <w:caps w:val="false"/>
          <w:smallCaps w:val="false"/>
          <w:sz w:val="20"/>
        </w:rPr>
        <w:t>”) pursuant to Section 2.14 of the Deposit Agreement to enable the Company and certain holders of Shares, including Affiliates of the Company (each, a “</w:t>
      </w:r>
      <w:r>
        <w:rPr>
          <w:rFonts w:ascii="Times New Roman;Times;Serif" w:hAnsi="Times New Roman;Times;Serif"/>
          <w:b w:val="false"/>
          <w:i w:val="false"/>
          <w:caps w:val="false"/>
          <w:smallCaps w:val="false"/>
          <w:sz w:val="20"/>
          <w:u w:val="single"/>
        </w:rPr>
        <w:t>Restricted Holder</w:t>
      </w:r>
      <w:r>
        <w:rPr>
          <w:rFonts w:ascii="Times New Roman;Times;Serif" w:hAnsi="Times New Roman;Times;Serif"/>
          <w:b w:val="false"/>
          <w:i w:val="false"/>
          <w:caps w:val="false"/>
          <w:smallCaps w:val="false"/>
          <w:sz w:val="20"/>
        </w:rPr>
        <w:t>”), that constitute Restricted Securities (such Shares,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to deposit Restricted Shares for the issuance and delivery of Restricted ADSs. The Depositary agrees to accommodate the deposit of Restricted Shares and the issuance of Restricted ADSs, provided that (a) the terms of deposit of the Restricted Shares for Restricted ADSs neither (i) prejudice any substantial rights of existing Holders and Beneficial Owners of ADSs under the Deposit Agreement, nor (ii) violate or conflict with any law, rule or administrative position applicable to the ADSs, and (b) the terms of the Deposit Agreement, including Section 2.14 thereof, are supplemented as set forth in this Restricted ADS Letter Agreement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to establish procedures for the Restricted ADS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facilitate the orderly administration of the Restricted ADS Facility and to reflect the varying restrictions, characteristics, and other terms and provisions, applicable to differently situated Restricted Holders, Restricted Shares, and/or Restricted ADSs (including, without limitation, restrictions on the transfer or disposal of Restricted Shares and Restricted ADSs), this Restricted ADS Letter Agreement and the Deposit Agreement shall each be supplemented from time to time by the execution and delivery of one or more Restricted ADS series supplements, substantially in the form of </w:t>
      </w:r>
      <w:r>
        <w:rPr>
          <w:rFonts w:ascii="Times New Roman;Times;Serif" w:hAnsi="Times New Roman;Times;Serif"/>
          <w:b w:val="false"/>
          <w:i w:val="false"/>
          <w:caps w:val="false"/>
          <w:smallCaps w:val="false"/>
          <w:sz w:val="20"/>
          <w:u w:val="single"/>
        </w:rPr>
        <w:t>Appendix 1</w:t>
      </w:r>
      <w:r>
        <w:rPr>
          <w:rFonts w:ascii="Times New Roman;Times;Serif" w:hAnsi="Times New Roman;Times;Serif"/>
          <w:b w:val="false"/>
          <w:i w:val="false"/>
          <w:caps w:val="false"/>
          <w:smallCaps w:val="false"/>
          <w:sz w:val="20"/>
        </w:rPr>
        <w:t xml:space="preserve"> hereto (each, an “</w:t>
      </w:r>
      <w:r>
        <w:rPr>
          <w:rFonts w:ascii="Times New Roman;Times;Serif" w:hAnsi="Times New Roman;Times;Serif"/>
          <w:b w:val="false"/>
          <w:i w:val="false"/>
          <w:caps w:val="false"/>
          <w:smallCaps w:val="false"/>
          <w:sz w:val="20"/>
          <w:u w:val="single"/>
        </w:rPr>
        <w:t>Restricted ADS Series Supplement</w:t>
      </w:r>
      <w:r>
        <w:rPr>
          <w:rFonts w:ascii="Times New Roman;Times;Serif" w:hAnsi="Times New Roman;Times;Serif"/>
          <w:b w:val="false"/>
          <w:i w:val="false"/>
          <w:caps w:val="false"/>
          <w:smallCaps w:val="false"/>
          <w:sz w:val="20"/>
        </w:rPr>
        <w:t>”), specifying the particular limitations and terms and conditions applicable to certain Restricted Holders, and/or certain Restricted Shares, and/or Restricted ADSs, as is necessary and/or prudent to identify such the differing restrictions and characteristics.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or inconsistency between the general terms and provisions of this Restricted ADS Letter Agreement and the more specific terms and provisions of a Restricted ADS Series Supplement with respect to the particular Restricted Holder(s), Restricted Shares, and/or Restricted ADSs described therein, the terms and provisions of such Restricted ADS Series Supplement shall control with respect to the specific subject matter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and intent of this Restricted ADS Letter Agreement is to supplement the Deposit Agreement in order to accommodate (i) the deposit of Restricted Shares, (ii) the issuance of Restricted ADSs, (iii) the sale, transfer or cancellation of such Restricted ADSs, and (iv) certain ancillary transactions further described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the receipt and sufficiency of which are hereby acknowledged, the Company and the Depositary hereby agree, as contemplated in Section 2.14 of the Deposit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Depositary Procedures</w:t>
      </w:r>
      <w:r>
        <w:rPr>
          <w:rFonts w:ascii="Times New Roman;Times;Serif" w:hAnsi="Times New Roman;Times;Serif"/>
          <w:b w:val="false"/>
          <w:i w:val="false"/>
          <w:caps w:val="false"/>
          <w:smallCaps w:val="false"/>
          <w:sz w:val="20"/>
        </w:rPr>
        <w:t>. Subject to the specific terms set forth in each applicable Restricted ADS Series Supplement, (i)(a) the Company may make deposits of, and the Company consents to the deposits by, for, or on behalf of, each Restricted Holder, under Section 2.3 of the Deposit Agreement of certain Restricted Shares to be specified in the applicable Standard Consent and Delivery Instruction (as defined below) to be delivered to the Depositary regarding the deposit of such Restricted Shares (each such transaction, a “</w:t>
      </w:r>
      <w:r>
        <w:rPr>
          <w:rFonts w:ascii="Times New Roman;Times;Serif" w:hAnsi="Times New Roman;Times;Serif"/>
          <w:b w:val="false"/>
          <w:i w:val="false"/>
          <w:caps w:val="false"/>
          <w:smallCaps w:val="false"/>
          <w:sz w:val="20"/>
          <w:u w:val="single"/>
        </w:rPr>
        <w:t>Restricted Share Deposit for Restricted ADS Issuance</w:t>
      </w:r>
      <w:r>
        <w:rPr>
          <w:rFonts w:ascii="Times New Roman;Times;Serif" w:hAnsi="Times New Roman;Times;Serif"/>
          <w:b w:val="false"/>
          <w:i w:val="false"/>
          <w:caps w:val="false"/>
          <w:smallCaps w:val="false"/>
          <w:sz w:val="20"/>
        </w:rPr>
        <w:t>”), and (b) if applicable, the Company consents to the surrender of freely transferable, unrestricted ADSs (each, an “</w:t>
      </w:r>
      <w:r>
        <w:rPr>
          <w:rFonts w:ascii="Times New Roman;Times;Serif" w:hAnsi="Times New Roman;Times;Serif"/>
          <w:b w:val="false"/>
          <w:i w:val="false"/>
          <w:caps w:val="false"/>
          <w:smallCaps w:val="false"/>
          <w:sz w:val="20"/>
          <w:u w:val="single"/>
        </w:rPr>
        <w:t>Unrestricted ADS</w:t>
      </w:r>
      <w:r>
        <w:rPr>
          <w:rFonts w:ascii="Times New Roman;Times;Serif" w:hAnsi="Times New Roman;Times;Serif"/>
          <w:b w:val="false"/>
          <w:i w:val="false"/>
          <w:caps w:val="false"/>
          <w:smallCaps w:val="false"/>
          <w:sz w:val="20"/>
        </w:rPr>
        <w:t>”) to the Depositary for cancellation and conversion into the corresponding Restricted ADSs by, for, or on behalf of, each Restricted Holder specified in the applicable Standard Consent and Delivery Instruction applicable thereto delivered to the Depositary regarding the delivery of such Unrestricted ADSs for cancellation and conversion into Restricted ADSs (each such transaction, an “</w:t>
      </w:r>
      <w:r>
        <w:rPr>
          <w:rFonts w:ascii="Times New Roman;Times;Serif" w:hAnsi="Times New Roman;Times;Serif"/>
          <w:b w:val="false"/>
          <w:i w:val="false"/>
          <w:caps w:val="false"/>
          <w:smallCaps w:val="false"/>
          <w:sz w:val="20"/>
          <w:u w:val="single"/>
        </w:rPr>
        <w:t>ADS Delivery for Restricted ADS Conversion</w:t>
      </w:r>
      <w:r>
        <w:rPr>
          <w:rFonts w:ascii="Times New Roman;Times;Serif" w:hAnsi="Times New Roman;Times;Serif"/>
          <w:b w:val="false"/>
          <w:i w:val="false"/>
          <w:caps w:val="false"/>
          <w:smallCaps w:val="false"/>
          <w:sz w:val="20"/>
        </w:rPr>
        <w:t>”), and (ii) in each case, the Depositary may issue and deliver the corresponding number of Restricted ADSs in respect thereof in the form of Uncertificated ADSs, upon the terms set forth in Section 2.13 of the Deposit Agreement, as supplemented by this Restricted ADS Letter Agreement and the applicable Restricted ADS Series Supplement, to the Restricted Holders or their respective designees.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may otherwise be provided in any Restricted ADS Series Supplement, in connection with (i) each Restricted Share Deposit for Restricted ADS Issuance (a) by the Company, the Company shall deliver to the Depositary a duly completed and signed consent and delivery instruction substantially in the form of </w:t>
      </w:r>
      <w:r>
        <w:rPr>
          <w:rFonts w:ascii="Times New Roman;Times;Serif" w:hAnsi="Times New Roman;Times;Serif"/>
          <w:b w:val="false"/>
          <w:i w:val="false"/>
          <w:caps w:val="false"/>
          <w:smallCaps w:val="false"/>
          <w:sz w:val="20"/>
          <w:u w:val="single"/>
        </w:rPr>
        <w:t>Appendix 2-A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Standard Consent and Delivery Instruction – Company</w:t>
      </w:r>
      <w:r>
        <w:rPr>
          <w:rFonts w:ascii="Times New Roman;Times;Serif" w:hAnsi="Times New Roman;Times;Serif"/>
          <w:b w:val="false"/>
          <w:i w:val="false"/>
          <w:caps w:val="false"/>
          <w:smallCaps w:val="false"/>
          <w:sz w:val="20"/>
        </w:rPr>
        <w:t xml:space="preserve">”), and (b) by a Restricted Holder, the Restricted Holder shall be required to deliver to the Depositary a duly completed and signed consent and delivery instruction substantially in the form of </w:t>
      </w:r>
      <w:r>
        <w:rPr>
          <w:rFonts w:ascii="Times New Roman;Times;Serif" w:hAnsi="Times New Roman;Times;Serif"/>
          <w:b w:val="false"/>
          <w:i w:val="false"/>
          <w:caps w:val="false"/>
          <w:smallCaps w:val="false"/>
          <w:sz w:val="20"/>
          <w:u w:val="single"/>
        </w:rPr>
        <w:t>Appendix 2-B</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Standard Consent and Delivery Instruction – Restricted Holder</w:t>
      </w:r>
      <w:r>
        <w:rPr>
          <w:rFonts w:ascii="Times New Roman;Times;Serif" w:hAnsi="Times New Roman;Times;Serif"/>
          <w:b w:val="false"/>
          <w:i w:val="false"/>
          <w:caps w:val="false"/>
          <w:smallCaps w:val="false"/>
          <w:sz w:val="20"/>
        </w:rPr>
        <w:t xml:space="preserve">”), and (ii) each ADS Delivery for Restricted ADS Conversion, the Restricted Holder shall be required to deliver to the Depositary a duly completed and signed consent and delivery instruction substantially in the form of </w:t>
      </w:r>
      <w:r>
        <w:rPr>
          <w:rFonts w:ascii="Times New Roman;Times;Serif" w:hAnsi="Times New Roman;Times;Serif"/>
          <w:b w:val="false"/>
          <w:i w:val="false"/>
          <w:caps w:val="false"/>
          <w:smallCaps w:val="false"/>
          <w:sz w:val="20"/>
          <w:u w:val="single"/>
        </w:rPr>
        <w:t>Appendix 2-C</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Standard Consent and Delivery Instruction – ADS Delivery for Restricted ADS Conversion</w:t>
      </w:r>
      <w:r>
        <w:rPr>
          <w:rFonts w:ascii="Times New Roman;Times;Serif" w:hAnsi="Times New Roman;Times;Serif"/>
          <w:b w:val="false"/>
          <w:i w:val="false"/>
          <w:caps w:val="false"/>
          <w:smallCaps w:val="false"/>
          <w:sz w:val="20"/>
        </w:rPr>
        <w:t>” and together with a Standard Consent and Delivery Instruction – Company and a Standard Consent and Delivery Instruction – Restricted Holder, a “</w:t>
      </w:r>
      <w:r>
        <w:rPr>
          <w:rFonts w:ascii="Times New Roman;Times;Serif" w:hAnsi="Times New Roman;Times;Serif"/>
          <w:b w:val="false"/>
          <w:i w:val="false"/>
          <w:caps w:val="false"/>
          <w:smallCaps w:val="false"/>
          <w:sz w:val="20"/>
          <w:u w:val="single"/>
        </w:rPr>
        <w:t>Standard Consent and Delivery Instruction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Company instructs the Depositary, and the Depositary agrees, upon the terms and subject to the conditions set forth in Section 2.14 of the Deposit Agreement as supplemented by this Restricted ADS Letter Agreement, to (i) establish procedures to enable (x) Restricted Share Deposits for Restricted ADS Issuances by the Company, or by, for, or on behalf of the Restricted Holders, as a valid deposit of Shares under the Deposit Agreement in order to enable the issuance and delivery by the Depositary to the Restricted Holders of the corresponding Restricted ADSs upon the terms of this Restricted ADS Letter Agreement and the applicable Restricted ADS Series Supplement, (y) ADS Deliveries for Restricted ADS Conversions by, for, or on behalf of, the Restricted Holders in order to enable the cancellation and conversion of such Unrestricted ADSs and the issuance and delivery by the Depositary to the Restricted Holders of the corresponding Restricted ADSs issued under the terms of this Restricted ADS Letter Agreement and the applicable Restricted ADS Series Supplement, and (z) the transfer of Restricted ADSs, the removal of the transfer and other restrictions with respect to Restricted ADSs in order to create Unrestricted ADSs, and the withdrawal of the Restricted Shares upon cancellation of the Restricted ADSs, in each case upon the terms and conditions set forth in the Deposit Agreement as supplemented by the terms of this Restricted ADS Letter Agreement and the applicable Restricted ADS Series Supplement, and (ii) deliver an account statement (the “</w:t>
      </w:r>
      <w:r>
        <w:rPr>
          <w:rFonts w:ascii="Times New Roman;Times;Serif" w:hAnsi="Times New Roman;Times;Serif"/>
          <w:b w:val="false"/>
          <w:i w:val="false"/>
          <w:caps w:val="false"/>
          <w:smallCaps w:val="false"/>
          <w:sz w:val="20"/>
          <w:u w:val="single"/>
        </w:rPr>
        <w:t>Account Statement</w:t>
      </w:r>
      <w:r>
        <w:rPr>
          <w:rFonts w:ascii="Times New Roman;Times;Serif" w:hAnsi="Times New Roman;Times;Serif"/>
          <w:b w:val="false"/>
          <w:i w:val="false"/>
          <w:caps w:val="false"/>
          <w:smallCaps w:val="false"/>
          <w:sz w:val="20"/>
        </w:rPr>
        <w:t>”) to the Restricted Holder(s) upon the issuance of the Restricted ADSs, in each case upon the terms set forth in this Restricted ADS Letter Agreement and the applicable Restricted ADS Series Supplement. Nothing contained in this Restricted ADS Letter Agreement shall in any way obligate the Depositary, or give authority to the Depositary, to accept (i) any Restricted Share Deposits for Restricted ADS Issuances other than as described in this Restricted ADS Letter Agreement and in the applicable Restricted ADS Series Supplement, or (ii) any ADS Deliveries for Restricted ADS Conversions other than as described in this Restricted ADS Letter Agreement and in the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Company Assistance</w:t>
      </w:r>
      <w:r>
        <w:rPr>
          <w:rFonts w:ascii="Times New Roman;Times;Serif" w:hAnsi="Times New Roman;Times;Serif"/>
          <w:b w:val="false"/>
          <w:i w:val="false"/>
          <w:caps w:val="false"/>
          <w:smallCaps w:val="false"/>
          <w:sz w:val="20"/>
        </w:rPr>
        <w:t>. The Company agrees to (i) provide commercially reasonable assistance upon the request of and to the Depositary in the establishment of such procedures to enable the acceptance by, or on behalf of, the Depositary of the deposit by the Company and by, for, or on behalf of, the Restricted Holders of Restricted Shares in connection with Restricted Share Deposits for Restricted ADS Issuances, the acceptance of the delivery by, for, or on behalf of, the Restricted Holders of Unrestricted ADSs in connection with ADS Deliveries for Restricted ADS Conversions, the issuance of Restricted ADSs in connection with Restricted Share Deposits for Restricted ADS Issuances and ADS Deliveries for Restricted ADS Conversions, the transfer of Restricted ADSs, the withdrawal of Restricted Shares and the conversion of Restricted ADSs into freely transferable ADSs, and (ii) take all commercially reasonable steps requested by the Depositary to ensure that the acceptance of the deposit of Restricted Shares in connection with Restricted Share Deposits for Restricted ADS Issuances, the acceptance of the delivery of Unrestricted ADSs in connection with ADS Deliveries for Restricted ADS Conversions, the issuance of Restricted ADSs in connection with Restricted Share Deposits for Restricted ADS Issuances and ADS Deliveries for Restricted ADS Conversions, the transfer of Restricted ADSs, the conversion of Restricted ADSs into freely transferable ADSs, and the withdrawal of Restricted Shares, in each case upon the terms and conditions set forth herein, do not prejudice any substantial existing rights of Holders or Beneficial Owners of ADSs and do not violate the provisions of the Securities Act or any other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furtherance of the foregoing, the Company shall at the time of execution of this Restricted ADS Letter Agreement cause (A) its U.S. counsel to deliver an opinion to the Depositary as of the date hereof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that assuming its due authorization, execution and delivery, this Restricted ADS Letter Agreement is a valid and binding obligation of the Company and is enforceable against the Company under the laws of the State of New York, except as the enforcement thereof may be limited by bankruptcy, insolvency (including, without limitation, all laws relating to fraudulent transfers), reorganization, moratorium, debtor and creditor or similar laws affecting the enforcement of creditors’ rights generally, and as enforcement thereof is subject to general principles of equity (regardless of whether enforcement is considered in a proceeding in equity or at law), and (B) its French counsel to deliver an opinion to the Depositary as of the date hereof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that (i) the Company has duly authorized and executed this Restricted ADS Letter Agreement, (ii) this Restricted ADS Letter Agreement constitutes a legal, valid and binding obligation of the Company under the laws of France enforceable against the Company upon its terms, (iii) all approvals required by the laws of France to permit the entry by the Company into this Restricted ADS Letter Agreement have been obtained, (iv) all approvals required by the laws of France to permit the deposit of Restricted Shares under the Deposit Agreement and this Restricted ADS Letter Agreement have been obtained, and (v) the terms of this Restricted ADS Letter Agreement and the transactions contemplated by this Restricted ADS Letter Agreement do not violate, contravene or conflict with any existing laws of France of general application.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shall at the time of the execution and delivery of each Restricted ADS Series Supplement, cause such additional opinions to be delivered as may be specified in each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Limitations on Issuance of Restricted ADSs</w:t>
      </w:r>
      <w:r>
        <w:rPr>
          <w:rFonts w:ascii="Times New Roman;Times;Serif" w:hAnsi="Times New Roman;Times;Serif"/>
          <w:b w:val="false"/>
          <w:i w:val="false"/>
          <w:caps w:val="false"/>
          <w:smallCaps w:val="false"/>
          <w:sz w:val="20"/>
        </w:rPr>
        <w:t>. The Company hereby instructs the Depositary, and the Depositary agrees, upon the terms and subject to the conditions set forth in this Restricted ADS Letter Agreement and the applicable Restricted ADS Series Supplement, to issue and deliver Restricted ADSs only (x) in the case of Restricted Share Deposits for Restricted ADS Issuances upon receipt of (i) a duly completed and signed Standard Consent and Delivery Instruction from the Company or the Restricted Holder, as applicable (except as may otherwise be provided in any Restricted ADS Series Supplement), (ii) confirmation from the Custodian of the receipt of the due deposit of the corresponding Restricted Shares by the Company, or by, for, or on behalf of a Restricted Holder, or, in the case of an ADS Delivery for Restricted ADS Conversion, confirmation of the receipt of the corresponding Unrestricted ADSs delivered by, for, or on behalf of, the Restricted Holder(s) thereof, and (iii) payment of the applicable fees, taxes and expenses otherwise payable under the terms of the Deposit Agreement, as supplemented by this Restricted ADS Letter Agreement and the applicable Restricted ADS Series Supplement, upon the deposit of the corresponding Restricted Shares, the delivery, cancellation and conversion of the corresponding Unrestricted ADSs, and the issuance of the Restricted ADSs, and (y) in the event of any corporate action of the Company which results in the issuance of Restricted ADSs to the holder(s) of the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 shall (unless otherwise agreed by the Company and the Depositary in writing) cause (i) the Restricted ADSs of each applicable series to be separately identified on the books of the Depositary under a </w:t>
      </w:r>
      <w:r>
        <w:rPr>
          <w:rFonts w:ascii="Times New Roman;Times;Serif" w:hAnsi="Times New Roman;Times;Serif"/>
          <w:b w:val="false"/>
          <w:i w:val="false"/>
          <w:caps/>
          <w:sz w:val="20"/>
        </w:rPr>
        <w:t>Cusip</w:t>
      </w:r>
      <w:r>
        <w:rPr>
          <w:rFonts w:ascii="Times New Roman;Times;Serif" w:hAnsi="Times New Roman;Times;Serif"/>
          <w:b w:val="false"/>
          <w:i w:val="false"/>
          <w:caps w:val="false"/>
          <w:smallCaps w:val="false"/>
          <w:sz w:val="20"/>
        </w:rPr>
        <w:t xml:space="preserve"> No. to be specified in the applicable Restricted ADS Series Supplement (which may be re-used by the Depositary to identify other Restricted ADSs to be issued under the terms of the Deposit Agreement, as supplemented by this Restricted ADS Letter Agreement and the applicable Restricted ADS Series Supplement), and (ii) the Restricted Shares to be held, to the extent practicable, separate and distinct by the Custodian from the other Deposited Securities held by the Custodian in respect of the ADSs issued under the Deposit Agreement that are not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hereby authorized and directed to issue Restricted ADSs as uncertificated Restricted ADSs registered in the books of the Depositary in the name of the Restricted Holders or their designees for the benefit of the Restricted Holders subject to the restrictions specified in Section 4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Stop Transfer Notation and Legend</w:t>
      </w:r>
      <w:r>
        <w:rPr>
          <w:rFonts w:ascii="Times New Roman;Times;Serif" w:hAnsi="Times New Roman;Times;Serif"/>
          <w:b w:val="false"/>
          <w:i w:val="false"/>
          <w:caps w:val="false"/>
          <w:smallCaps w:val="false"/>
          <w:sz w:val="20"/>
        </w:rPr>
        <w:t>. The books of the Depositary shall identify the Restricted ADSs as “restricted” and shall contain a “stop transfer” notation to that effect. The Account Statements to be sent by the Depositary to the Restricted Holders upon the issuance of Restricted ADSs shall contain a legend substantially in the form of the legend specified in the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Limitations on Transfer of Restricted ADSs</w:t>
      </w:r>
      <w:r>
        <w:rPr>
          <w:rFonts w:ascii="Times New Roman;Times;Serif" w:hAnsi="Times New Roman;Times;Serif"/>
          <w:b w:val="false"/>
          <w:i w:val="false"/>
          <w:caps w:val="false"/>
          <w:smallCaps w:val="false"/>
          <w:sz w:val="20"/>
        </w:rPr>
        <w:t xml:space="preserve">. The Restricted ADSs shall be transferable in Restricted ADS form only by the Restricted Holder thereof upon delivery to the Depositary of (i) all applicable documentation otherwise contemplated by the Deposit Agreement and payment of the applicable fees, taxes and expenses otherwise payable in connection with the transfer of ADSs under the terms of the Deposit Agreement, this Restricted ADS Letter Agreement, and the applicable Restricted ADS Series Supplement, (ii) a duly completed, signed and medallion-guaranteed transfer certification from the transferring Restricted Holder substantially in the form attached hereto as </w:t>
      </w:r>
      <w:r>
        <w:rPr>
          <w:rFonts w:ascii="Times New Roman;Times;Serif" w:hAnsi="Times New Roman;Times;Serif"/>
          <w:b w:val="false"/>
          <w:i w:val="false"/>
          <w:caps w:val="false"/>
          <w:smallCaps w:val="false"/>
          <w:sz w:val="20"/>
          <w:u w:val="single"/>
        </w:rPr>
        <w:t>Appendix 3</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Standard Transfer Certification</w:t>
      </w:r>
      <w:r>
        <w:rPr>
          <w:rFonts w:ascii="Times New Roman;Times;Serif" w:hAnsi="Times New Roman;Times;Serif"/>
          <w:b w:val="false"/>
          <w:i w:val="false"/>
          <w:caps w:val="false"/>
          <w:smallCaps w:val="false"/>
          <w:sz w:val="20"/>
        </w:rPr>
        <w:t>”) (except as may otherwise be provided in the applicable Restricted ADS Series Supplement), (iii) such other certificates, instruments, or documents as may be provided in any applicable Restricted ADS Series Supplement (including, without limitation, any opinions of counsel specified therein), and (iv) such other documents as may reasonably be requested by the Depositary under the terms of this Restricted ADS Letter Agreement and the applicable Restricted ADS Series Supplement in connection with the transfer of Restricted ADSs (including, without limitation, any opinions of U.S. counsel as to compliance with the terms of the legend set forth in the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Limitations On Cancellation of Restricted ADSs</w:t>
      </w:r>
      <w:r>
        <w:rPr>
          <w:rFonts w:ascii="Times New Roman;Times;Serif" w:hAnsi="Times New Roman;Times;Serif"/>
          <w:b w:val="false"/>
          <w:i w:val="false"/>
          <w:caps w:val="false"/>
          <w:smallCaps w:val="false"/>
          <w:sz w:val="20"/>
        </w:rPr>
        <w:t xml:space="preserve">. The Company instructs the Depositary, and the Depositary agrees, not to release any Restricted Shares or cancel any Restricted ADSs for the purpose of withdrawing the underlying Restricted Shares unless (i) the conditions applicable to the withdrawal of Shares from the ADR facility created pursuant to the terms of the Deposit Agreement have been satisfied (except for any conditions relating to the Shares not being Restricted Securities), including, without limitation, payment to the Depositary of the applicable fees, taxes and expenses otherwise payable under the terms of the Deposit Agreement, this Restricted ADS Letter Agreement and the applicable Restricted ADS Series Supplement in connection with the cancellation of ADSs and withdrawal of Deposited Securities, (ii) the Depositary shall have received from the person who requested a withdrawal of the Restricted Shares a duly completed and signed withdrawal certification substantially in the form attached hereto as </w:t>
      </w:r>
      <w:r>
        <w:rPr>
          <w:rFonts w:ascii="Times New Roman;Times;Serif" w:hAnsi="Times New Roman;Times;Serif"/>
          <w:b w:val="false"/>
          <w:i w:val="false"/>
          <w:caps w:val="false"/>
          <w:smallCaps w:val="false"/>
          <w:sz w:val="20"/>
          <w:u w:val="single"/>
        </w:rPr>
        <w:t>Appendix 4</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Standard Withdrawal Certification</w:t>
      </w:r>
      <w:r>
        <w:rPr>
          <w:rFonts w:ascii="Times New Roman;Times;Serif" w:hAnsi="Times New Roman;Times;Serif"/>
          <w:b w:val="false"/>
          <w:i w:val="false"/>
          <w:caps w:val="false"/>
          <w:smallCaps w:val="false"/>
          <w:sz w:val="20"/>
        </w:rPr>
        <w:t>”) (except as may otherwise be provided in any Restricted ADS Series Supplement), (iii) such other certificates, instruments, or documents as may be provided in any applicable Restricted ADS Series Supplement (including, without limitation, any opinions of counsel specified therein), and (iv) such other documents as may reasonably be requested by the Depositary under the terms hereof or in the applicable Restricted ADS Series Supplement (including, without limitation, any opinions of U.S. counsel as to compliance with the terms of the legend set forth the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5 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Fungibility</w:t>
      </w:r>
      <w:r>
        <w:rPr>
          <w:rFonts w:ascii="Times New Roman;Times;Serif" w:hAnsi="Times New Roman;Times;Serif"/>
          <w:b w:val="false"/>
          <w:i w:val="false"/>
          <w:caps w:val="false"/>
          <w:smallCaps w:val="false"/>
          <w:sz w:val="20"/>
        </w:rPr>
        <w:t>. Except as contemplated in this Restricted ADS Letter Agreement and the applicable Restricted ADS Series Supplement and except as required by applicable law, the Restricted ADSs shall, to the maximum extent permitted by law and to the maximum extent practicable, be treated as ADSs issued and outstanding under the terms of the Deposit Agreement that are not Restricted ADSs. Nothing contained herein shall obligate the Depositary to treat Holders of Restricted ADSs on terms more favorable than those accorded to Holders of freely transferable, unrestricted ADSs, including, without limitation, Unrestricted ADSs, under the Deposit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Limitations On Exchange of Restricted ADSs for Freely Transferrable ADSs</w:t>
      </w:r>
      <w:r>
        <w:rPr>
          <w:rFonts w:ascii="Times New Roman;Times;Serif" w:hAnsi="Times New Roman;Times;Serif"/>
          <w:b w:val="false"/>
          <w:i w:val="false"/>
          <w:caps w:val="false"/>
          <w:smallCaps w:val="false"/>
          <w:sz w:val="20"/>
        </w:rPr>
        <w:t xml:space="preserve">. The Company instructs the Depositary, and the Depositary agrees, to cancel the Restricted ADSs and to issue and deliver Unrestricted ADSs in respect thereof upon receipt from the applicable Restricted Holder(s) of (i) a duly completed and signed resale certification and instruction letter, in the form attached hereto as </w:t>
      </w:r>
      <w:r>
        <w:rPr>
          <w:rFonts w:ascii="Times New Roman;Times;Serif" w:hAnsi="Times New Roman;Times;Serif"/>
          <w:b w:val="false"/>
          <w:i w:val="false"/>
          <w:caps w:val="false"/>
          <w:smallCaps w:val="false"/>
          <w:sz w:val="20"/>
          <w:u w:val="single"/>
        </w:rPr>
        <w:t>Appendix 5</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Standard Resale Certification and Instruction Letter</w:t>
      </w:r>
      <w:r>
        <w:rPr>
          <w:rFonts w:ascii="Times New Roman;Times;Serif" w:hAnsi="Times New Roman;Times;Serif"/>
          <w:b w:val="false"/>
          <w:i w:val="false"/>
          <w:caps w:val="false"/>
          <w:smallCaps w:val="false"/>
          <w:sz w:val="20"/>
        </w:rPr>
        <w:t>”) (except as may otherwise be provided in the applicable Restricted ADS Series Supplement), (ii) an opinion of U.S. securities counsel contemplated in the Standard Resale Certification and Instruction Letter (or as otherwise provided in the applicable Restricted ADS Series Supplement), (iii) payment of the applicable ADS issuance and cancellation fees, taxes and expenses otherwise payable under the terms of the Deposit Agreement, this Restricted ADS Letter Agreement, and the applicable Restricted ADS Series Supplement, (iv) such other certificates, instruments, or documents contemplated by the applicable Restricted ADS Series Supplement; and (v) any other documents as may reasonably be requested by the Depositary under the terms of the Deposit Agreement, this Restricted ADS Letter Agreement and the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Removal of Restrictions</w:t>
      </w:r>
      <w:r>
        <w:rPr>
          <w:rFonts w:ascii="Times New Roman;Times;Serif" w:hAnsi="Times New Roman;Times;Serif"/>
          <w:b w:val="false"/>
          <w:i w:val="false"/>
          <w:caps w:val="false"/>
          <w:smallCaps w:val="false"/>
          <w:sz w:val="20"/>
        </w:rPr>
        <w:t xml:space="preserve">. The Depositary shall remove all stop transfer notations from its records in respect of any specified Restricted ADSs and shall treat such Restricted ADSs on the same terms as the Unrestricted ADSs outstanding under the terms of the Deposit Agreement upon receipt of (w) written instructions from the Company to so remove all stop transfer notations from its records in respect of such specified Restricted ADSs and to treat such Restricted ADSs on the same terms as the Unrestricted ADSs outstanding under the terms of the Deposit Agreement, (x) an opinion of U.S. counsel to the Company stating,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that the removal of the restrictive notations with respect to the specified Restricted ADSs and the Restricted Shares, and the treatment of such Restricted ADSs on the same terms as the Unrestricted ADSs outstanding under the terms of the Deposit Agreement, do not violate the registration requirements of the U.S. Securities Act of 1933, as amended, (y) payment of the applicable ADS issuance and cancellation fees, taxes and expenses otherwise payable under the terms of the Deposit Agreement, this Restricted ADS Letter Agreement and the applicable Restricted ADS Series Supplements, and (z) the satisfaction of such other conditions and the delivery and execution of such other certificates, instruments, or documents contemplated by the applicable Restricted ADS Series Supplements. Upon receipt of such instructions, opinion of counsel, certificates, instruments, and other documents, and payment of the applicable fees, taxes and expenses, the Depositary shall take all actions necessary to remove any distinctions previously existing between the applicable Restricted ADSs and the Unrestricted ADSs outstanding under the terms of the Deposit Agreement, including, without limitation, by (a) removing the stop transfer notations on its records in respect of the applicable ADSs previously identified as Restricted ADSs, and (b) making the formerly Restricted ADSs eligible for inclusion in the applicable book-entry settlement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6 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hereby represents and warrants as of the date hereof that (a) the deposit from time to time of Restricted Shares by the Company, or by, for, or on behalf of, Restricted Holders, and the issuance and delivery of Restricted ADSs, in each case upon the terms contemplated herein, will not, as of the time of such deposit and issuance, require registration under the Securities Act, (b) all approvals required by the laws of France to permit the deposit of Restricted Shares under the Deposit Agreement and this Restricted ADS Letter Agreement have been obtained, and (c) none of the terms of this Restricted ADS Letter Agreement and none of the transactions contemplated in this Restricted ADS Letter Agreement violate any court judgment or order issued against the Company or any material contract to which it is a party. Such representations and warranties shall survive each deposit of Restricted Shares, each delivery, cancellation and conversion of Unrestricted ADSs, and each issuance of Restricted ADSs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Indemnity</w:t>
      </w:r>
      <w:r>
        <w:rPr>
          <w:rFonts w:ascii="Times New Roman;Times;Serif" w:hAnsi="Times New Roman;Times;Serif"/>
          <w:b w:val="false"/>
          <w:i w:val="false"/>
          <w:caps w:val="false"/>
          <w:smallCaps w:val="false"/>
          <w:sz w:val="20"/>
        </w:rPr>
        <w:t>. Each of the Company and the Depositary acknowledges and agrees that the indemnification provisions of Section 5.8 of the Deposit Agreement shall apply to the acceptance of Restricted Shares for deposit, the delivery of Unrestricted ADSs for conversion into Restricted ADSs, the issuance of Restricted ADSs, the transfer of the Restricted ADSs, the addition/removal of the transfer and other restrictions set forth herein with respect to ADSs/Restricted ADSs, and the withdrawal of Restricted Shares upon cancellation of the Restricted ADSs, in each case upon the terms set forth herein and in the applicable Restricted ADS Series Supplement, as well as to any other acts performed or omitted by the Depositary as contemplated by this Restricted ADS Letter Agreement and in the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Fractional Shares and ADSs</w:t>
      </w:r>
      <w:r>
        <w:rPr>
          <w:rFonts w:ascii="Times New Roman;Times;Serif" w:hAnsi="Times New Roman;Times;Serif"/>
          <w:b w:val="false"/>
          <w:i w:val="false"/>
          <w:caps w:val="false"/>
          <w:smallCaps w:val="false"/>
          <w:sz w:val="20"/>
        </w:rPr>
        <w:t>. The Company hereby agrees that, notwithstanding anything to the contrary in the Deposit Agreement, the Company shall not deliver to the Depositary or the Custodian, and the Depositary shall not be required to accept under any circumstances (i) any fraction of a Restricted Share, nor (ii) a number of Restricted Shares that, upon application of the ADS-to-Share ratio, would give rise to a fraction of a Restricted ADS. Furthermore, the Depositary shall not be required to accept or distribute under any circumstances, any cash payments for fractional entitlements.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Incorporation of Certain Provisions by Reference</w:t>
      </w:r>
      <w:r>
        <w:rPr>
          <w:rFonts w:ascii="Times New Roman;Times;Serif" w:hAnsi="Times New Roman;Times;Serif"/>
          <w:b w:val="false"/>
          <w:i w:val="false"/>
          <w:caps w:val="false"/>
          <w:smallCaps w:val="false"/>
          <w:sz w:val="20"/>
        </w:rPr>
        <w:t xml:space="preserve">. The Company and the Depositary agree that the following provisions of the Deposit Agreement shall apply to the terms of this Restricted ADS Letter Agreement and each Restricted ADS Series Supplement, mutatis mutandis, as if they had been fully set forth herein: (i) Section 5.2 of the Deposit Agreement – </w:t>
      </w:r>
      <w:r>
        <w:rPr>
          <w:rFonts w:ascii="Times New Roman;Times;Serif" w:hAnsi="Times New Roman;Times;Serif"/>
          <w:b w:val="false"/>
          <w:i/>
          <w:caps w:val="false"/>
          <w:smallCaps w:val="false"/>
          <w:sz w:val="20"/>
        </w:rPr>
        <w:t>Exoneration,</w:t>
      </w:r>
      <w:r>
        <w:rPr>
          <w:rFonts w:ascii="Times New Roman;Times;Serif" w:hAnsi="Times New Roman;Times;Serif"/>
          <w:b w:val="false"/>
          <w:i w:val="false"/>
          <w:caps w:val="false"/>
          <w:smallCaps w:val="false"/>
          <w:sz w:val="20"/>
        </w:rPr>
        <w:t xml:space="preserve"> and (ii) Section 7.6 of the Deposit Agreement – </w:t>
      </w:r>
      <w:r>
        <w:rPr>
          <w:rFonts w:ascii="Times New Roman;Times;Serif" w:hAnsi="Times New Roman;Times;Serif"/>
          <w:b w:val="false"/>
          <w:i/>
          <w:caps w:val="false"/>
          <w:smallCaps w:val="false"/>
          <w:sz w:val="20"/>
        </w:rPr>
        <w:t>Governing Law and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7 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Limited Depositary Obligations</w:t>
      </w:r>
      <w:r>
        <w:rPr>
          <w:rFonts w:ascii="Times New Roman;Times;Serif" w:hAnsi="Times New Roman;Times;Serif"/>
          <w:b w:val="false"/>
          <w:i w:val="false"/>
          <w:caps w:val="false"/>
          <w:smallCaps w:val="false"/>
          <w:sz w:val="20"/>
        </w:rPr>
        <w:t>. The Depositary undertakes to perform only such duties as are specifically set forth in the Deposit Agreement, this Restricted ADS Letter Agreement and the applicable Restricted ADS Series Supplements, and no implied obligations to perform any duties, or provide any services, not specifically set forth in the Deposit Agreement, this Restricted ADS Letter Agreement and the applicable Restricted ADS Series Supplements are to be read into the Deposit Agreement, this Restricted ADS Letter Agreement or any Restricted ADS Series Supplement against the Depositary or its agents. Without limitation of the foregoing and without creating any actual or implied obligation of the Depositary, neither the Depositary nor its agents shall under any circumstances be expected to (x) take any action not specifically set forth in the Deposit Agreement, this Restricted ADS Letter Agreement or any Restricted ADS Series Supplement on behalf, and/or at the instruction, of the Holders and/or Beneficial Owners of Restricted ADSs (or any other persons), or (y) incur any financial liability in the performance of its duties hereunder, or in the exercise of rights or powers on behalf, and/or at the instruction, of Holders and/or Beneficial Owners of Restricted ADSs (or any other persons), unless, in each case, (i) the Depositary in its sole judgment affirmatively agrees with Holders and Beneficial Owners of Restricted ADSs to take such action and/or incur such financial liability, and (ii) indemnity satisfactory to it against all losses, liabilities, costs, expenses (including, without limitation, fees and expenses of counsel), claims, damages and taxes of any kind, is, prior to the Depositary taking any such action, furnished to the Depositary and its agents by the applicable Holders and Beneficial Owners of Restricted ADSs as often as may be required and upon terms satisfactory to the Depositary, in each case in its sole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Parties; Amendment; Assignment</w:t>
      </w:r>
      <w:r>
        <w:rPr>
          <w:rFonts w:ascii="Times New Roman;Times;Serif" w:hAnsi="Times New Roman;Times;Serif"/>
          <w:b w:val="false"/>
          <w:i w:val="false"/>
          <w:caps w:val="false"/>
          <w:smallCaps w:val="false"/>
          <w:sz w:val="20"/>
        </w:rPr>
        <w:t>. This Restricted ADS Letter Agreement and each applicable Restricted ADS Series Supplement, if any, shall be binding upon (i) the Company and the Depositary, as the signatory parties thereto, and (ii) the Holders and Beneficial Owners of the Restricted ADSs by acceptance thereof or any beneficial interest therein. This Restricted ADS Letter Agreement and each applicable Restricted ADS Series Supplement, if any, may at any time and from time to time be amended or supplemented by written agreement between the Company and the Depositary in any respect which they may deem necessary or desirable without the prior written consent of the Holders or Beneficial Owners of any Restricted ADSs.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of the affected Restricted ADSs, shall not, however, become effective as to affected Restricted ADSs until the expiration of thirty (30) days after notice of such amendment or supplement shall have been given to the Holders of outstanding affected Restricted ADSs upon the terms contemplated in Section 7.5 of the Deposit Agreement. In addition, the parties hereto agree and acknowledge that any Restricted ADS Series Supplement signed by the Company and the Depositary shall effectively supplement the terms and conditions of this Restricted ADS Letter Agreement by expressly specifying the particular limitations and terms and conditions applicable to certain Restricted ADSs, certain Restricted Holders and/or certain Restricted Shares, as agreed necessary by the Company and Depositary in the applicable Restricted ADS Series Supplement. The Restricted ADSs are ADSs issued under the terms of the Deposit Agreement, and all of the terms of the Deposit Agreement shall apply to the Restricted ADSs (as contemplated in Section 2.14 of the Deposit Agreement) except as expressly set forth in this Restricted ADS Letter Agreement and the applicable Restricted ADS Series Supplements. Subject to the provisions of Section 5.4 of the Deposit Agreement, neither this Restricted ADS Letter Agreement not any Restricted ADS Series Supplement may be assigned by either the Company or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8 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F-6 Registration Statement</w:t>
      </w:r>
      <w:r>
        <w:rPr>
          <w:rFonts w:ascii="Times New Roman;Times;Serif" w:hAnsi="Times New Roman;Times;Serif"/>
          <w:b w:val="false"/>
          <w:i w:val="false"/>
          <w:caps w:val="false"/>
          <w:smallCaps w:val="false"/>
          <w:sz w:val="20"/>
        </w:rPr>
        <w:t>. The parties hereto agree that a signed copy of this Restricted ADS Letter Agreement and each Restricted ADS Series Supplement shall be filed as an exhibit to the next applicable Registration Statement on Form F-6 (or the next amendment to the existing Registration Statement on Form F-6 currently on file) in respect of the ADSs under the Securities Act, if then required by the rules and regulations of the Commission or by the Staff of the Commission. The parties hereto further agree that, notwithstanding anything contained herein to the contrary, the Depositary shall not be obligated to issue any Restricted ADSs if there is an insufficient number of ADS then registered under the existing Registration Statement(s) on Form F-6 then on file, or if any such Registration Statement on Form F-6 is the subject of a stop order or a proceeding for that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Depositary Fees</w:t>
      </w:r>
      <w:r>
        <w:rPr>
          <w:rFonts w:ascii="Times New Roman;Times;Serif" w:hAnsi="Times New Roman;Times;Serif"/>
          <w:b w:val="false"/>
          <w:i w:val="false"/>
          <w:caps w:val="false"/>
          <w:smallCaps w:val="false"/>
          <w:sz w:val="20"/>
        </w:rPr>
        <w:t>. Without limitation of any fees, costs and expenses otherwise payable by the Restricted Holder(s) pursuant to the Deposit Agreement, and subject to any other agreements between the Company and the Depositary with respect to the manner in which the fees payable to the Depositary hereunder are paid, the Company and the Depositary agree that the Restricted Holder(s) (or the Company if the Company and the Depositary have agreed otherwise) shall pay to the Depositary: (i) any and all fees, costs and expenses payable under the terms of the Deposit Agreement, this Restricted ADS Letter Agreement and any applicable Restricted ADS Series Supplement, and (ii) all costs and expenses (including all related legal fees) incurred by or on behalf of the Depositary, in each case in connection with the transactions contemplated herein and in any applicable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9 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ADS Letter Agreement may be executed in one or more counterparts, each of which shall be deemed an original and all of such counterparts shall constitute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Depositary have caused this Restricted ADS Letter Agreement to be executed and delivered on their behalf by their respective officers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365"/>
        <w:gridCol w:w="2270"/>
      </w:tblGrid>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b/>
              </w:rPr>
            </w:pPr>
            <w:r>
              <w:rPr>
                <w:b/>
              </w:rPr>
              <w:t>ABIVAX SA</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70" w:type="dxa"/>
            <w:tcBorders>
              <w:bottom w:val="single" w:sz="8" w:space="0" w:color="000000"/>
            </w:tcBorders>
            <w:tcMar>
              <w:bottom w:w="28" w:type="dxa"/>
            </w:tcMar>
            <w:vAlign w:val="center"/>
          </w:tcPr>
          <w:p>
            <w:pPr>
              <w:pStyle w:val="TableContents"/>
              <w:bidi w:val="0"/>
              <w:spacing w:before="0" w:after="283"/>
              <w:jc w:val="left"/>
              <w:rPr/>
            </w:pPr>
            <w:r>
              <w:rPr/>
              <w:t>/s/ Marc de Garidel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Name: Marc de Garidel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Title:   CEO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b/>
              </w:rPr>
            </w:pPr>
            <w:r>
              <w:rPr>
                <w:b/>
              </w:rPr>
              <w:t>CITIBANK, N.A.</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b/>
              </w:rPr>
            </w:pPr>
            <w:r>
              <w:rPr>
                <w:b/>
              </w:rPr>
              <w:t>as Depositary</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70" w:type="dxa"/>
            <w:tcBorders>
              <w:bottom w:val="single" w:sz="8" w:space="0" w:color="000000"/>
            </w:tcBorders>
            <w:tcMar>
              <w:bottom w:w="28" w:type="dxa"/>
            </w:tcMar>
            <w:vAlign w:val="center"/>
          </w:tcPr>
          <w:p>
            <w:pPr>
              <w:pStyle w:val="TableContents"/>
              <w:bidi w:val="0"/>
              <w:spacing w:before="0" w:after="283"/>
              <w:jc w:val="left"/>
              <w:rPr/>
            </w:pPr>
            <w:r>
              <w:rPr/>
              <w:t>/s/ Joseph Connor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Name: Joseph Connor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Title:   Attorney in Fact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0"/>
        <w:gridCol w:w="60"/>
        <w:gridCol w:w="8535"/>
      </w:tblGrid>
      <w:tr>
        <w:trPr/>
        <w:tc>
          <w:tcPr>
            <w:tcW w:w="1610" w:type="dxa"/>
            <w:tcBorders/>
            <w:vAlign w:val="center"/>
          </w:tcPr>
          <w:p>
            <w:pPr>
              <w:pStyle w:val="TableContents"/>
              <w:bidi w:val="0"/>
              <w:spacing w:before="0" w:after="283"/>
              <w:jc w:val="right"/>
              <w:rPr>
                <w:b/>
              </w:rPr>
            </w:pPr>
            <w:r>
              <w:rPr>
                <w:b/>
              </w:rPr>
              <w:t>APPENDICES</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right"/>
              <w:rPr>
                <w:b w:val="false"/>
              </w:rPr>
            </w:pPr>
            <w:r>
              <w:rPr>
                <w:b w:val="false"/>
              </w:rPr>
              <w:t>1</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b w:val="false"/>
              </w:rPr>
            </w:pPr>
            <w:r>
              <w:rPr>
                <w:b w:val="false"/>
              </w:rPr>
              <w:t>Form of Restricted ADS Series Supplement</w:t>
            </w:r>
          </w:p>
        </w:tc>
      </w:tr>
      <w:tr>
        <w:trPr/>
        <w:tc>
          <w:tcPr>
            <w:tcW w:w="1610" w:type="dxa"/>
            <w:tcBorders/>
            <w:vAlign w:val="center"/>
          </w:tcPr>
          <w:p>
            <w:pPr>
              <w:pStyle w:val="TableContents"/>
              <w:bidi w:val="0"/>
              <w:spacing w:before="0" w:after="283"/>
              <w:jc w:val="right"/>
              <w:rPr>
                <w:b w:val="false"/>
              </w:rPr>
            </w:pPr>
            <w:r>
              <w:rPr>
                <w:b w:val="false"/>
              </w:rPr>
              <w:t>2-A</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b w:val="false"/>
              </w:rPr>
            </w:pPr>
            <w:r>
              <w:rPr>
                <w:b w:val="false"/>
              </w:rPr>
              <w:t>Standard Consent and Delivery Instruction – Company</w:t>
            </w:r>
          </w:p>
        </w:tc>
      </w:tr>
      <w:tr>
        <w:trPr/>
        <w:tc>
          <w:tcPr>
            <w:tcW w:w="1610" w:type="dxa"/>
            <w:tcBorders/>
            <w:vAlign w:val="center"/>
          </w:tcPr>
          <w:p>
            <w:pPr>
              <w:pStyle w:val="TableContents"/>
              <w:bidi w:val="0"/>
              <w:spacing w:before="0" w:after="283"/>
              <w:jc w:val="right"/>
              <w:rPr>
                <w:b w:val="false"/>
              </w:rPr>
            </w:pPr>
            <w:r>
              <w:rPr>
                <w:b w:val="false"/>
              </w:rPr>
              <w:t>2-B</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b w:val="false"/>
              </w:rPr>
            </w:pPr>
            <w:r>
              <w:rPr>
                <w:b w:val="false"/>
              </w:rPr>
              <w:t>Standard Consent and Delivery Instruction – Restricted Holder</w:t>
            </w:r>
          </w:p>
        </w:tc>
      </w:tr>
      <w:tr>
        <w:trPr/>
        <w:tc>
          <w:tcPr>
            <w:tcW w:w="1610" w:type="dxa"/>
            <w:tcBorders/>
            <w:vAlign w:val="center"/>
          </w:tcPr>
          <w:p>
            <w:pPr>
              <w:pStyle w:val="TableContents"/>
              <w:bidi w:val="0"/>
              <w:spacing w:before="0" w:after="283"/>
              <w:jc w:val="right"/>
              <w:rPr>
                <w:b w:val="false"/>
              </w:rPr>
            </w:pPr>
            <w:r>
              <w:rPr>
                <w:b w:val="false"/>
              </w:rPr>
              <w:t>2-C</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b w:val="false"/>
              </w:rPr>
            </w:pPr>
            <w:r>
              <w:rPr>
                <w:b w:val="false"/>
              </w:rPr>
              <w:t>Standard Consent and Delivery Instruction – ADS Delivery for Restricted ADS Conversion</w:t>
            </w:r>
          </w:p>
        </w:tc>
      </w:tr>
      <w:tr>
        <w:trPr/>
        <w:tc>
          <w:tcPr>
            <w:tcW w:w="1610" w:type="dxa"/>
            <w:tcBorders/>
            <w:vAlign w:val="center"/>
          </w:tcPr>
          <w:p>
            <w:pPr>
              <w:pStyle w:val="TableContents"/>
              <w:bidi w:val="0"/>
              <w:spacing w:before="0" w:after="283"/>
              <w:jc w:val="right"/>
              <w:rPr>
                <w:b w:val="false"/>
              </w:rPr>
            </w:pPr>
            <w:r>
              <w:rPr>
                <w:b w:val="false"/>
              </w:rPr>
              <w:t>3</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b w:val="false"/>
              </w:rPr>
            </w:pPr>
            <w:r>
              <w:rPr>
                <w:b w:val="false"/>
              </w:rPr>
              <w:t>Standard Transfer Certification</w:t>
            </w:r>
          </w:p>
        </w:tc>
      </w:tr>
      <w:tr>
        <w:trPr/>
        <w:tc>
          <w:tcPr>
            <w:tcW w:w="1610" w:type="dxa"/>
            <w:tcBorders/>
            <w:vAlign w:val="center"/>
          </w:tcPr>
          <w:p>
            <w:pPr>
              <w:pStyle w:val="TableContents"/>
              <w:bidi w:val="0"/>
              <w:spacing w:before="0" w:after="283"/>
              <w:jc w:val="right"/>
              <w:rPr>
                <w:b w:val="false"/>
              </w:rPr>
            </w:pPr>
            <w:r>
              <w:rPr>
                <w:b w:val="false"/>
              </w:rPr>
              <w:t>4</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b w:val="false"/>
              </w:rPr>
            </w:pPr>
            <w:r>
              <w:rPr>
                <w:b w:val="false"/>
              </w:rPr>
              <w:t>Standard Withdrawal Certification</w:t>
            </w:r>
          </w:p>
        </w:tc>
      </w:tr>
      <w:tr>
        <w:trPr/>
        <w:tc>
          <w:tcPr>
            <w:tcW w:w="1610" w:type="dxa"/>
            <w:tcBorders/>
            <w:vAlign w:val="center"/>
          </w:tcPr>
          <w:p>
            <w:pPr>
              <w:pStyle w:val="TableContents"/>
              <w:bidi w:val="0"/>
              <w:spacing w:before="0" w:after="283"/>
              <w:jc w:val="right"/>
              <w:rPr>
                <w:b w:val="false"/>
              </w:rPr>
            </w:pPr>
            <w:r>
              <w:rPr>
                <w:b w:val="false"/>
              </w:rPr>
              <w:t>5</w:t>
            </w:r>
          </w:p>
        </w:tc>
        <w:tc>
          <w:tcPr>
            <w:tcW w:w="60" w:type="dxa"/>
            <w:tcBorders/>
            <w:vAlign w:val="center"/>
          </w:tcPr>
          <w:p>
            <w:pPr>
              <w:pStyle w:val="TableContents"/>
              <w:bidi w:val="0"/>
              <w:spacing w:before="0" w:after="283"/>
              <w:jc w:val="left"/>
              <w:rPr/>
            </w:pPr>
            <w:r>
              <w:rPr/>
              <w:t> </w:t>
            </w:r>
          </w:p>
        </w:tc>
        <w:tc>
          <w:tcPr>
            <w:tcW w:w="8535" w:type="dxa"/>
            <w:tcBorders/>
            <w:vAlign w:val="center"/>
          </w:tcPr>
          <w:p>
            <w:pPr>
              <w:pStyle w:val="TableContents"/>
              <w:bidi w:val="0"/>
              <w:spacing w:before="0" w:after="283"/>
              <w:jc w:val="left"/>
              <w:rPr>
                <w:b w:val="false"/>
              </w:rPr>
            </w:pPr>
            <w:r>
              <w:rPr>
                <w:b w:val="false"/>
              </w:rPr>
              <w:t>Standard Resale Certification and Instruction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w:t>
        <w:br/>
        <w:t>to</w:t>
        <w:br/>
        <w:t>Restricted ADS Letter Agreement, dated as of December 3, 2025</w:t>
        <w:br/>
        <w:t>(the “</w:t>
      </w:r>
      <w:r>
        <w:rPr>
          <w:rFonts w:ascii="Times New Roman;Times;Serif" w:hAnsi="Times New Roman;Times;Serif"/>
          <w:b/>
          <w:i w:val="false"/>
          <w:caps w:val="false"/>
          <w:smallCaps w:val="false"/>
          <w:sz w:val="20"/>
          <w:u w:val="single"/>
        </w:rPr>
        <w:t>Restricted ADS Letter Agreement</w:t>
      </w:r>
      <w:r>
        <w:rPr>
          <w:rFonts w:ascii="Times New Roman;Times;Serif" w:hAnsi="Times New Roman;Times;Serif"/>
          <w:b/>
          <w:i w:val="false"/>
          <w:caps w:val="false"/>
          <w:smallCaps w:val="false"/>
          <w:sz w:val="20"/>
        </w:rPr>
        <w:t>”), by and between</w:t>
        <w:b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RESTRICTED ADS SERIES SUPPLEMENT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Account Manager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Re:</w:t>
            </w:r>
          </w:p>
        </w:tc>
        <w:tc>
          <w:tcPr>
            <w:tcW w:w="9823" w:type="dxa"/>
            <w:tcBorders/>
            <w:vAlign w:val="center"/>
          </w:tcPr>
          <w:p>
            <w:pPr>
              <w:pStyle w:val="TableContents"/>
              <w:bidi w:val="0"/>
              <w:spacing w:before="0" w:after="283"/>
              <w:jc w:val="left"/>
              <w:rPr>
                <w:u w:val="single"/>
              </w:rPr>
            </w:pPr>
            <w:r>
              <w:rPr>
                <w:u w:val="single"/>
              </w:rPr>
              <w:t xml:space="preserve">ABIVAX SA - [●] Restricted ADS Series Supplement (CUSIP No.: 00370M996) – [Transaction Description]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contemplated in the Restricted ADS Letter Agreement, the Company desires, and the Depositary agrees, to establish procedures to accommodate the issuance and delivery of Designated Restricted ADSs (as defined in Section 1 below) upon the terms of this [●] Restricted ADS Series Supplement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provided that (a) the terms of deposit of the designated Restricted Securities for Designated Restricted ADSs neither (i) prejudice any substantial rights of existing Holders and Beneficial Owners of ADSs under the Deposit Agreement, nor (ii) violate or conflict with any law, rule or administrative position applicable to the ADSs, and (b) the terms of the Deposit Agreement are supplemented as set forth in this Restricted ADS Series Supplement for purpose of the issuance of the Designated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App’x 1 - 1 </w:t>
      </w:r>
    </w:p>
    <w:p>
      <w:pPr>
        <w:pStyle w:val="TextBody"/>
        <w:bidi w:val="0"/>
        <w:spacing w:before="0" w:after="0"/>
        <w:jc w:val="center"/>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and intent of this Restricted ADS Series Supplement is to supplement the Deposit Agreement and the Restricted ADS Letter Agreement for the purpose of accommodating (i) the issuance of Designated Restricted ADSs to the Restricted Holders, (ii) the sale, transfer or cancellation of such Designated Restricted ADSs, and (iii) certain ancillary transactions further described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the receipt and sufficiency of which are hereby acknowledged, the Company and the Depositary hereby agree, notwithstanding the terms of the Deposit Agreement and the Restricted ADS Letter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Depositary Procedures</w:t>
      </w:r>
      <w:r>
        <w:rPr>
          <w:rFonts w:ascii="Times New Roman;Times;Serif" w:hAnsi="Times New Roman;Times;Serif"/>
          <w:b w:val="false"/>
          <w:i w:val="false"/>
          <w:caps w:val="false"/>
          <w:smallCaps w:val="false"/>
          <w:sz w:val="20"/>
        </w:rPr>
        <w:t xml:space="preserve">. The Company hereby consents,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Deposit Agreement,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[Restricted Share Deposits for Restricted ADS Issuances in connection with [insert description of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t>
      </w:r>
      <w:r>
        <w:rPr>
          <w:rFonts w:ascii="Times New Roman;Times;Serif" w:hAnsi="Times New Roman;Times;Serif"/>
          <w:b/>
          <w:i w:val="false"/>
          <w:caps w:val="false"/>
          <w:smallCaps w:val="false"/>
          <w:sz w:val="20"/>
        </w:rPr>
        <w:t xml:space="preserve">In connection with each such Restricted Share Deposit for Restricted ADS Issuance the Company shall deliver to the Depositary a duly completed and signed Standard Consent and Delivery Instruction – Company (as defined in the Restricted ADS Letter Agreement) substantially in the form of </w:t>
      </w:r>
      <w:r>
        <w:rPr>
          <w:rFonts w:ascii="Times New Roman;Times;Serif" w:hAnsi="Times New Roman;Times;Serif"/>
          <w:b/>
          <w:i w:val="false"/>
          <w:caps w:val="false"/>
          <w:smallCaps w:val="false"/>
          <w:sz w:val="20"/>
          <w:u w:val="single"/>
        </w:rPr>
        <w:t>Appendix 2-A</w:t>
      </w:r>
      <w:r>
        <w:rPr>
          <w:rFonts w:ascii="Times New Roman;Times;Serif" w:hAnsi="Times New Roman;Times;Serif"/>
          <w:b/>
          <w:i w:val="false"/>
          <w:caps w:val="false"/>
          <w:smallCaps w:val="false"/>
          <w:sz w:val="20"/>
        </w:rPr>
        <w:t xml:space="preserve"> to the Restricted ADS Letter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 connection with each such Restricted Share Deposit for Restricted ADS Issuance by a Restricted Holder and request for issuance of Designated Restricted ADSs, the Restricted Holder shall be required to deliver to the Depositary a duly completed and signed Standard Consent and Delivery Instruction – Restricted Holder (as defined in the Restricted ADS Letter Agreement) substantially in the form of </w:t>
      </w:r>
      <w:r>
        <w:rPr>
          <w:rFonts w:ascii="Times New Roman;Times;Serif" w:hAnsi="Times New Roman;Times;Serif"/>
          <w:b/>
          <w:i w:val="false"/>
          <w:caps w:val="false"/>
          <w:smallCaps w:val="false"/>
          <w:sz w:val="20"/>
          <w:u w:val="single"/>
        </w:rPr>
        <w:t>Appendix 2-B</w:t>
      </w:r>
      <w:r>
        <w:rPr>
          <w:rFonts w:ascii="Times New Roman;Times;Serif" w:hAnsi="Times New Roman;Times;Serif"/>
          <w:b/>
          <w:i w:val="false"/>
          <w:caps w:val="false"/>
          <w:smallCaps w:val="false"/>
          <w:sz w:val="20"/>
        </w:rPr>
        <w:t xml:space="preserve"> to the Restricted ADS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 Deliveries for Restricted ADS Conversions in connection with [insert description of contemplated transactions].]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br/>
        <w:t xml:space="preserve">[In connection with each such ADS Delivery for Restricted ADS Conversion, the Restricted Holder shall be required to deliver to the Depositary a duly completed and signed Standard Consent and Delivery Instruction – Unrestricted ADS Delivery for Restricted ADS Conversion (as defined in the Restricted ADS Letter Agreement) substantially in the form of </w:t>
      </w:r>
      <w:r>
        <w:rPr>
          <w:rFonts w:ascii="Times New Roman;Times;Serif" w:hAnsi="Times New Roman;Times;Serif"/>
          <w:b/>
          <w:i w:val="false"/>
          <w:caps w:val="false"/>
          <w:smallCaps w:val="false"/>
          <w:sz w:val="20"/>
          <w:u w:val="single"/>
        </w:rPr>
        <w:t>Appendix 2-C</w:t>
      </w:r>
      <w:r>
        <w:rPr>
          <w:rFonts w:ascii="Times New Roman;Times;Serif" w:hAnsi="Times New Roman;Times;Serif"/>
          <w:b/>
          <w:i w:val="false"/>
          <w:caps w:val="false"/>
          <w:smallCaps w:val="false"/>
          <w:sz w:val="20"/>
        </w:rPr>
        <w:t xml:space="preserve"> to the Restricted ADS Letter Agreement.]</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[The Restricted ADSs described in the immediately preceding sentence and the Restricted Shares represented thereby are referred to herein as the “</w:t>
      </w:r>
      <w:r>
        <w:rPr>
          <w:rFonts w:ascii="Times New Roman;Times;Serif" w:hAnsi="Times New Roman;Times;Serif"/>
          <w:b/>
          <w:i w:val="false"/>
          <w:caps w:val="false"/>
          <w:smallCaps w:val="false"/>
          <w:sz w:val="20"/>
          <w:u w:val="single"/>
        </w:rPr>
        <w:t>Designated Restricted ADSs</w:t>
      </w:r>
      <w:r>
        <w:rPr>
          <w:rFonts w:ascii="Times New Roman;Times;Serif" w:hAnsi="Times New Roman;Times;Serif"/>
          <w:b/>
          <w:i w:val="false"/>
          <w:caps w:val="false"/>
          <w:smallCaps w:val="false"/>
          <w:sz w:val="20"/>
        </w:rPr>
        <w:t>” and the “</w:t>
      </w:r>
      <w:r>
        <w:rPr>
          <w:rFonts w:ascii="Times New Roman;Times;Serif" w:hAnsi="Times New Roman;Times;Serif"/>
          <w:b/>
          <w:i w:val="false"/>
          <w:caps w:val="false"/>
          <w:smallCaps w:val="false"/>
          <w:sz w:val="20"/>
          <w:u w:val="single"/>
        </w:rPr>
        <w:t>Designated Shares</w:t>
      </w:r>
      <w:r>
        <w:rPr>
          <w:rFonts w:ascii="Times New Roman;Times;Serif" w:hAnsi="Times New Roman;Times;Serif"/>
          <w:b/>
          <w:i w:val="false"/>
          <w:caps w:val="false"/>
          <w:smallCaps w:val="false"/>
          <w:sz w:val="20"/>
        </w:rPr>
        <w:t xml:space="preserve">”, respectively. The Depositary shall (unless otherwise agreed by the Company and the Depositary in writing) cause the Designated Restricted ADSs issued upon the deposit of Designated Shares, or the delivery, cancellation and conversion of Unrestricted ADSs to be separately identified on the books of the Depositary under the CUSIP No. specified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1 - 2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furtherance of the foregoing, the Company hereby instructs the Depositary, and the Depositary agrees, upon the terms and subject to the conditions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Deposit Agreement as supplemented by the Restricted ADS Letter Agreement and this Restricted ADS Series Supplement, to (i) establish procedures to enable the [</w:t>
      </w:r>
      <w:r>
        <w:rPr>
          <w:rFonts w:ascii="Times New Roman;Times;Serif" w:hAnsi="Times New Roman;Times;Serif"/>
          <w:b/>
          <w:i w:val="false"/>
          <w:caps w:val="false"/>
          <w:smallCaps w:val="false"/>
          <w:sz w:val="20"/>
        </w:rPr>
        <w:t>Restricted Share Deposits for Restricted ADS Issuances contemplated herein][ADS Delivery for Restricted ADS Conversions contemplated herein]</w:t>
      </w:r>
      <w:r>
        <w:rPr>
          <w:rFonts w:ascii="Times New Roman;Times;Serif" w:hAnsi="Times New Roman;Times;Serif"/>
          <w:b w:val="false"/>
          <w:i w:val="false"/>
          <w:caps w:val="false"/>
          <w:smallCaps w:val="false"/>
          <w:sz w:val="20"/>
        </w:rPr>
        <w:t xml:space="preserve"> in each case upon the terms and conditions set forth in the Deposit Agreement as supplemented by the terms of the Restricted ADS Letter Agreement and this Restricted ADS Series Supplement], and (ii) deliver an account statement (the “</w:t>
      </w:r>
      <w:r>
        <w:rPr>
          <w:rFonts w:ascii="Times New Roman;Times;Serif" w:hAnsi="Times New Roman;Times;Serif"/>
          <w:b w:val="false"/>
          <w:i w:val="false"/>
          <w:caps w:val="false"/>
          <w:smallCaps w:val="false"/>
          <w:sz w:val="20"/>
          <w:u w:val="single"/>
        </w:rPr>
        <w:t>Account Statement</w:t>
      </w:r>
      <w:r>
        <w:rPr>
          <w:rFonts w:ascii="Times New Roman;Times;Serif" w:hAnsi="Times New Roman;Times;Serif"/>
          <w:b w:val="false"/>
          <w:i w:val="false"/>
          <w:caps w:val="false"/>
          <w:smallCaps w:val="false"/>
          <w:sz w:val="20"/>
        </w:rPr>
        <w:t xml:space="preserve">”) to the Restricted Holder(s) upon the issuance of the Designated Restricted ADSs, in each case upon the terms set forth in the Restricted ADS Letter Agreement and this Restricted ADS Series Supplement. Nothing contained in the Restricted ADS Letter Agreement or this Restricted ADS Series Supplement shall in any way obligate the Depositary, or give authority to the Depositary, to accept </w:t>
      </w:r>
      <w:r>
        <w:rPr>
          <w:rFonts w:ascii="Times New Roman;Times;Serif" w:hAnsi="Times New Roman;Times;Serif"/>
          <w:b/>
          <w:i w:val="false"/>
          <w:caps w:val="false"/>
          <w:smallCaps w:val="false"/>
          <w:sz w:val="20"/>
        </w:rPr>
        <w:t xml:space="preserve">[any Shares other than the Designated Shares described herein for deposit under the terms hereof]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[Unrestricted ADSs other than Unrestricted ADSs described herein for delivery, cancellation, and conversion under the terms hereof]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Stop Transfer Notation and Legend</w:t>
      </w:r>
      <w:r>
        <w:rPr>
          <w:rFonts w:ascii="Times New Roman;Times;Serif" w:hAnsi="Times New Roman;Times;Serif"/>
          <w:b w:val="false"/>
          <w:i w:val="false"/>
          <w:caps w:val="false"/>
          <w:smallCaps w:val="false"/>
          <w:sz w:val="20"/>
        </w:rPr>
        <w:t>. The books of the Depositary shall identify the Restricted ADSs as “restricted” and shall contain a “stop transfer” notation to that effect and any other additional legends that Company and the Depositary deem necessary. The Account Statements to be sent by the Depositary to the Restricted Holders upon the issuance of Restricted ADSs shall contain a legend substantially in the form of the following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AMERICAN DEPOSITARY SHARES (“</w:t>
      </w:r>
      <w:r>
        <w:rPr>
          <w:rFonts w:ascii="Times New Roman;Times;Serif" w:hAnsi="Times New Roman;Times;Serif"/>
          <w:b w:val="false"/>
          <w:i w:val="false"/>
          <w:caps w:val="false"/>
          <w:smallCaps w:val="false"/>
          <w:sz w:val="20"/>
          <w:u w:val="single"/>
        </w:rPr>
        <w:t>RESTRICTED ADSs</w:t>
      </w:r>
      <w:r>
        <w:rPr>
          <w:rFonts w:ascii="Times New Roman;Times;Serif" w:hAnsi="Times New Roman;Times;Serif"/>
          <w:b w:val="false"/>
          <w:i w:val="false"/>
          <w:caps w:val="false"/>
          <w:smallCaps w:val="false"/>
          <w:sz w:val="20"/>
        </w:rPr>
        <w:t>”) REGISTERED IN YOUR NAME OR ON YOUR BEHALF OR OTHERWISE CREDITED TO YOUR OR YOUR NOMINEE’S ACCOUNT AND THE UNDERLYING RESTRICTED SHARES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OF ABIVAX SA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ARE SUBJECT TO THE TERMS OF (X) THE RESTRICTED ADS LETTER AGREEMENT, DATED AS OF DECEMBER 3, 2025 (AS AMENDED AND SUPPLEMENTED FROM TIME TO TIME,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(Y) THE DEPOSIT AGREEMENT, DATED AS OF OCTOBER 24, 2023 (AS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AND (Z) THE [●] RESTRICTED ADS SERIES SUPPLEMENT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ALL TERMS USED BUT NOT OTHERWISE DEFINED HEREIN SHALL, UNLESS OTHERWISE SPECIFICALLY DESIGNATED HEREIN, HAVE THE MEANING GIVEN TO SUCH TERMS IN THE [●] RESTRICTED ADS SERIES SUPPLEMENT, OR IF NOT DEFINED THEREIN IN THE RESTRICTED ADS LETTER AGREEMENT, OR IF NOT DEFINED IN THE [●] RESTRICTED ADS SERIES SUPPLEMENT OR THE RESTRICTED ADS LETTER AGREEMENT, IN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App’x 1 - 3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OWNERS OF THE RESTRICTED ADSs BY ACCEPTING AND HOLDING THE RESTRICTED ADSs, AND ANY INTEREST THEREIN, SHALL BE BOUND BY THE TERMS OF THE DEPOSIT AGREEMENT AND THE RESTRICTED ADS LETTER AGREEMENT AS SUPPLEMENTED AND AMENDED BY THE [●] RESTRICTED ADS SERIES SUPPLEMENT. AT THE TIME OF ISSUANCE OF THE RESTRICTED ADSs, THE RESTRICTED SHARES REPRESENTED THEREBY HAD NOT BEEN REGISTERED UNDER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SUCH RESTRICTED SHARES AND RESTRICTED ADSs HAD NOT BEEN REGISTERED OR QUALIFIED UNDER ANY APPLICABLE STATE SECURITIES LAWS. THESE SECURITIES MAY NOT BE OFFERED, SOLD, PLEDGED OR OTHERWISE TRANSFERRED EXCEPT PURSUANT TO (A) AN EFFECTIVE REGISTRATION STATEMENT UNDER THE SECURITIES ACT IN A TRANSACTION REGISTERED OR QUALIFIED UNDER APPLICABLE STATE SECURITIES LAWS, OR (B) AN AVAILABLE EXEMPTION FROM SUCH REGISTRATION OR QUALIFICATION REQUIREMENTS, UNLESS A REGISTRATION STATEMENT IS EFFECTIVE WITH RESPECT TO THESE SECURITIES. AS A CONDITION TO PERMITTING ANY TRANSFER OF THESE SECURITIES, EACH OF CITIBANK, N.A., IN ITS CAPACITY AS THE DEPOSITARY FOR THE RESTRICTED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THE COMPANY MAY REQUIRE THAT IT BE FURNISHED WITH AN OPINION OF COUNSEL REASONABLY SATISFACTORY TO THE DEPOSITARY AND THE COMPANY TO THE EFFECT THAT NO REGISTRATION OR QUALIFICATION IS LEGALLY REQUIRED FOR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SALE OF THE RESTRICTED ADSs AND ISSUANCE OF FREELY TRANSFERABLE ADSs IN RESPECT THEREOF, A HOLDER OF RESTRICTED ADSs WILL BE REQUIRED TO PROVIDE TO THE DEPOSITARY AND TO THE COMPANY A RESALE CERTIFICATION AND INSTRUCTION LETTER IN THE FORM ATTACHED TO THE [●] RESTRICTED ADS SERIES SUPPLEMENT OR IF NOT ATTACHED THERETO, IN THE FORM ATTACHED TO THE RESTRICTED ADS LETTER AGREEMENT. PRIOR TO THE WITHDRAWAL OF THE RESTRICTED SHARES, A HOLDER OF RESTRICTED ADSs WILL BE REQUIRED TO PROVIDE TO THE DEPOSITARY AND TO THE COMPANY A WITHDRAWAL CERTIFICATION IN THE FORM ATTACHED TO THE [●] RESTRICTED ADS SERIES SUPPLEMENT OR IF NOT ATTACHED THERETO, IN THE FORM ATTACHED TO THE RESTRICTED ADS LETTER AGREEMENT. THE TRANSFER AND OTHER RESTRICTIONS SET FORTH HEREIN AND IN THE RESTRICTED ADS LETTER AGREEMENT SHALL REMAIN APPLICABLE WITH RESPECT TO THE RESTRICTED ADSs AND THE RESTRICTED SHARES UNTIL SUCH TIME AS THE PROCEDURES SET FORTH IN THE [●] RESTRICTED ADS SERIES SUPPLEMENT OR IF NOT SET FORTH THEREIN, AS SET FORTH IN THE RESTRICTED ADS LETTER AGREEMENT FOR REMOVAL OF RESTRICTIONS ARE SATISFIED. NEITHER THE COMPANY NOR THE DEPOSITARY MAKES ANY REPRESENTATION AS TO THE AVAILABILITY OF THE EXEMPTION PROVIDED BY RULE 144 UNDER THE SECURITIES ACT FOR RESALE OF THE RESTRICTED SHARES OR THE RESTRICTED ADSs. A COPY OF THE DEPOSIT AGREEMENT, OF THE RESTRICTED ADS LETTER AGREEMENT AND OF THE [●] RESTRICTED ADS SERIES SUPPLEMENT MAY BE OBTAINED FROM THE DEPOSITARY OR THE COMPANY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App’x 1 - 4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hereby represents and warrants as of the date hereof that (a) the deposit from time to time of Designated Shares by the Company, or by, for, or on behalf of Restricted Holders, and the issuance and delivery of Designated Restricted ADSs, in each case upon the terms contemplated herein, will not, as of the time of such deposit and issuance, require registration under the Securities Act, (b) all approvals required by the laws of France to permit the deposit of Designated Shares under the Deposit Agreement, the Restricted ADS Letter Agreement and this Restricted ADS Series Supplement have been obtained, and (c) none of the terms of this Restricted ADS Series Supplement and none of the transactions contemplated in this Restricted ADS Series Supplement violate any court judgment or order issued against the Company or any material contract to which it is a party. Such representations and warranties shall survive each deposit of Designated Shares, each delivery, cancellation and conversion of Unrestricted ADSs, and each issuance of Designated Restricted ADSs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Opinion Coverage</w:t>
      </w:r>
      <w:r>
        <w:rPr>
          <w:rFonts w:ascii="Times New Roman;Times;Serif" w:hAnsi="Times New Roman;Times;Serif"/>
          <w:b w:val="false"/>
          <w:i w:val="false"/>
          <w:caps w:val="false"/>
          <w:smallCaps w:val="false"/>
          <w:sz w:val="20"/>
        </w:rPr>
        <w:t>. The Company shall at the time of execution of this Restricted ADS Series Supplement cause (A) its U.S. counsel to deliver an opinion to the Depositary as of the date hereof stating, inter alia, that (i) assuming its due authorization, execution and delivery, this Restricted ADS Series Supplement is a valid and binding obligation of the Company and is enforceable against the Company under the laws of the State of New York, except as the enforcement thereof may be limited by bankruptcy, insolvency (including, without limitation, all laws relating to fraudulent transfers), reorganization, moratorium, debtor and creditor or similar laws affecting the enforcement of creditors’ rights generally, and as enforcement thereof is subject to general principles of equity (regardless of whether enforcement is considered in a proceeding in equity or at law), and (ii) the deposit of Designated Shares by the Company, or by, for, or on behalf of the Restricted Holders, and the issuance and delivery of Designated Restricted ADSs, in each case upon the terms contemplated herein, do not require registration of the Designated Shares under the Securities Act, and (B) its French counsel to deliver an opinion to the Depositary (i) as of the date hereof stating, inter alia, that (1) the Company has duly authorized and executed this Restricted ADS Series Supplement, (2) this Restricted ADS Series Supplement constitutes a legal, valid and binding obligation of the Company under the laws of France enforceable against the Company upon its terms, (3) all approvals required by the laws of France to permit the entry by the Company into this Restricted ADS Series Supplement have been obtained, (4) the terms of this Restricted ADS Series Supplement and the transactions contemplated by this Restricted ADS Series Supplement do not contravene or conflict with any existing laws of France of general application, and (5) all approvals required by the laws of France to permit the deposit of Designated Shares under the Deposit Agreement, the Restricted ADS Letter Agreement and this Restricted ADS Series Supplement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Mutatis Mutandis</w:t>
      </w:r>
      <w:r>
        <w:rPr>
          <w:rFonts w:ascii="Times New Roman;Times;Serif" w:hAnsi="Times New Roman;Times;Serif"/>
          <w:b w:val="false"/>
          <w:i w:val="false"/>
          <w:caps w:val="false"/>
          <w:smallCaps w:val="false"/>
          <w:sz w:val="20"/>
        </w:rPr>
        <w:t xml:space="preserve">. The Company and the Depositary hereby agree that the following provisions of the Restricted ADS Letter Agreement shall apply to this Restricted ADS Series Supplement,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as if they had been fully set forth herein: (i) the first paragraph of Section 2 – </w:t>
      </w:r>
      <w:r>
        <w:rPr>
          <w:rFonts w:ascii="Times New Roman;Times;Serif" w:hAnsi="Times New Roman;Times;Serif"/>
          <w:b w:val="false"/>
          <w:i/>
          <w:caps w:val="false"/>
          <w:smallCaps w:val="false"/>
          <w:sz w:val="20"/>
        </w:rPr>
        <w:t>Company Assistance</w:t>
      </w:r>
      <w:r>
        <w:rPr>
          <w:rFonts w:ascii="Times New Roman;Times;Serif" w:hAnsi="Times New Roman;Times;Serif"/>
          <w:b w:val="false"/>
          <w:i w:val="false"/>
          <w:caps w:val="false"/>
          <w:smallCaps w:val="false"/>
          <w:sz w:val="20"/>
        </w:rPr>
        <w:t xml:space="preserve">, (ii) Section 3 – </w:t>
      </w:r>
      <w:r>
        <w:rPr>
          <w:rFonts w:ascii="Times New Roman;Times;Serif" w:hAnsi="Times New Roman;Times;Serif"/>
          <w:b w:val="false"/>
          <w:i/>
          <w:caps w:val="false"/>
          <w:smallCaps w:val="false"/>
          <w:sz w:val="20"/>
        </w:rPr>
        <w:t>Limitations on Issuance of Restricted ADSs</w:t>
      </w:r>
      <w:r>
        <w:rPr>
          <w:rFonts w:ascii="Times New Roman;Times;Serif" w:hAnsi="Times New Roman;Times;Serif"/>
          <w:b w:val="false"/>
          <w:i w:val="false"/>
          <w:caps w:val="false"/>
          <w:smallCaps w:val="false"/>
          <w:sz w:val="20"/>
        </w:rPr>
        <w:t xml:space="preserve">, (iii) Section 5 – </w:t>
      </w:r>
      <w:r>
        <w:rPr>
          <w:rFonts w:ascii="Times New Roman;Times;Serif" w:hAnsi="Times New Roman;Times;Serif"/>
          <w:b w:val="false"/>
          <w:i/>
          <w:caps w:val="false"/>
          <w:smallCaps w:val="false"/>
          <w:sz w:val="20"/>
        </w:rPr>
        <w:t>Limitations on Transfer of Restricted ADSs</w:t>
      </w:r>
      <w:r>
        <w:rPr>
          <w:rFonts w:ascii="Times New Roman;Times;Serif" w:hAnsi="Times New Roman;Times;Serif"/>
          <w:b w:val="false"/>
          <w:i w:val="false"/>
          <w:caps w:val="false"/>
          <w:smallCaps w:val="false"/>
          <w:sz w:val="20"/>
        </w:rPr>
        <w:t xml:space="preserve">, (iv) Section 6 – </w:t>
      </w:r>
      <w:r>
        <w:rPr>
          <w:rFonts w:ascii="Times New Roman;Times;Serif" w:hAnsi="Times New Roman;Times;Serif"/>
          <w:b w:val="false"/>
          <w:i/>
          <w:caps w:val="false"/>
          <w:smallCaps w:val="false"/>
          <w:sz w:val="20"/>
        </w:rPr>
        <w:t>Limitations On Cancellation of Restricted ADSs</w:t>
      </w:r>
      <w:r>
        <w:rPr>
          <w:rFonts w:ascii="Times New Roman;Times;Serif" w:hAnsi="Times New Roman;Times;Serif"/>
          <w:b w:val="false"/>
          <w:i w:val="false"/>
          <w:caps w:val="false"/>
          <w:smallCaps w:val="false"/>
          <w:sz w:val="20"/>
        </w:rPr>
        <w:t xml:space="preserve">, (v) Section 7 – </w:t>
      </w:r>
      <w:r>
        <w:rPr>
          <w:rFonts w:ascii="Times New Roman;Times;Serif" w:hAnsi="Times New Roman;Times;Serif"/>
          <w:b w:val="false"/>
          <w:i/>
          <w:caps w:val="false"/>
          <w:smallCaps w:val="false"/>
          <w:sz w:val="20"/>
        </w:rPr>
        <w:t>Fungibility</w:t>
      </w:r>
      <w:r>
        <w:rPr>
          <w:rFonts w:ascii="Times New Roman;Times;Serif" w:hAnsi="Times New Roman;Times;Serif"/>
          <w:b w:val="false"/>
          <w:i w:val="false"/>
          <w:caps w:val="false"/>
          <w:smallCaps w:val="false"/>
          <w:sz w:val="20"/>
        </w:rPr>
        <w:t xml:space="preserve">, (vi) Section 8 – </w:t>
      </w:r>
      <w:r>
        <w:rPr>
          <w:rFonts w:ascii="Times New Roman;Times;Serif" w:hAnsi="Times New Roman;Times;Serif"/>
          <w:b w:val="false"/>
          <w:i/>
          <w:caps w:val="false"/>
          <w:smallCaps w:val="false"/>
          <w:sz w:val="20"/>
        </w:rPr>
        <w:t>Limitations On Exchange of Restricted ADSs for Freely Transferrable ADSs</w:t>
      </w:r>
      <w:r>
        <w:rPr>
          <w:rFonts w:ascii="Times New Roman;Times;Serif" w:hAnsi="Times New Roman;Times;Serif"/>
          <w:b w:val="false"/>
          <w:i w:val="false"/>
          <w:caps w:val="false"/>
          <w:smallCaps w:val="false"/>
          <w:sz w:val="20"/>
        </w:rPr>
        <w:t xml:space="preserve">, (vii) Section 9 – </w:t>
      </w:r>
      <w:r>
        <w:rPr>
          <w:rFonts w:ascii="Times New Roman;Times;Serif" w:hAnsi="Times New Roman;Times;Serif"/>
          <w:b w:val="false"/>
          <w:i/>
          <w:caps w:val="false"/>
          <w:smallCaps w:val="false"/>
          <w:sz w:val="20"/>
        </w:rPr>
        <w:t>Removal of Restrictions</w:t>
      </w:r>
      <w:r>
        <w:rPr>
          <w:rFonts w:ascii="Times New Roman;Times;Serif" w:hAnsi="Times New Roman;Times;Serif"/>
          <w:b w:val="false"/>
          <w:i w:val="false"/>
          <w:caps w:val="false"/>
          <w:smallCaps w:val="false"/>
          <w:sz w:val="20"/>
        </w:rPr>
        <w:t xml:space="preserve">, (viii) Section 11 – </w:t>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xml:space="preserve">, (ix) Section 12 – </w:t>
      </w:r>
      <w:r>
        <w:rPr>
          <w:rFonts w:ascii="Times New Roman;Times;Serif" w:hAnsi="Times New Roman;Times;Serif"/>
          <w:b w:val="false"/>
          <w:i/>
          <w:caps w:val="false"/>
          <w:smallCaps w:val="false"/>
          <w:sz w:val="20"/>
        </w:rPr>
        <w:t>Fractional Shares and ADSs</w:t>
      </w:r>
      <w:r>
        <w:rPr>
          <w:rFonts w:ascii="Times New Roman;Times;Serif" w:hAnsi="Times New Roman;Times;Serif"/>
          <w:b w:val="false"/>
          <w:i w:val="false"/>
          <w:caps w:val="false"/>
          <w:smallCaps w:val="false"/>
          <w:sz w:val="20"/>
        </w:rPr>
        <w:t xml:space="preserve">, (x) Section 13 – </w:t>
      </w:r>
      <w:r>
        <w:rPr>
          <w:rFonts w:ascii="Times New Roman;Times;Serif" w:hAnsi="Times New Roman;Times;Serif"/>
          <w:b w:val="false"/>
          <w:i/>
          <w:caps w:val="false"/>
          <w:smallCaps w:val="false"/>
          <w:sz w:val="20"/>
        </w:rPr>
        <w:t>Incorporation of Certain Provisions by Reference,</w:t>
      </w:r>
      <w:r>
        <w:rPr>
          <w:rFonts w:ascii="Times New Roman;Times;Serif" w:hAnsi="Times New Roman;Times;Serif"/>
          <w:b w:val="false"/>
          <w:i w:val="false"/>
          <w:caps w:val="false"/>
          <w:smallCaps w:val="false"/>
          <w:sz w:val="20"/>
        </w:rPr>
        <w:t xml:space="preserve"> (xi) Section 14 – </w:t>
      </w:r>
      <w:r>
        <w:rPr>
          <w:rFonts w:ascii="Times New Roman;Times;Serif" w:hAnsi="Times New Roman;Times;Serif"/>
          <w:b w:val="false"/>
          <w:i/>
          <w:caps w:val="false"/>
          <w:smallCaps w:val="false"/>
          <w:sz w:val="20"/>
        </w:rPr>
        <w:t xml:space="preserve">Limited Depositary Obligation, </w:t>
      </w:r>
      <w:r>
        <w:rPr>
          <w:rFonts w:ascii="Times New Roman;Times;Serif" w:hAnsi="Times New Roman;Times;Serif"/>
          <w:b w:val="false"/>
          <w:i w:val="false"/>
          <w:caps w:val="false"/>
          <w:smallCaps w:val="false"/>
          <w:sz w:val="20"/>
        </w:rPr>
        <w:t xml:space="preserve">(xii) Section 15 – </w:t>
      </w:r>
      <w:r>
        <w:rPr>
          <w:rFonts w:ascii="Times New Roman;Times;Serif" w:hAnsi="Times New Roman;Times;Serif"/>
          <w:b w:val="false"/>
          <w:i/>
          <w:caps w:val="false"/>
          <w:smallCaps w:val="false"/>
          <w:sz w:val="20"/>
        </w:rPr>
        <w:t>Parties; Amendment; Assignment</w:t>
      </w:r>
      <w:r>
        <w:rPr>
          <w:rFonts w:ascii="Times New Roman;Times;Serif" w:hAnsi="Times New Roman;Times;Serif"/>
          <w:b w:val="false"/>
          <w:i w:val="false"/>
          <w:caps w:val="false"/>
          <w:smallCaps w:val="false"/>
          <w:sz w:val="20"/>
        </w:rPr>
        <w:t xml:space="preserve">, and (xiii) Section 16 – </w:t>
      </w:r>
      <w:r>
        <w:rPr>
          <w:rFonts w:ascii="Times New Roman;Times;Serif" w:hAnsi="Times New Roman;Times;Serif"/>
          <w:b w:val="false"/>
          <w:i/>
          <w:caps w:val="false"/>
          <w:smallCaps w:val="false"/>
          <w:sz w:val="20"/>
        </w:rPr>
        <w:t>F-6 Registration Statement</w:t>
      </w:r>
      <w:r>
        <w:rPr>
          <w:rFonts w:ascii="Times New Roman;Times;Serif" w:hAnsi="Times New Roman;Times;Serif"/>
          <w:b w:val="false"/>
          <w:i w:val="false"/>
          <w:caps w:val="false"/>
          <w:smallCaps w:val="false"/>
          <w:sz w:val="20"/>
        </w:rPr>
        <w:t>. For the avoidance of doubt, to the extent Designated Restricted ADSs are issued under and pursuant to the terms of this Restricted ADS Series Supplement, the above referenced provisions set forth in the Restricted ADS Letter Agreement shall apply to such Designated Restricted ADSs and the transactions contemplated herein, except to the extent specifically modified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1 - 5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Depositary Fees</w:t>
      </w:r>
      <w:r>
        <w:rPr>
          <w:rFonts w:ascii="Times New Roman;Times;Serif" w:hAnsi="Times New Roman;Times;Serif"/>
          <w:b w:val="false"/>
          <w:i w:val="false"/>
          <w:caps w:val="false"/>
          <w:smallCaps w:val="false"/>
          <w:sz w:val="20"/>
        </w:rPr>
        <w:t>. Without limitation of any fees, costs and expenses otherwise payable by the Restricted Holder(s) pursuant to the Deposit Agreement (some of which fees payable to the Depositary under the Deposit Agreement may be cumulative), and subject to any other agreements between the Company and the Depositary with respect to the manner in which the fees payable to the Depositary hereunder are paid, the Company and the Depositary agree that the Restricted Holder(s) (or the Company if the Company and the Depositary have agreed otherwise) shall pay to the Depositary: (i) any and all fees, costs and expenses payable under the terms of the Deposit Agreement, the Restricted ADS Letter Agreement and this Restricted ADS Series Supplement, and (ii) all costs and expenses (including all related legal fees) incurred by or on behalf of the Depositary, in each case in connection with the transactions contemplated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 The parties hereto agree to duly execute and deliver, or cause to be duly executed and delivered, such further documents and instruments and do and cause to be done such further acts as may be reasonably requested by the other party in order to implement the terms and provisions of this Restricted ADS Series Supplement and to effectuate the purpose and intent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Original Restricted ADS Letter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the Depositary hereby agree that the terms set forth in this Restricted ADS Series Supplement shall apply only to the Designated Restricted ADSs and not to Restricted ADSs pursuant to any other Restricted ADS Series Supplement(s). Accordingly, only Holders and Beneficial Owners of the Designated Restricted ADSs issued pursuant to this Restricted ADS Series Supplement shall be subject to all of the terms and conditions of the Restricted ADS Letter Agreement and this Restricted ADS Series Supplement in all respects.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1 - 6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ADS Series Supplement may be executed in one or more counterparts, each of which shall be deemed an original and all of such counterparts shall constitute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Depositary have caused this Restricted ADS Series Supplement to be executed and delivered on their behalf by their respective officers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1939" w:type="dxa"/>
        <w:jc w:val="left"/>
        <w:tblInd w:w="0" w:type="dxa"/>
        <w:tblLayout w:type="fixed"/>
        <w:tblCellMar>
          <w:top w:w="0" w:type="dxa"/>
          <w:left w:w="0" w:type="dxa"/>
          <w:bottom w:w="0" w:type="dxa"/>
          <w:right w:w="0" w:type="dxa"/>
        </w:tblCellMar>
      </w:tblPr>
      <w:tblGrid>
        <w:gridCol w:w="75"/>
        <w:gridCol w:w="660"/>
        <w:gridCol w:w="1204"/>
      </w:tblGrid>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b/>
              </w:rPr>
            </w:pPr>
            <w:r>
              <w:rPr>
                <w:b/>
              </w:rPr>
              <w:t>ABIVAX SA</w:t>
            </w:r>
          </w:p>
        </w:tc>
      </w:tr>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By:</w:t>
            </w:r>
          </w:p>
        </w:tc>
        <w:tc>
          <w:tcPr>
            <w:tcW w:w="12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b/>
              </w:rPr>
            </w:pPr>
            <w:r>
              <w:rPr>
                <w:b/>
              </w:rPr>
              <w:t>CITIBANK, N.A.</w:t>
            </w:r>
          </w:p>
        </w:tc>
      </w:tr>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b/>
              </w:rPr>
            </w:pPr>
            <w:r>
              <w:rPr>
                <w:b/>
              </w:rPr>
              <w:t>as Depositary</w:t>
            </w:r>
          </w:p>
        </w:tc>
      </w:tr>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By:</w:t>
            </w:r>
          </w:p>
        </w:tc>
        <w:tc>
          <w:tcPr>
            <w:tcW w:w="12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Title:</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Restricted ADS Series Supplement</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2-A</w:t>
        <w:br/>
        <w:t>to</w:t>
        <w:br/>
        <w:t>Restricted ADS Letter Agreement, dated as of December 3,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CONSENT AND DELIVERY INSTRUCTION - COMPANY</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720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br/>
      </w: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Account Management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ABIVAX SA – Restricted ADSs (CUSIP No.: 00370M996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and (iii) the [●]</w:t>
      </w:r>
      <w:r>
        <w:rPr>
          <w:rFonts w:ascii="Times New Roman;Times;Serif" w:hAnsi="Times New Roman;Times;Serif"/>
          <w:b w:val="false"/>
          <w:i w:val="false"/>
          <w:caps w:val="false"/>
          <w:smallCaps w:val="false"/>
          <w:position w:val="5"/>
          <w:sz w:val="13"/>
          <w:sz w:val="16"/>
        </w:rPr>
        <w:t>1</w:t>
      </w:r>
      <w:r>
        <w:rPr>
          <w:rFonts w:ascii="Times New Roman;Times;Serif" w:hAnsi="Times New Roman;Times;Serif"/>
          <w:b w:val="false"/>
          <w:i w:val="false"/>
          <w:caps w:val="false"/>
          <w:smallCaps w:val="false"/>
          <w:sz w:val="20"/>
        </w:rPr>
        <w:t xml:space="preserve"> Restricted ADS Series Supplement, dated as of [●], by and between the Company and the Depositary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Capitalized terms used but not defined herein shall have the meanings given to them in the Deposit Agreement, or, in the event so noted herein, in the Restricted ADS Letter Agreement or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deposits the Restricted Shares (as defined in the Restricted ADS Letter Agreement)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on behalf of the beneficial owners thereof and hereby consents to the issuance by the Depositary of the corresponding Restricted ADSs (as defined in the Restricted ADS Letter Agreement) subject to the terms and conditions of the Deposit Agreement, the Restricted ADS Letter Agreement and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Note: to populate with the title of the applicable Restricted ADS Series Supplement pursuant to which the Restricted ADSs to be issued in accordance with this Consent and Delivery Instruction are to be so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2-A - 1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represents and warrants to the Depositary that (a) the specified Restricted Shares being deposited for the purpose of the issuance of Restricted ADSs are validly issued, fully paid and non-assessable, free and clear of any lien, encumbrance, security interest, charge, mortgage, adverse claim, or preemptive rights of the holders of outstanding Shares, and free from any transfer and/or voting restrictions (other than with regards to restrictions on transfer pursuant to U.S. securities law), (b) the deposit of the specified Restricted Shares and the issuance and delivery of Restricted ADSs in respect thereof, in each case upon the terms contemplated in the Restricted ADS Letter Agreement and the [●] Restricted ADS Series Supplement, do not, as of the time of such deposit and issuance, require registration under the Securities Act, (c) all approvals required by the laws of France to permit the deposit of the specified Restricted Shares under the Deposit Agreement, the Restricted ADS Letter Agreement and the [●] Restricted ADS Series Supplement have been obtained prior to the deposit of the specified Restricted Shares, (d) the specified Restricted Shares are of the same class as,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and are fully fungible with (other than with regards to restrictions on transfer pursuant to U.S. securities law), the other Shares on deposit under the Deposit Agreement, (e) the Holder(s) of the Restricted ADSs specified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are the beneficial owners of the specified Restricted Shares and will be the Beneficial Owners of the corresponding Restricted ADSs immediately following the deposit of the Restricted Shares and the issuance of the corresponding Restricted ADSs, and (f) none of the transactions contemplated herein violate any court judgment or order issued against the Company or any material contract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that payment of the applicable fees, taxes and expenses payable under the terms of the Deposit Agreement, the Restricted ADS Letter Agreement and the [●] Restricted ADS Series Supplement upon the deposit of Shares and issuance of ADSs, has been made to the Depositary or relevant tax authority (as appropriate) or is being made concurrently herewith. The Company confirms that the indemnity obligations of Section 5.8 of the Deposit Agreement shall apply to the transactions contemplated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caused this Standard Consent and Delivery Instruction to be executed and delivered on its behalf by its duly authorized officer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1459" w:type="dxa"/>
        <w:jc w:val="left"/>
        <w:tblInd w:w="0" w:type="dxa"/>
        <w:tblLayout w:type="fixed"/>
        <w:tblCellMar>
          <w:top w:w="0" w:type="dxa"/>
          <w:left w:w="0" w:type="dxa"/>
          <w:bottom w:w="0" w:type="dxa"/>
          <w:right w:w="0" w:type="dxa"/>
        </w:tblCellMar>
      </w:tblPr>
      <w:tblGrid>
        <w:gridCol w:w="75"/>
        <w:gridCol w:w="490"/>
        <w:gridCol w:w="894"/>
      </w:tblGrid>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b/>
              </w:rPr>
            </w:pPr>
            <w:r>
              <w:rPr>
                <w:b/>
              </w:rPr>
              <w:t>ABIVAX SA</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By:</w:t>
            </w:r>
          </w:p>
        </w:tc>
        <w:tc>
          <w:tcPr>
            <w:tcW w:w="89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Title:</w:t>
            </w:r>
          </w:p>
        </w:tc>
      </w:tr>
    </w:tbl>
    <w:p>
      <w:pPr>
        <w:pStyle w:val="TextBody"/>
        <w:bidi w:val="0"/>
        <w:spacing w:before="0" w:after="0"/>
        <w:ind w:left="4560" w:right="0" w:hanging="0"/>
        <w:jc w:val="left"/>
        <w:rPr>
          <w:caps w:val="false"/>
          <w:smallCaps w:val="false"/>
        </w:rPr>
      </w:pPr>
      <w:r>
        <w:rPr>
          <w:caps w:val="false"/>
          <w:smallCaps w:val="false"/>
        </w:rPr>
        <w:t> </w:t>
      </w:r>
    </w:p>
    <w:p>
      <w:pPr>
        <w:pStyle w:val="TextBody"/>
        <w:bidi w:val="0"/>
        <w:spacing w:before="0" w:after="0"/>
        <w:ind w:left="4560" w:right="0" w:hanging="0"/>
        <w:jc w:val="center"/>
        <w:rPr>
          <w:bdr w:val="single" w:sz="8" w:space="1" w:color="000000"/>
        </w:rPr>
      </w:pPr>
      <w:r>
        <w:rPr>
          <w:bdr w:val="single" w:sz="8" w:space="1" w:color="000000"/>
        </w:rPr>
        <w:t>App’x 2-A - 2</w:t>
      </w:r>
    </w:p>
    <w:p>
      <w:pPr>
        <w:pStyle w:val="TextBody"/>
        <w:bidi w:val="0"/>
        <w:spacing w:before="0" w:after="0"/>
        <w:jc w:val="center"/>
        <w:rPr/>
      </w:pPr>
      <w:r>
        <w:rPr/>
        <w:t> </w:t>
      </w:r>
    </w:p>
    <w:p>
      <w:pPr>
        <w:pStyle w:val="TextBody"/>
        <w:bidi w:val="0"/>
        <w:spacing w:before="0" w:after="0"/>
        <w:ind w:left="4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15"/>
        <w:gridCol w:w="2618"/>
        <w:gridCol w:w="4672"/>
      </w:tblGrid>
      <w:tr>
        <w:trPr/>
        <w:tc>
          <w:tcPr>
            <w:tcW w:w="29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Restricted Shares</w:t>
            </w:r>
          </w:p>
        </w:tc>
        <w:tc>
          <w:tcPr>
            <w:tcW w:w="2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Restricted ADSs</w:t>
            </w:r>
          </w:p>
        </w:tc>
        <w:tc>
          <w:tcPr>
            <w:tcW w:w="467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Name, Address, and Email Address of Registered Holder of Restricted ADSs</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Shares</w:t>
            </w:r>
          </w:p>
        </w:tc>
        <w:tc>
          <w:tcPr>
            <w:tcW w:w="2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Restricted ADSs</w:t>
            </w:r>
          </w:p>
        </w:tc>
        <w:tc>
          <w:tcPr>
            <w:tcW w:w="46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2-A - 3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2-B</w:t>
        <w:br/>
        <w:t>to</w:t>
        <w:br/>
        <w:t>Restricted ADS Letter Agreement, dated as of December 3,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CONSENT AND DELIVERY INSTRUCTION – RESTRICTED HOLDER</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720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br/>
      </w: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xml:space="preserve"> </w:t>
        <w:tab/>
        <w:t>Account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ABIVAX SA – Restricted ADSs (CUSIP No.: 00370M996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and (iii) the [●]</w:t>
      </w:r>
      <w:r>
        <w:rPr>
          <w:rFonts w:ascii="Times New Roman;Times;Serif" w:hAnsi="Times New Roman;Times;Serif"/>
          <w:b w:val="false"/>
          <w:i w:val="false"/>
          <w:caps w:val="false"/>
          <w:smallCaps w:val="false"/>
          <w:position w:val="5"/>
          <w:sz w:val="13"/>
          <w:sz w:val="16"/>
        </w:rPr>
        <w:t>2</w:t>
      </w:r>
      <w:r>
        <w:rPr>
          <w:rFonts w:ascii="Times New Roman;Times;Serif" w:hAnsi="Times New Roman;Times;Serif"/>
          <w:b w:val="false"/>
          <w:i w:val="false"/>
          <w:caps w:val="false"/>
          <w:smallCaps w:val="false"/>
          <w:sz w:val="20"/>
        </w:rPr>
        <w:t xml:space="preserve"> Restricted ADS Series Supplement, dated as of [●], by and between the Company and the Depositary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Capitalized terms used but not defined herein shall have the meanings given to them in the Deposit Agreement, or, in the event so noted herein, in the Restricted ADS Letter Agreement or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of Restricted Shares (as defined in the Restricted ADS Letter Agreement) (the “</w:t>
      </w:r>
      <w:r>
        <w:rPr>
          <w:rFonts w:ascii="Times New Roman;Times;Serif" w:hAnsi="Times New Roman;Times;Serif"/>
          <w:b w:val="false"/>
          <w:i w:val="false"/>
          <w:caps w:val="false"/>
          <w:smallCaps w:val="false"/>
          <w:sz w:val="20"/>
          <w:u w:val="single"/>
        </w:rPr>
        <w:t>Restricted Holder</w:t>
      </w:r>
      <w:r>
        <w:rPr>
          <w:rFonts w:ascii="Times New Roman;Times;Serif" w:hAnsi="Times New Roman;Times;Serif"/>
          <w:b w:val="false"/>
          <w:i w:val="false"/>
          <w:caps w:val="false"/>
          <w:smallCaps w:val="false"/>
          <w:sz w:val="20"/>
        </w:rPr>
        <w:t xml:space="preserve">”) hereby advises the Depositary and the Company of its intent to deposit, or to cause to be deposited on its behalf, the Restricted Shares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requests the issuance by the Depositary of the corresponding Restricted ADSs (as defined in the Restricted ADS Letter Agreement) subject to the terms and conditions of the Deposit Agreement, the Restricted ADS Letter Agreement and the [●] Restricted ADS Series Supplement. The Company hereby consents to the deposit of the specified Restricted Shares and the issuance of the corresponding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Note: to populate with the title of the applicable Restricted ADS Series Supplement pursuant to which the Restricted ADSs to be issued in accordance with this Consent and Delivery Instruction are to be so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2-B - 1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Restricted Holder hereby represents and warrants to the Depositary that (a) the specified Restricted Shares being deposited for the purpose of the issuance of Restricted ADSs are validly issued, fully paid and non-assessable, free and clear of any lien, encumbrance, security interest, charge, mortgage, adverse claim, or preemptive rights of the holders of outstanding Shares, and free from any transfer and/or voting restrictions (other than with regards to restrictions on transfer pursuant to U.S. securities law), (b) the deposit of the specified Restricted Shares and the issuance and delivery of Restricted ADSs in respect thereof, in each case upon the terms contemplated in the Restricted ADS Letter Agreement and the [●] Restricted ADS Series Supplement, do not, as of the time of such deposit and issuance, require registration under the Securities Act, (c) all approvals required by the laws of France to permit the deposit of the specified Restricted Shares under the Deposit Agreement, the Restricted ADS Letter Agreement and the [●] Restricted ADS Series Supplement have been obtained prior to the deposit of the specified Restricted Shares, (d) the specified Restricted Shares are of the same class as,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 xml:space="preserve">and will be fully fungible with (other than with regards to restrictions on transfer pursuant to U.S. securities law), the other Shares on deposit under the Deposit Agreement, (e) the specified Restricted Holder of the Restricted ADSs specified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is the beneficial owner of the specified Restricted Shares and will be the Beneficial Owner of the corresponding Restricted ADSs immediately following the deposit of the Restricted Shares and issuance and delivery of the corresponding Restricted ADSs, and (f) none of the transactions contemplated herein violate any court judgment or order issued against the Restricted Holder or any material contract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Holder agrees to be bound by the terms of the Deposit Agreement, the Restricted ADS Letter Agreement and the [●] Restricted ADS Series Supplement upon acceptance of the specified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Restricted Holder and the Company confirms that payment of the applicable fees, taxes and expenses payable under the terms of the Deposit Agreement, the Restricted ADS Letter Agreement and the [●] Restricted ADS Series Supplement upon the deposit of Shares and issuance of ADSs, has been made to the Depositary or relevant tax authority (as appropriate) or is being made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above acknowledgements, agreements, certifications, instructions, representations or warranties are false or incorrect in any way, (x) the Depositary and the Company shall be authorized, at the cost and expense of the undersigned, to take any and all actions necessary to correct the consequences thereof, and (y) the undersigned shall indemnify and hold harmless the Depositary and its agents for any and all losses, liabilities, costs, expenses (including, without limitation, fees and expenses of counsel), claims, damages and taxes of any kind, incurred as a result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Restricted Holder and the Company has caused this Standard Consent and Delivery Instruction to be executed and delivered personally or on its behalf by their respective officers or agents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on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2-B - 2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970"/>
        <w:gridCol w:w="1929"/>
      </w:tblGrid>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b/>
              </w:rPr>
            </w:pPr>
            <w:r>
              <w:rPr>
                <w:b/>
              </w:rPr>
              <w:t>[RESTRICTED HOLDER]</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By:</w:t>
            </w:r>
          </w:p>
        </w:tc>
        <w:tc>
          <w:tcPr>
            <w:tcW w:w="192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929"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Consented to:</w:t>
      </w:r>
    </w:p>
    <w:p>
      <w:pPr>
        <w:pStyle w:val="TextBody"/>
        <w:bidi w:val="0"/>
        <w:spacing w:before="0" w:after="0"/>
        <w:ind w:left="0" w:right="0" w:hanging="0"/>
        <w:jc w:val="left"/>
        <w:rPr>
          <w:caps w:val="false"/>
          <w:smallCaps w:val="false"/>
        </w:rPr>
      </w:pPr>
      <w:r>
        <w:rPr>
          <w:caps w:val="false"/>
          <w:smallCaps w:val="false"/>
        </w:rPr>
        <w:t> </w:t>
      </w:r>
    </w:p>
    <w:tbl>
      <w:tblPr>
        <w:tblW w:w="1459" w:type="dxa"/>
        <w:jc w:val="left"/>
        <w:tblInd w:w="0" w:type="dxa"/>
        <w:tblLayout w:type="fixed"/>
        <w:tblCellMar>
          <w:top w:w="0" w:type="dxa"/>
          <w:left w:w="0" w:type="dxa"/>
          <w:bottom w:w="0" w:type="dxa"/>
          <w:right w:w="0" w:type="dxa"/>
        </w:tblCellMar>
      </w:tblPr>
      <w:tblGrid>
        <w:gridCol w:w="529"/>
        <w:gridCol w:w="855"/>
        <w:gridCol w:w="75"/>
      </w:tblGrid>
      <w:tr>
        <w:trPr/>
        <w:tc>
          <w:tcPr>
            <w:tcW w:w="1384" w:type="dxa"/>
            <w:gridSpan w:val="2"/>
            <w:tcBorders/>
            <w:vAlign w:val="center"/>
          </w:tcPr>
          <w:p>
            <w:pPr>
              <w:pStyle w:val="TableContents"/>
              <w:bidi w:val="0"/>
              <w:spacing w:before="0" w:after="283"/>
              <w:jc w:val="left"/>
              <w:rPr>
                <w:b/>
              </w:rPr>
            </w:pPr>
            <w:r>
              <w:rPr>
                <w:b/>
              </w:rPr>
              <w:t>ABIVAX SA</w:t>
            </w:r>
          </w:p>
        </w:tc>
        <w:tc>
          <w:tcPr>
            <w:tcW w:w="75" w:type="dxa"/>
            <w:tcBorders/>
            <w:vAlign w:val="center"/>
          </w:tcPr>
          <w:p>
            <w:pPr>
              <w:pStyle w:val="TableContents"/>
              <w:bidi w:val="0"/>
              <w:spacing w:before="0" w:after="283"/>
              <w:jc w:val="left"/>
              <w:rPr/>
            </w:pPr>
            <w:r>
              <w:rPr/>
              <w:t> </w:t>
            </w:r>
          </w:p>
        </w:tc>
      </w:tr>
      <w:tr>
        <w:trPr/>
        <w:tc>
          <w:tcPr>
            <w:tcW w:w="529"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9" w:type="dxa"/>
            <w:tcBorders/>
            <w:vAlign w:val="center"/>
          </w:tcPr>
          <w:p>
            <w:pPr>
              <w:pStyle w:val="TableContents"/>
              <w:bidi w:val="0"/>
              <w:spacing w:before="0" w:after="283"/>
              <w:jc w:val="left"/>
              <w:rPr/>
            </w:pPr>
            <w:r>
              <w:rPr/>
              <w:t xml:space="preserve">By: </w:t>
            </w:r>
          </w:p>
        </w:tc>
        <w:tc>
          <w:tcPr>
            <w:tcW w:w="8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9"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xml:space="preserve">Name: </w:t>
            </w:r>
          </w:p>
        </w:tc>
        <w:tc>
          <w:tcPr>
            <w:tcW w:w="75" w:type="dxa"/>
            <w:tcBorders/>
            <w:vAlign w:val="center"/>
          </w:tcPr>
          <w:p>
            <w:pPr>
              <w:pStyle w:val="TableContents"/>
              <w:bidi w:val="0"/>
              <w:spacing w:before="0" w:after="283"/>
              <w:jc w:val="left"/>
              <w:rPr/>
            </w:pPr>
            <w:r>
              <w:rPr/>
              <w:t> </w:t>
            </w:r>
          </w:p>
        </w:tc>
      </w:tr>
      <w:tr>
        <w:trPr/>
        <w:tc>
          <w:tcPr>
            <w:tcW w:w="529"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8" w:space="1" w:color="000000"/>
        </w:rPr>
      </w:pPr>
      <w:r>
        <w:rPr>
          <w:bdr w:val="single" w:sz="8" w:space="1" w:color="000000"/>
        </w:rPr>
        <w:t>App’x 2-B - 3</w:t>
      </w:r>
    </w:p>
    <w:p>
      <w:pPr>
        <w:pStyle w:val="TextBody"/>
        <w:bidi w:val="0"/>
        <w:spacing w:before="0" w:after="0"/>
        <w:jc w:val="center"/>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579"/>
        <w:gridCol w:w="2560"/>
        <w:gridCol w:w="4066"/>
      </w:tblGrid>
      <w:tr>
        <w:trPr/>
        <w:tc>
          <w:tcPr>
            <w:tcW w:w="35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Restricted Shares</w:t>
            </w:r>
          </w:p>
        </w:tc>
        <w:tc>
          <w:tcPr>
            <w:tcW w:w="2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Restricted ADSs</w:t>
            </w:r>
          </w:p>
        </w:tc>
        <w:tc>
          <w:tcPr>
            <w:tcW w:w="40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Name, Address, and Email Address of Registered Holder of Restricted ADSs</w:t>
            </w:r>
          </w:p>
        </w:tc>
      </w:tr>
      <w:tr>
        <w:trPr/>
        <w:tc>
          <w:tcPr>
            <w:tcW w:w="357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_________________ Restricted Shares</w:t>
            </w:r>
          </w:p>
        </w:tc>
        <w:tc>
          <w:tcPr>
            <w:tcW w:w="2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_________ Restricted ADSs</w:t>
            </w:r>
          </w:p>
        </w:tc>
        <w:tc>
          <w:tcPr>
            <w:tcW w:w="40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2-B - 4</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2-C</w:t>
        <w:br/>
        <w:t>to</w:t>
        <w:br/>
        <w:t>Restricted ADS Letter Agreement, dated as of December 3,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CONSENT AND DELIVERY INSTRUCTION – UNRESTRICTED ADS DELIVERY FOR RESTRICTED ADS CONVERSION</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720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br/>
      </w: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Account Management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ABIVAX SA – Restricted ADSs (CUSIP No.: 00370M996)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and (iii) the [●]</w:t>
      </w: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20"/>
        </w:rPr>
        <w:t xml:space="preserve"> Restricted ADS Series Supplement, dated as of [●], by and between the Company and the Depositary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Capitalized terms used but not defined herein shall have the meanings given to them in the Deposit Agreement, or, in the event so noted herein, in the Restricted ADS Letter Agreement or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(the “</w:t>
      </w:r>
      <w:r>
        <w:rPr>
          <w:rFonts w:ascii="Times New Roman;Times;Serif" w:hAnsi="Times New Roman;Times;Serif"/>
          <w:b w:val="false"/>
          <w:i w:val="false"/>
          <w:caps w:val="false"/>
          <w:smallCaps w:val="false"/>
          <w:sz w:val="20"/>
          <w:u w:val="single"/>
        </w:rPr>
        <w:t>Restricted Holder</w:t>
      </w:r>
      <w:r>
        <w:rPr>
          <w:rFonts w:ascii="Times New Roman;Times;Serif" w:hAnsi="Times New Roman;Times;Serif"/>
          <w:b w:val="false"/>
          <w:i w:val="false"/>
          <w:caps w:val="false"/>
          <w:smallCaps w:val="false"/>
          <w:sz w:val="20"/>
        </w:rPr>
        <w:t xml:space="preserve">”) hereby advises the Depositary and the Company of the Restricted Holder’s intent to surrender for cancellation and conversion, or to cause to be surrendered for cancellation and conversion on its behalf, the ADSs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Unrestricted ADSs</w:t>
      </w:r>
      <w:r>
        <w:rPr>
          <w:rFonts w:ascii="Times New Roman;Times;Serif" w:hAnsi="Times New Roman;Times;Serif"/>
          <w:b w:val="false"/>
          <w:i w:val="false"/>
          <w:caps w:val="false"/>
          <w:smallCaps w:val="false"/>
          <w:sz w:val="20"/>
        </w:rPr>
        <w:t>”) and requests the issuance by the Depositary of the corresponding Designated Restricted ADSs (as defined in the Restricted ADS Letter Agreement) subject to the terms and conditions of the Deposit Agreement, the Restricted ADS Letter Agreement and the [●] Restricted ADS Series Supplement. The Company hereby consents to the cancellation of the specified Unrestricted ADSs and the issuance and delivery of the corresponding Designated Restricted ADSs.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Note: to populate with the title of the applicable Restricted ADS Series Supplement pursuant to which the Restricted ADSs to be issued in accordance with this Consent and Delivery Instruction are to be so issued.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2-C - 1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Restricted Holder hereby represents and warrants to the Depositary that (a) the specified Unrestricted ADSs are free and clear of any lien, encumbrance, security interest, charge, mortgage, adverse claim, and free from any transfer and/or voting restrictions, (b) all approvals required by the laws of France to permit the delivery, cancellation and conversion of the Unrestricted ADSs into Restricted ADSs under the Deposit Agreement, the Restricted ADS Letter Agreement and the [●] Restricted ADS Series Supplement have been obtained, (c) the Restricted Holder is the Beneficial Owner of the Unrestricted ADSs specified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will be the Beneficial Owner of the corresponding Restricted ADSs to be issued, and (d) none of the transactions contemplated herein violate any court judgment or order issued against the Restricted Holder or any material contract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Holder agrees to be bound by the terms of the Deposit Agreement, the Restricted ADS Letter Agreement and the [●] Restricted ADS Series Supplement upon acceptance of the specified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Restricted Holder and the Company confirms that payment of the applicable fees, taxes, and expenses payable under the terms of the Deposit Agreement, the Restricted ADS Letter Agreement and the [●] Restricted ADS Series Supplement upon the conversion of the Unrestricted ADSs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to, and the issuance of, the corresponding Restricted ADSs has been made to the Depositary or relevant tax authority (as appropriate) or is being made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above acknowledgements, agreements, certifications, instructions, representations or warranties are false or incorrect in any way, (x) the Depositary and the Company shall be authorized, at the cost and expense of the undersigned, to take any and all actions necessary to correct the consequences thereof, and (y) the undersigned shall indemnify and hold harmless the Depositary and its agents for any and all losses, liabilities, costs, expenses (including, without limitation, fees and expenses of counsel), claims, damages and taxes of any kind, incurred as a result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2-C - 2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Restricted Holder and the Company has caused this Standard Consent and Delivery Instruction to be executed and delivered personally or on its behalf by their respective officers or agents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2572"/>
        <w:gridCol w:w="327"/>
      </w:tblGrid>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w:t>
            </w:r>
            <w:r>
              <w:rPr>
                <w:b/>
              </w:rPr>
              <w:t>RESTRICTED HOLDER</w:t>
            </w:r>
            <w:r>
              <w:rPr/>
              <w:t>]</w:t>
            </w:r>
          </w:p>
        </w:tc>
      </w:tr>
      <w:tr>
        <w:trPr/>
        <w:tc>
          <w:tcPr>
            <w:tcW w:w="75" w:type="dxa"/>
            <w:tcBorders/>
            <w:vAlign w:val="center"/>
          </w:tcPr>
          <w:p>
            <w:pPr>
              <w:pStyle w:val="TableContents"/>
              <w:bidi w:val="0"/>
              <w:spacing w:before="0" w:after="283"/>
              <w:jc w:val="left"/>
              <w:rPr/>
            </w:pPr>
            <w:r>
              <w:rPr/>
              <w:t> </w:t>
            </w:r>
          </w:p>
        </w:tc>
        <w:tc>
          <w:tcPr>
            <w:tcW w:w="2572"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72" w:type="dxa"/>
            <w:tcBorders/>
            <w:vAlign w:val="center"/>
          </w:tcPr>
          <w:p>
            <w:pPr>
              <w:pStyle w:val="TableContents"/>
              <w:bidi w:val="0"/>
              <w:spacing w:before="0" w:after="283"/>
              <w:jc w:val="left"/>
              <w:rPr/>
            </w:pPr>
            <w:r>
              <w:rPr/>
              <w:t>By:</w:t>
            </w:r>
          </w:p>
        </w:tc>
        <w:tc>
          <w:tcPr>
            <w:tcW w:w="3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72" w:type="dxa"/>
            <w:tcBorders/>
            <w:vAlign w:val="center"/>
          </w:tcPr>
          <w:p>
            <w:pPr>
              <w:pStyle w:val="TableContents"/>
              <w:bidi w:val="0"/>
              <w:spacing w:before="0" w:after="283"/>
              <w:jc w:val="left"/>
              <w:rPr/>
            </w:pPr>
            <w:r>
              <w:rPr/>
              <w:t>Name:</w:t>
            </w:r>
          </w:p>
        </w:tc>
        <w:tc>
          <w:tcPr>
            <w:tcW w:w="3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72" w:type="dxa"/>
            <w:tcBorders/>
            <w:vAlign w:val="center"/>
          </w:tcPr>
          <w:p>
            <w:pPr>
              <w:pStyle w:val="TableContents"/>
              <w:bidi w:val="0"/>
              <w:spacing w:before="0" w:after="283"/>
              <w:jc w:val="left"/>
              <w:rPr/>
            </w:pPr>
            <w:r>
              <w:rPr/>
              <w:t>Title:</w:t>
            </w:r>
          </w:p>
        </w:tc>
        <w:tc>
          <w:tcPr>
            <w:tcW w:w="32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Consented to:</w:t>
      </w:r>
    </w:p>
    <w:p>
      <w:pPr>
        <w:pStyle w:val="TextBody"/>
        <w:bidi w:val="0"/>
        <w:spacing w:before="0" w:after="0"/>
        <w:ind w:left="0" w:right="0" w:hanging="0"/>
        <w:jc w:val="left"/>
        <w:rPr>
          <w:caps w:val="false"/>
          <w:smallCaps w:val="false"/>
        </w:rPr>
      </w:pPr>
      <w:r>
        <w:rPr>
          <w:caps w:val="false"/>
          <w:smallCaps w:val="false"/>
        </w:rPr>
        <w:t> </w:t>
      </w:r>
    </w:p>
    <w:tbl>
      <w:tblPr>
        <w:tblW w:w="1459" w:type="dxa"/>
        <w:jc w:val="left"/>
        <w:tblInd w:w="0" w:type="dxa"/>
        <w:tblLayout w:type="fixed"/>
        <w:tblCellMar>
          <w:top w:w="0" w:type="dxa"/>
          <w:left w:w="0" w:type="dxa"/>
          <w:bottom w:w="0" w:type="dxa"/>
          <w:right w:w="0" w:type="dxa"/>
        </w:tblCellMar>
      </w:tblPr>
      <w:tblGrid>
        <w:gridCol w:w="1258"/>
        <w:gridCol w:w="126"/>
        <w:gridCol w:w="75"/>
      </w:tblGrid>
      <w:tr>
        <w:trPr/>
        <w:tc>
          <w:tcPr>
            <w:tcW w:w="1384" w:type="dxa"/>
            <w:gridSpan w:val="2"/>
            <w:tcBorders/>
            <w:vAlign w:val="center"/>
          </w:tcPr>
          <w:p>
            <w:pPr>
              <w:pStyle w:val="TableContents"/>
              <w:bidi w:val="0"/>
              <w:spacing w:before="0" w:after="283"/>
              <w:jc w:val="left"/>
              <w:rPr>
                <w:b/>
              </w:rPr>
            </w:pPr>
            <w:r>
              <w:rPr>
                <w:b/>
              </w:rPr>
              <w:t>ABIVAX SA</w:t>
            </w:r>
          </w:p>
        </w:tc>
        <w:tc>
          <w:tcPr>
            <w:tcW w:w="75" w:type="dxa"/>
            <w:tcBorders/>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283"/>
              <w:jc w:val="left"/>
              <w:rPr/>
            </w:pPr>
            <w:r>
              <w:rPr/>
              <w:t>By:</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283"/>
              <w:jc w:val="left"/>
              <w:rPr/>
            </w:pPr>
            <w:r>
              <w:rPr/>
              <w:t>Name:</w:t>
            </w:r>
          </w:p>
        </w:tc>
        <w:tc>
          <w:tcPr>
            <w:tcW w:w="1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58" w:type="dxa"/>
            <w:tcBorders/>
            <w:vAlign w:val="center"/>
          </w:tcPr>
          <w:p>
            <w:pPr>
              <w:pStyle w:val="TableContents"/>
              <w:bidi w:val="0"/>
              <w:spacing w:before="0" w:after="283"/>
              <w:jc w:val="left"/>
              <w:rPr/>
            </w:pPr>
            <w:r>
              <w:rPr/>
              <w:t>Title:</w:t>
            </w:r>
          </w:p>
        </w:tc>
        <w:tc>
          <w:tcPr>
            <w:tcW w:w="1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8" w:space="1" w:color="000000"/>
        </w:rPr>
      </w:pPr>
      <w:r>
        <w:rPr>
          <w:bdr w:val="single" w:sz="8" w:space="1" w:color="000000"/>
        </w:rPr>
        <w:t>App’x 2-C - 3</w:t>
      </w:r>
    </w:p>
    <w:p>
      <w:pPr>
        <w:pStyle w:val="TextBody"/>
        <w:bidi w:val="0"/>
        <w:spacing w:before="0" w:after="0"/>
        <w:jc w:val="center"/>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915"/>
        <w:gridCol w:w="2508"/>
        <w:gridCol w:w="4782"/>
      </w:tblGrid>
      <w:tr>
        <w:trPr/>
        <w:tc>
          <w:tcPr>
            <w:tcW w:w="29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Unrestricted ADSs</w:t>
            </w:r>
          </w:p>
        </w:tc>
        <w:tc>
          <w:tcPr>
            <w:tcW w:w="250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Restricted ADSs</w:t>
            </w:r>
          </w:p>
        </w:tc>
        <w:tc>
          <w:tcPr>
            <w:tcW w:w="478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Name, Address, and Email Address of Registered Holder of Restricted ADSs</w:t>
            </w:r>
          </w:p>
        </w:tc>
      </w:tr>
      <w:tr>
        <w:trPr/>
        <w:tc>
          <w:tcPr>
            <w:tcW w:w="29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 xml:space="preserve">_________ Unrestricted ADSs </w:t>
            </w:r>
          </w:p>
        </w:tc>
        <w:tc>
          <w:tcPr>
            <w:tcW w:w="25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b/>
              </w:rPr>
            </w:pPr>
            <w:r>
              <w:rPr>
                <w:b/>
              </w:rPr>
              <w:t>________ Restricted ADSs</w:t>
            </w:r>
          </w:p>
        </w:tc>
        <w:tc>
          <w:tcPr>
            <w:tcW w:w="47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2-C - 4</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3</w:t>
        <w:br/>
        <w:t>to</w:t>
        <w:br/>
        <w:t>Restricted ADS Letter Agreement, dated as of December 3,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TRANSFER 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9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20[●]</w:t>
      </w:r>
    </w:p>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br/>
      </w: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Account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ABIVAX SA - Restricted ADSs (CUSIP No.: 00370M996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and (iii) the [●]</w:t>
      </w:r>
      <w:r>
        <w:rPr>
          <w:rFonts w:ascii="Times New Roman;Times;Serif" w:hAnsi="Times New Roman;Times;Serif"/>
          <w:b w:val="false"/>
          <w:i w:val="false"/>
          <w:caps w:val="false"/>
          <w:smallCaps w:val="false"/>
          <w:position w:val="5"/>
          <w:sz w:val="13"/>
          <w:sz w:val="16"/>
        </w:rPr>
        <w:t>4</w:t>
      </w:r>
      <w:r>
        <w:rPr>
          <w:rFonts w:ascii="Times New Roman;Times;Serif" w:hAnsi="Times New Roman;Times;Serif"/>
          <w:b w:val="false"/>
          <w:i w:val="false"/>
          <w:caps w:val="false"/>
          <w:smallCaps w:val="false"/>
          <w:sz w:val="20"/>
        </w:rPr>
        <w:t xml:space="preserve"> Restricted ADS Series Supplement, dated as of [●], by and between the Company and the Depositary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Capitalized terms used but not defined herein shall have the meanings given to them in the Deposit Agreement, or, in the event so noted herein, in the Restricted ADS Letter Agreement or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Note: to populate with the title of the applicable Restricted ADS Series Supplement pursuant to which the Restricted ADSs to be transferred were originally issued.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3 - 1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transfer of the Restricted ADSs surrendered herewith (the “</w:t>
      </w:r>
      <w:r>
        <w:rPr>
          <w:rFonts w:ascii="Times New Roman;Times;Serif" w:hAnsi="Times New Roman;Times;Serif"/>
          <w:b w:val="false"/>
          <w:i w:val="false"/>
          <w:caps w:val="false"/>
          <w:smallCaps w:val="false"/>
          <w:sz w:val="20"/>
          <w:u w:val="single"/>
        </w:rPr>
        <w:t>Surrendered Restricted ADSs</w:t>
      </w:r>
      <w:r>
        <w:rPr>
          <w:rFonts w:ascii="Times New Roman;Times;Serif" w:hAnsi="Times New Roman;Times;Serif"/>
          <w:b w:val="false"/>
          <w:i w:val="false"/>
          <w:caps w:val="false"/>
          <w:smallCaps w:val="false"/>
          <w:sz w:val="20"/>
        </w:rPr>
        <w:t xml:space="preserve">”) to the person(s)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undersigned Restricted Holder certifies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(Check one)</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180"/>
        <w:gridCol w:w="212"/>
        <w:gridCol w:w="9775"/>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___</w:t>
            </w:r>
          </w:p>
        </w:tc>
        <w:tc>
          <w:tcPr>
            <w:tcW w:w="212" w:type="dxa"/>
            <w:tcBorders/>
            <w:vAlign w:val="center"/>
          </w:tcPr>
          <w:p>
            <w:pPr>
              <w:pStyle w:val="TableContents"/>
              <w:bidi w:val="0"/>
              <w:spacing w:before="0" w:after="283"/>
              <w:jc w:val="both"/>
              <w:rPr/>
            </w:pPr>
            <w:r>
              <w:rPr/>
              <w:t>(a)</w:t>
              <w:tab/>
            </w:r>
          </w:p>
        </w:tc>
        <w:tc>
          <w:tcPr>
            <w:tcW w:w="9775" w:type="dxa"/>
            <w:tcBorders/>
            <w:vAlign w:val="center"/>
          </w:tcPr>
          <w:p>
            <w:pPr>
              <w:pStyle w:val="TableContents"/>
              <w:bidi w:val="0"/>
              <w:spacing w:before="0" w:after="283"/>
              <w:jc w:val="both"/>
              <w:rPr/>
            </w:pPr>
            <w:r>
              <w:rPr/>
              <w:t>The Surrendered Restricted ADSs are being transferred to a person who the undersigned Restricted Holder reasonably believes is a “Qualified Institutional Buyer” (within the meaning of Rule 144A under the Securities Act) for the account of a person who the undersigned Restricted Holder reasonably believes is a Qualified Institutional Buyer in a transaction meeting the requirements of Rule 144A under the Securities Act and the transferee is acquiring the Surrendered Restricted ADSs for investment purposes only without a view to distribution.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0"/>
        <w:gridCol w:w="8504"/>
        <w:gridCol w:w="851"/>
      </w:tblGrid>
      <w:tr>
        <w:trPr/>
        <w:tc>
          <w:tcPr>
            <w:tcW w:w="850" w:type="dxa"/>
            <w:tcBorders/>
            <w:vAlign w:val="center"/>
          </w:tcPr>
          <w:p>
            <w:pPr>
              <w:pStyle w:val="TableContents"/>
              <w:bidi w:val="0"/>
              <w:spacing w:before="0" w:after="283"/>
              <w:jc w:val="left"/>
              <w:rPr>
                <w:sz w:val="4"/>
                <w:szCs w:val="4"/>
              </w:rPr>
            </w:pPr>
            <w:r>
              <w:rPr>
                <w:sz w:val="4"/>
                <w:szCs w:val="4"/>
              </w:rPr>
            </w:r>
          </w:p>
        </w:tc>
        <w:tc>
          <w:tcPr>
            <w:tcW w:w="8504" w:type="dxa"/>
            <w:tcBorders/>
            <w:vAlign w:val="center"/>
          </w:tcPr>
          <w:p>
            <w:pPr>
              <w:pStyle w:val="TableContents"/>
              <w:bidi w:val="0"/>
              <w:spacing w:before="0" w:after="283"/>
              <w:jc w:val="left"/>
              <w:rPr>
                <w:b/>
              </w:rPr>
            </w:pPr>
            <w:r>
              <w:rPr>
                <w:b/>
              </w:rPr>
              <w:t>OR</w:t>
            </w:r>
          </w:p>
        </w:tc>
        <w:tc>
          <w:tcPr>
            <w:tcW w:w="8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234"/>
        <w:gridCol w:w="9731"/>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___</w:t>
            </w:r>
          </w:p>
        </w:tc>
        <w:tc>
          <w:tcPr>
            <w:tcW w:w="234" w:type="dxa"/>
            <w:tcBorders/>
            <w:vAlign w:val="center"/>
          </w:tcPr>
          <w:p>
            <w:pPr>
              <w:pStyle w:val="TableContents"/>
              <w:bidi w:val="0"/>
              <w:spacing w:before="0" w:after="283"/>
              <w:jc w:val="both"/>
              <w:rPr/>
            </w:pPr>
            <w:r>
              <w:rPr/>
              <w:t>(b)</w:t>
              <w:tab/>
            </w:r>
          </w:p>
        </w:tc>
        <w:tc>
          <w:tcPr>
            <w:tcW w:w="9731" w:type="dxa"/>
            <w:tcBorders/>
            <w:vAlign w:val="center"/>
          </w:tcPr>
          <w:p>
            <w:pPr>
              <w:pStyle w:val="TableContents"/>
              <w:bidi w:val="0"/>
              <w:spacing w:before="0" w:after="283"/>
              <w:jc w:val="both"/>
              <w:rPr/>
            </w:pPr>
            <w:r>
              <w:rPr/>
              <w:t>The Surrendered Restricted ADSs are being transferred to a person other than a U.S. Person (as defined in Regulation S under the Securities Act) in an offshore transaction meeting the requirements of Regulation S under the Securities Act and the transferee is acquiring the Surrendered Restricted ADSs for investment purposes without a view to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neither of the items above is checked, the Depositary shall not be obligated to register the Surrendered Restricted ADSs in the name of any person other than the Restricted Holder thereof unless and until the conditions to any such transfer or registration set forth in the Deposit Agreement, the Restricted ADS Letter Agreement and the [●] Restricted ADS Series Supplement shall have been satisfied (including, without limitation, the delivery of an opinion of U.S. securities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confirms that payment of the applicable fees, taxes and expenses payable in connection with the transfer of ADSs under the terms of the Deposit Agreement, the Restricted ADS Letter Agreement and the [●] Restricted ADS Series Supplement is being made to the Depositary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transferee has and, if acting on behalf of the Beneficial Owner, such Beneficial Owner has agreed to take a Restricted ADSs identical to the Restricted ADSs surrendered for transfer and subject to the same restrictions on transfer set forth in the Restricted ADS Letter Agreement and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above acknowledgements, agreements, certifications, instructions, representations or warranties are false or incorrect in any way, (x) the Depositary and the Company shall be authorized, at the cost and expense of the undersigned, to take any and all actions necessary to correct the consequences thereof, and (y) the undersigned shall indemnify and hold harmless the Depositary and its agents for any and all losses, liabilities, costs, expenses (including, without limitation, fees and expenses of counsel), claims, damages and taxes of any kind, incurred as a result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3 - 2</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970"/>
        <w:gridCol w:w="1929"/>
      </w:tblGrid>
      <w:tr>
        <w:trPr/>
        <w:tc>
          <w:tcPr>
            <w:tcW w:w="75" w:type="dxa"/>
            <w:tcBorders/>
            <w:vAlign w:val="center"/>
          </w:tcPr>
          <w:p>
            <w:pPr>
              <w:pStyle w:val="TableContents"/>
              <w:bidi w:val="0"/>
              <w:spacing w:before="0" w:after="283"/>
              <w:jc w:val="center"/>
              <w:rPr/>
            </w:pPr>
            <w:r>
              <w:rPr/>
              <w:t> </w:t>
            </w:r>
          </w:p>
        </w:tc>
        <w:tc>
          <w:tcPr>
            <w:tcW w:w="2899" w:type="dxa"/>
            <w:gridSpan w:val="2"/>
            <w:tcBorders/>
            <w:vAlign w:val="center"/>
          </w:tcPr>
          <w:p>
            <w:pPr>
              <w:pStyle w:val="TableContents"/>
              <w:bidi w:val="0"/>
              <w:spacing w:before="0" w:after="283"/>
              <w:jc w:val="left"/>
              <w:rPr>
                <w:b/>
              </w:rPr>
            </w:pPr>
            <w:r>
              <w:rPr>
                <w:b/>
              </w:rPr>
              <w:t>[RESTRICTED HOLDER]</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By:  </w:t>
            </w:r>
          </w:p>
        </w:tc>
        <w:tc>
          <w:tcPr>
            <w:tcW w:w="192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3 - 3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0" w:type="dxa"/>
        </w:tblCellMar>
      </w:tblPr>
      <w:tblGrid>
        <w:gridCol w:w="75"/>
        <w:gridCol w:w="10055"/>
        <w:gridCol w:w="75"/>
      </w:tblGrid>
      <w:tr>
        <w:trPr/>
        <w:tc>
          <w:tcPr>
            <w:tcW w:w="7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10055" w:type="dxa"/>
            <w:tcBorders>
              <w:top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MEDALLION GUARANTEE</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b/>
              </w:rPr>
              <w:t>Medallion Guarantee Stamp</w:t>
            </w:r>
            <w:r>
              <w:rPr/>
              <w:t xml:space="preserve"> (Notary public seal is not acceptable)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t> </w:t>
            </w:r>
            <w:r>
              <w:rPr/>
              <w:drawing>
                <wp:inline distT="0" distB="0" distL="0" distR="0">
                  <wp:extent cx="28575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81000"/>
                          </a:xfrm>
                          <a:prstGeom prst="rect">
                            <a:avLst/>
                          </a:prstGeom>
                        </pic:spPr>
                      </pic:pic>
                    </a:graphicData>
                  </a:graphic>
                </wp:inline>
              </w:drawing>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Firm Issuing Guarantee:___________________________________________________________________</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Signature of Officer:___________________________________________________________________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Officer Signing This Guarantee:______________________________________________________________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Address:_____________________________________________________________________________________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and Telephone Number:_________________________________________________________________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Dated:_______________________________________________________________________________________</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0055" w:type="dxa"/>
            <w:tcBorders>
              <w:bottom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above must be guaranteed by an Eligible Guarantor Institution that is a member in good standing of a recognized Medallion Signature Guarantee Program approved by The Securities Transfer Association,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Times;Serif" w:hAnsi="Times New Roman;Times;Serif"/>
                <w:b/>
                <w:i w:val="false"/>
                <w:caps w:val="false"/>
                <w:smallCaps w:val="false"/>
                <w:sz w:val="20"/>
              </w:rPr>
              <w:t>A NOTARY PUBLIC SEAL IS NOT ACCEPTABLE.</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3 - 4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131"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________ Restricted ADSs are hereby surrendered for transfer by the following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1"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5660"/>
        <w:gridCol w:w="3650"/>
      </w:tblGrid>
      <w:tr>
        <w:trPr/>
        <w:tc>
          <w:tcPr>
            <w:tcW w:w="5660" w:type="dxa"/>
            <w:tcBorders/>
            <w:vAlign w:val="center"/>
          </w:tcPr>
          <w:p>
            <w:pPr>
              <w:pStyle w:val="TableContents"/>
              <w:bidi w:val="0"/>
              <w:spacing w:before="0" w:after="283"/>
              <w:jc w:val="left"/>
              <w:rPr>
                <w:sz w:val="20"/>
              </w:rPr>
            </w:pPr>
            <w:r>
              <w:rPr>
                <w:sz w:val="20"/>
              </w:rPr>
              <w:t>Name of Owner:</w:t>
            </w:r>
          </w:p>
        </w:tc>
        <w:tc>
          <w:tcPr>
            <w:tcW w:w="3650" w:type="dxa"/>
            <w:tcBorders/>
            <w:vAlign w:val="center"/>
          </w:tcPr>
          <w:p>
            <w:pPr>
              <w:pStyle w:val="TableContents"/>
              <w:bidi w:val="0"/>
              <w:spacing w:before="0" w:after="283"/>
              <w:jc w:val="left"/>
              <w:rPr>
                <w:sz w:val="20"/>
              </w:rPr>
            </w:pPr>
            <w:r>
              <w:rPr>
                <w:sz w:val="20"/>
              </w:rPr>
              <w:t>__________________________________</w:t>
            </w:r>
          </w:p>
        </w:tc>
      </w:tr>
      <w:tr>
        <w:trPr/>
        <w:tc>
          <w:tcPr>
            <w:tcW w:w="56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Number or Taxpayer Identification Number of Owner:</w:t>
            </w:r>
          </w:p>
        </w:tc>
        <w:tc>
          <w:tcPr>
            <w:tcW w:w="365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tc>
      </w:tr>
      <w:tr>
        <w:trPr/>
        <w:tc>
          <w:tcPr>
            <w:tcW w:w="56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of Owner:</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tc>
      </w:tr>
      <w:tr>
        <w:trPr/>
        <w:tc>
          <w:tcPr>
            <w:tcW w:w="56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Address:</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__________________________________ </w:t>
            </w:r>
          </w:p>
        </w:tc>
      </w:tr>
      <w:tr>
        <w:trPr/>
        <w:tc>
          <w:tcPr>
            <w:tcW w:w="56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sz w:val="20"/>
              </w:rPr>
            </w:pPr>
            <w:r>
              <w:rPr>
                <w:sz w:val="20"/>
              </w:rPr>
              <w:t>City, State, and Country:</w:t>
            </w:r>
          </w:p>
        </w:tc>
        <w:tc>
          <w:tcPr>
            <w:tcW w:w="3650" w:type="dxa"/>
            <w:tcBorders/>
            <w:vAlign w:val="center"/>
          </w:tcPr>
          <w:p>
            <w:pPr>
              <w:pStyle w:val="TableContents"/>
              <w:bidi w:val="0"/>
              <w:spacing w:before="0" w:after="283"/>
              <w:jc w:val="left"/>
              <w:rPr>
                <w:sz w:val="20"/>
              </w:rPr>
            </w:pPr>
            <w:r>
              <w:rPr>
                <w:sz w:val="20"/>
              </w:rPr>
              <w:t>__________________________________</w:t>
            </w:r>
          </w:p>
        </w:tc>
      </w:tr>
      <w:tr>
        <w:trPr/>
        <w:tc>
          <w:tcPr>
            <w:tcW w:w="56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tc>
      </w:tr>
      <w:tr>
        <w:trPr/>
        <w:tc>
          <w:tcPr>
            <w:tcW w:w="56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bl>
    <w:p>
      <w:pPr>
        <w:pStyle w:val="TextBody"/>
        <w:bidi w:val="0"/>
        <w:spacing w:before="0" w:after="0"/>
        <w:ind w:left="131"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________ Restricted ADSs are to be issued in the name of, and delivered to, the following person(s) in the form of Uncertificated ADSs:</w:t>
      </w:r>
    </w:p>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4355"/>
        <w:gridCol w:w="4115"/>
      </w:tblGrid>
      <w:tr>
        <w:trPr/>
        <w:tc>
          <w:tcPr>
            <w:tcW w:w="4355" w:type="dxa"/>
            <w:tcBorders/>
            <w:vAlign w:val="center"/>
          </w:tcPr>
          <w:p>
            <w:pPr>
              <w:pStyle w:val="TableContents"/>
              <w:bidi w:val="0"/>
              <w:spacing w:before="0" w:after="283"/>
              <w:jc w:val="left"/>
              <w:rPr/>
            </w:pPr>
            <w:r>
              <w:rPr/>
              <w:t>Name of Transferee:</w:t>
            </w:r>
          </w:p>
        </w:tc>
        <w:tc>
          <w:tcPr>
            <w:tcW w:w="4115" w:type="dxa"/>
            <w:tcBorders/>
            <w:vAlign w:val="center"/>
          </w:tcPr>
          <w:p>
            <w:pPr>
              <w:pStyle w:val="TableContents"/>
              <w:bidi w:val="0"/>
              <w:spacing w:before="0" w:after="283"/>
              <w:jc w:val="left"/>
              <w:rPr/>
            </w:pPr>
            <w:r>
              <w:rPr/>
              <w:t>__________________________________</w:t>
            </w:r>
          </w:p>
        </w:tc>
      </w:tr>
      <w:tr>
        <w:trPr/>
        <w:tc>
          <w:tcPr>
            <w:tcW w:w="435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Street Address:</w:t>
            </w:r>
          </w:p>
        </w:tc>
        <w:tc>
          <w:tcPr>
            <w:tcW w:w="4115" w:type="dxa"/>
            <w:tcBorders/>
            <w:vAlign w:val="center"/>
          </w:tcPr>
          <w:p>
            <w:pPr>
              <w:pStyle w:val="TableContents"/>
              <w:bidi w:val="0"/>
              <w:spacing w:before="0" w:after="283"/>
              <w:jc w:val="left"/>
              <w:rPr/>
            </w:pPr>
            <w:r>
              <w:rPr/>
              <w:t>__________________________________</w:t>
            </w:r>
          </w:p>
        </w:tc>
      </w:tr>
      <w:tr>
        <w:trPr/>
        <w:tc>
          <w:tcPr>
            <w:tcW w:w="435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City, State, and Country:</w:t>
            </w:r>
          </w:p>
        </w:tc>
        <w:tc>
          <w:tcPr>
            <w:tcW w:w="4115" w:type="dxa"/>
            <w:tcBorders/>
            <w:vAlign w:val="center"/>
          </w:tcPr>
          <w:p>
            <w:pPr>
              <w:pStyle w:val="TableContents"/>
              <w:bidi w:val="0"/>
              <w:spacing w:before="0" w:after="283"/>
              <w:jc w:val="left"/>
              <w:rPr/>
            </w:pPr>
            <w:r>
              <w:rPr/>
              <w:t>__________________________________</w:t>
            </w:r>
          </w:p>
        </w:tc>
      </w:tr>
      <w:tr>
        <w:trPr/>
        <w:tc>
          <w:tcPr>
            <w:tcW w:w="435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Nationality:</w:t>
            </w:r>
          </w:p>
        </w:tc>
        <w:tc>
          <w:tcPr>
            <w:tcW w:w="4115" w:type="dxa"/>
            <w:tcBorders/>
            <w:vAlign w:val="center"/>
          </w:tcPr>
          <w:p>
            <w:pPr>
              <w:pStyle w:val="TableContents"/>
              <w:bidi w:val="0"/>
              <w:spacing w:before="0" w:after="283"/>
              <w:jc w:val="left"/>
              <w:rPr/>
            </w:pPr>
            <w:r>
              <w:rPr/>
              <w:t>__________________________________</w:t>
            </w:r>
          </w:p>
        </w:tc>
      </w:tr>
      <w:tr>
        <w:trPr/>
        <w:tc>
          <w:tcPr>
            <w:tcW w:w="435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Social Security or Tax Identification Number:</w:t>
            </w:r>
          </w:p>
        </w:tc>
        <w:tc>
          <w:tcPr>
            <w:tcW w:w="4115" w:type="dxa"/>
            <w:tcBorders/>
            <w:vAlign w:val="center"/>
          </w:tcPr>
          <w:p>
            <w:pPr>
              <w:pStyle w:val="TableContents"/>
              <w:bidi w:val="0"/>
              <w:spacing w:before="0" w:after="283"/>
              <w:jc w:val="left"/>
              <w:rPr/>
            </w:pPr>
            <w:r>
              <w:rPr/>
              <w:t>__________________________________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3 - 5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4</w:t>
        <w:br/>
        <w:t>to</w:t>
        <w:br/>
        <w:t>Restricted ADS Letter Agreement, dated as of December 3,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WITHDRAWAL CERTIFICATION</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9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20[●]</w:t>
      </w:r>
    </w:p>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br/>
      </w: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Account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ABIVAX SA – Restricted ADSs (CUSIP No.: 00370M996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and (iii) the [●]</w:t>
      </w:r>
      <w:r>
        <w:rPr>
          <w:rFonts w:ascii="Times New Roman;Times;Serif" w:hAnsi="Times New Roman;Times;Serif"/>
          <w:b w:val="false"/>
          <w:i w:val="false"/>
          <w:caps w:val="false"/>
          <w:smallCaps w:val="false"/>
          <w:position w:val="5"/>
          <w:sz w:val="13"/>
          <w:sz w:val="16"/>
        </w:rPr>
        <w:t>5</w:t>
      </w:r>
      <w:r>
        <w:rPr>
          <w:rFonts w:ascii="Times New Roman;Times;Serif" w:hAnsi="Times New Roman;Times;Serif"/>
          <w:b w:val="false"/>
          <w:i w:val="false"/>
          <w:caps w:val="false"/>
          <w:smallCaps w:val="false"/>
          <w:sz w:val="20"/>
        </w:rPr>
        <w:t xml:space="preserve"> Restricted ADS Series Supplement, dated as of [●], by and between the Company and the Depositary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Capitalized terms used but not defined herein shall have the meanings given to them in the Deposit Agreement, or, in the event so noted herein, in the Restricted ADS Letter Agreement or in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Standard Withdrawal Certification is being furnished in connection with the withdrawal of Restricted Shares upon surrender of Restricted ADSs to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Note: to populate with the title of the applicable Restricted ADS Series Supplement pursuant to which the Restricted ADSs to be withdrawn were originally issued.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4 - 1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acknowledge, or, if we are acting for the account of another person, such person has confirmed to us that it acknowledges, that the Restricted ADSs and the Restricted Shares represented thereby have not been registered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certify that (check one):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tab/>
        <w:t>______</w:t>
        <w:tab/>
        <w:t xml:space="preserve">we have sold or otherwise transferred, or agreed to sell or otherwise transfer and at or prior to the time of withdrawal will have sold or otherwise transferred, the Restricted ADSs or the Restricted Shares represented thereby to persons other than U.S. Persons (as defined in Regulation S under the Securities Act) in an offshore transaction (as defined in Regulation S under the Securities Act) in accordance with Rule 903 or 904 of Regulation S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tab/>
        <w:t>______</w:t>
        <w:tab/>
        <w:t xml:space="preserve">we have sold or otherwise transferred, or agreed to sell or otherwise transfer and at or prior to the time of withdrawal will have sold or otherwise transferred, the Restricted ADSs or the Restricted Shares represented thereby in a transaction exempt from registration pursuant to Rule 144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tab/>
        <w:t>______</w:t>
        <w:tab/>
        <w:t>we will be the beneficial owner of the Restricted Shares upon withdrawal, and, accordingly, we agree that (x) we will not offer, sell, pledge or otherwise transfer the Restricted Shares except (A) in a transaction exempt from registration pursuant to Rule 144 under the Securities Act, if available, (B) in an offshore transaction (as defined in Regulation S under the Securities Act) to persons other than U.S. Persons (as defined in Regulation S under the Securities Act) in accordance with Rule 903 or 904 of Regulation S under the Securities Act, (C) pursuant to any other available exemption from the registration requirements of the Securities Act, or (D) pursuant to an effective registration statement under the Securities Act, in each case in accordance with any applicable securities laws of the states of the United States, and (y) we will not deposit or cause to be deposited such Restricted Shares into any depositary receipt facility established or maintained by a depositary bank (including any such facility maintained by the Depositary), so long as such Restricted Shares are “Restricted Securities” (within the meaning of given to such term in the Deposit Agreement), unless such deposit is pursuant to the Restricted ADS Letter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instructs the Depositary to cancel the Restricted ADSs specified below, to deliver the Shares represented thereby as specified below and, if applicable, to issue to the undersigned a statement identifying the number of Restricted ADSs held by the undersigned and not cancelled pursuant to these instructions. The undersigned appoints the Depositary and any of its authorized representatives as its attorney to take the actions contemplated above on behalf of the undersigned. The undersigned confirms that payment of the applicable fees, taxes and expenses payable under the terms of the Deposit Agreement, the Restricted ADS Letter Agreement and the [●] Restricted ADS Series Supplement in connection the cancellation of Restricted ADSs and the withdrawal of the corresponding Restricted Shares is being made to the Depositary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4 - 2</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above acknowledgements, agreements, certifications, instructions, representations or warranties are false or incorrect in any way, (x) the Depositary and the Company shall be authorized, at the cost and expense of the undersigned, to take any and all actions necessary to correct the consequences thereof, and (y) the undersigned shall indemnify and hold harmless the Depositary and its agents for any and all losses, liabilities, costs, expenses (including, without limitation, fees and expenses of counsel), claims, damages and taxes of any kind, incurred as a result thereof.</w:t>
      </w:r>
    </w:p>
    <w:p>
      <w:pPr>
        <w:pStyle w:val="TextBody"/>
        <w:bidi w:val="0"/>
        <w:spacing w:before="0" w:after="0"/>
        <w:ind w:left="0" w:right="0" w:hanging="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970"/>
        <w:gridCol w:w="1929"/>
      </w:tblGrid>
      <w:tr>
        <w:trPr/>
        <w:tc>
          <w:tcPr>
            <w:tcW w:w="75" w:type="dxa"/>
            <w:tcBorders/>
            <w:vAlign w:val="center"/>
          </w:tcPr>
          <w:p>
            <w:pPr>
              <w:pStyle w:val="TableContents"/>
              <w:bidi w:val="0"/>
              <w:spacing w:before="0" w:after="283"/>
              <w:jc w:val="center"/>
              <w:rPr/>
            </w:pPr>
            <w:r>
              <w:rPr/>
              <w:t> </w:t>
            </w:r>
          </w:p>
        </w:tc>
        <w:tc>
          <w:tcPr>
            <w:tcW w:w="2899" w:type="dxa"/>
            <w:gridSpan w:val="2"/>
            <w:tcBorders/>
            <w:vAlign w:val="center"/>
          </w:tcPr>
          <w:p>
            <w:pPr>
              <w:pStyle w:val="TableContents"/>
              <w:bidi w:val="0"/>
              <w:spacing w:before="0" w:after="283"/>
              <w:jc w:val="left"/>
              <w:rPr>
                <w:b/>
              </w:rPr>
            </w:pPr>
            <w:r>
              <w:rPr>
                <w:b/>
              </w:rPr>
              <w:t>[RESTRICTED HOLDER]</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By:  </w:t>
            </w:r>
          </w:p>
        </w:tc>
        <w:tc>
          <w:tcPr>
            <w:tcW w:w="192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both"/>
              <w:rPr/>
            </w:pPr>
            <w:r>
              <w:rPr/>
              <w:t> </w:t>
            </w:r>
          </w:p>
        </w:tc>
        <w:tc>
          <w:tcPr>
            <w:tcW w:w="970" w:type="dxa"/>
            <w:tcBorders/>
            <w:vAlign w:val="center"/>
          </w:tcPr>
          <w:p>
            <w:pPr>
              <w:pStyle w:val="TableContents"/>
              <w:bidi w:val="0"/>
              <w:spacing w:before="0" w:after="283"/>
              <w:jc w:val="both"/>
              <w:rPr/>
            </w:pPr>
            <w:r>
              <w:rPr/>
              <w:t> </w:t>
            </w:r>
          </w:p>
        </w:tc>
        <w:tc>
          <w:tcPr>
            <w:tcW w:w="1929" w:type="dxa"/>
            <w:tcBorders/>
            <w:vAlign w:val="center"/>
          </w:tcPr>
          <w:p>
            <w:pPr>
              <w:pStyle w:val="TableContents"/>
              <w:bidi w:val="0"/>
              <w:spacing w:before="0" w:after="283"/>
              <w:jc w:val="both"/>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4 - 3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8"/>
        <w:gridCol w:w="5867"/>
      </w:tblGrid>
      <w:tr>
        <w:trPr/>
        <w:tc>
          <w:tcPr>
            <w:tcW w:w="4338" w:type="dxa"/>
            <w:tcBorders/>
            <w:vAlign w:val="center"/>
          </w:tcPr>
          <w:p>
            <w:pPr>
              <w:pStyle w:val="TableContents"/>
              <w:bidi w:val="0"/>
              <w:spacing w:before="0" w:after="283"/>
              <w:jc w:val="left"/>
              <w:rPr/>
            </w:pPr>
            <w:r>
              <w:rPr/>
              <w:t>Name of Owner:</w:t>
            </w:r>
          </w:p>
        </w:tc>
        <w:tc>
          <w:tcPr>
            <w:tcW w:w="5867" w:type="dxa"/>
            <w:tcBorders/>
            <w:vAlign w:val="center"/>
          </w:tcPr>
          <w:p>
            <w:pPr>
              <w:pStyle w:val="TableContents"/>
              <w:bidi w:val="0"/>
              <w:spacing w:before="0" w:after="283"/>
              <w:jc w:val="left"/>
              <w:rPr/>
            </w:pPr>
            <w:r>
              <w:rPr/>
              <w:t>__________________________________</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pPr>
            <w:r>
              <w:rPr/>
              <w:t> </w:t>
            </w:r>
          </w:p>
        </w:tc>
      </w:tr>
      <w:tr>
        <w:trPr/>
        <w:tc>
          <w:tcPr>
            <w:tcW w:w="4338" w:type="dxa"/>
            <w:tcBorders/>
            <w:vAlign w:val="center"/>
          </w:tcPr>
          <w:p>
            <w:pPr>
              <w:pStyle w:val="TableContents"/>
              <w:bidi w:val="0"/>
              <w:spacing w:before="0" w:after="283"/>
              <w:jc w:val="left"/>
              <w:rPr/>
            </w:pPr>
            <w:r>
              <w:rPr/>
              <w:t>Social Security Number or Taxpayer Identification Number of Owner:</w:t>
            </w:r>
          </w:p>
        </w:tc>
        <w:tc>
          <w:tcPr>
            <w:tcW w:w="5867" w:type="dxa"/>
            <w:tcBorders/>
            <w:vAlign w:val="center"/>
          </w:tcPr>
          <w:p>
            <w:pPr>
              <w:pStyle w:val="TableContents"/>
              <w:bidi w:val="0"/>
              <w:spacing w:before="0" w:after="283"/>
              <w:jc w:val="left"/>
              <w:rPr/>
            </w:pPr>
            <w:r>
              <w:rPr/>
              <w:t>__________________________________</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pPr>
            <w:r>
              <w:rPr/>
              <w:t> </w:t>
            </w:r>
          </w:p>
        </w:tc>
      </w:tr>
      <w:tr>
        <w:trPr/>
        <w:tc>
          <w:tcPr>
            <w:tcW w:w="4338" w:type="dxa"/>
            <w:tcBorders/>
            <w:vAlign w:val="center"/>
          </w:tcPr>
          <w:p>
            <w:pPr>
              <w:pStyle w:val="TableContents"/>
              <w:bidi w:val="0"/>
              <w:spacing w:before="0" w:after="283"/>
              <w:jc w:val="left"/>
              <w:rPr/>
            </w:pPr>
            <w:r>
              <w:rPr/>
              <w:t>Account Number of Owner:</w:t>
            </w:r>
          </w:p>
        </w:tc>
        <w:tc>
          <w:tcPr>
            <w:tcW w:w="5867" w:type="dxa"/>
            <w:tcBorders/>
            <w:vAlign w:val="center"/>
          </w:tcPr>
          <w:p>
            <w:pPr>
              <w:pStyle w:val="TableContents"/>
              <w:bidi w:val="0"/>
              <w:spacing w:before="0" w:after="283"/>
              <w:jc w:val="left"/>
              <w:rPr/>
            </w:pPr>
            <w:r>
              <w:rPr/>
              <w:t>__________________________________</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pPr>
            <w:r>
              <w:rPr/>
              <w:t> </w:t>
            </w:r>
          </w:p>
        </w:tc>
      </w:tr>
      <w:tr>
        <w:trPr/>
        <w:tc>
          <w:tcPr>
            <w:tcW w:w="4338" w:type="dxa"/>
            <w:tcBorders/>
            <w:vAlign w:val="center"/>
          </w:tcPr>
          <w:p>
            <w:pPr>
              <w:pStyle w:val="TableContents"/>
              <w:bidi w:val="0"/>
              <w:spacing w:before="0" w:after="283"/>
              <w:jc w:val="left"/>
              <w:rPr/>
            </w:pPr>
            <w:r>
              <w:rPr/>
              <w:t>Number of Restricted ADSs to be cancelled:</w:t>
            </w:r>
          </w:p>
        </w:tc>
        <w:tc>
          <w:tcPr>
            <w:tcW w:w="5867" w:type="dxa"/>
            <w:tcBorders/>
            <w:vAlign w:val="center"/>
          </w:tcPr>
          <w:p>
            <w:pPr>
              <w:pStyle w:val="TableContents"/>
              <w:bidi w:val="0"/>
              <w:spacing w:before="0" w:after="283"/>
              <w:jc w:val="left"/>
              <w:rPr/>
            </w:pPr>
            <w:r>
              <w:rPr/>
              <w:t>__________________________________</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sz w:val="4"/>
                <w:szCs w:val="4"/>
              </w:rPr>
            </w:pPr>
            <w:r>
              <w:rPr>
                <w:sz w:val="4"/>
                <w:szCs w:val="4"/>
              </w:rPr>
            </w:r>
          </w:p>
        </w:tc>
      </w:tr>
      <w:tr>
        <w:trPr/>
        <w:tc>
          <w:tcPr>
            <w:tcW w:w="4338" w:type="dxa"/>
            <w:tcBorders/>
            <w:vAlign w:val="center"/>
          </w:tcPr>
          <w:p>
            <w:pPr>
              <w:pStyle w:val="TableContents"/>
              <w:bidi w:val="0"/>
              <w:spacing w:before="0" w:after="283"/>
              <w:jc w:val="left"/>
              <w:rPr/>
            </w:pPr>
            <w:r>
              <w:rPr/>
              <w:t>Delivery Information for delivery of Shares Represented by Restricted ADSs to be cancelled:</w:t>
            </w:r>
          </w:p>
        </w:tc>
        <w:tc>
          <w:tcPr>
            <w:tcW w:w="5867" w:type="dxa"/>
            <w:tcBorders/>
            <w:vAlign w:val="center"/>
          </w:tcPr>
          <w:p>
            <w:pPr>
              <w:pStyle w:val="TableContents"/>
              <w:bidi w:val="0"/>
              <w:spacing w:before="0" w:after="283"/>
              <w:jc w:val="left"/>
              <w:rPr/>
            </w:pPr>
            <w:r>
              <w:rPr/>
              <w:t>__________________________________ __________________________________ __________________________________</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sz w:val="4"/>
                <w:szCs w:val="4"/>
              </w:rPr>
            </w:pPr>
            <w:r>
              <w:rPr>
                <w:sz w:val="4"/>
                <w:szCs w:val="4"/>
              </w:rPr>
            </w:r>
          </w:p>
        </w:tc>
      </w:tr>
      <w:tr>
        <w:trPr/>
        <w:tc>
          <w:tcPr>
            <w:tcW w:w="4338" w:type="dxa"/>
            <w:tcBorders/>
            <w:vAlign w:val="center"/>
          </w:tcPr>
          <w:p>
            <w:pPr>
              <w:pStyle w:val="TableContents"/>
              <w:bidi w:val="0"/>
              <w:spacing w:before="0" w:after="283"/>
              <w:jc w:val="left"/>
              <w:rPr/>
            </w:pPr>
            <w:r>
              <w:rPr/>
              <w:t>Date:</w:t>
            </w:r>
          </w:p>
        </w:tc>
        <w:tc>
          <w:tcPr>
            <w:tcW w:w="5867" w:type="dxa"/>
            <w:tcBorders/>
            <w:vAlign w:val="center"/>
          </w:tcPr>
          <w:p>
            <w:pPr>
              <w:pStyle w:val="TableContents"/>
              <w:bidi w:val="0"/>
              <w:spacing w:before="0" w:after="283"/>
              <w:jc w:val="left"/>
              <w:rPr/>
            </w:pPr>
            <w:r>
              <w:rPr/>
              <w:t>__________________________________</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pPr>
            <w:r>
              <w:rPr/>
              <w:t> </w:t>
            </w:r>
          </w:p>
        </w:tc>
      </w:tr>
      <w:tr>
        <w:trPr/>
        <w:tc>
          <w:tcPr>
            <w:tcW w:w="4338" w:type="dxa"/>
            <w:tcBorders/>
            <w:vAlign w:val="center"/>
          </w:tcPr>
          <w:p>
            <w:pPr>
              <w:pStyle w:val="TableContents"/>
              <w:bidi w:val="0"/>
              <w:spacing w:before="0" w:after="283"/>
              <w:jc w:val="left"/>
              <w:rPr/>
            </w:pPr>
            <w:r>
              <w:rPr/>
              <w:t>Signature of Owner:</w:t>
            </w:r>
          </w:p>
        </w:tc>
        <w:tc>
          <w:tcPr>
            <w:tcW w:w="5867" w:type="dxa"/>
            <w:tcBorders/>
            <w:vAlign w:val="center"/>
          </w:tcPr>
          <w:p>
            <w:pPr>
              <w:pStyle w:val="TableContents"/>
              <w:bidi w:val="0"/>
              <w:spacing w:before="0" w:after="283"/>
              <w:jc w:val="left"/>
              <w:rPr/>
            </w:pPr>
            <w:r>
              <w:rPr/>
              <w:t>__________________________________</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pPr>
            <w:r>
              <w:rPr/>
              <w:t>(Identify Title if Acting in Representative</w:t>
            </w:r>
          </w:p>
        </w:tc>
      </w:tr>
      <w:tr>
        <w:trPr/>
        <w:tc>
          <w:tcPr>
            <w:tcW w:w="4338" w:type="dxa"/>
            <w:tcBorders/>
            <w:vAlign w:val="center"/>
          </w:tcPr>
          <w:p>
            <w:pPr>
              <w:pStyle w:val="TableContents"/>
              <w:bidi w:val="0"/>
              <w:spacing w:before="0" w:after="283"/>
              <w:jc w:val="left"/>
              <w:rPr/>
            </w:pPr>
            <w:r>
              <w:rPr/>
              <w:t> </w:t>
            </w:r>
          </w:p>
        </w:tc>
        <w:tc>
          <w:tcPr>
            <w:tcW w:w="5867" w:type="dxa"/>
            <w:tcBorders/>
            <w:vAlign w:val="center"/>
          </w:tcPr>
          <w:p>
            <w:pPr>
              <w:pStyle w:val="TableContents"/>
              <w:bidi w:val="0"/>
              <w:spacing w:before="0" w:after="283"/>
              <w:jc w:val="left"/>
              <w:rPr/>
            </w:pPr>
            <w:r>
              <w:rPr/>
              <w:t>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4 - 4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0" w:type="dxa"/>
        </w:tblCellMar>
      </w:tblPr>
      <w:tblGrid>
        <w:gridCol w:w="75"/>
        <w:gridCol w:w="10055"/>
        <w:gridCol w:w="75"/>
      </w:tblGrid>
      <w:tr>
        <w:trPr/>
        <w:tc>
          <w:tcPr>
            <w:tcW w:w="7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10055" w:type="dxa"/>
            <w:tcBorders>
              <w:top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MEDALLION GUARANTEE</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b/>
              </w:rPr>
              <w:t>Medallion Guarantee Stamp</w:t>
            </w:r>
            <w:r>
              <w:rPr/>
              <w:t xml:space="preserve"> (Notary public seal is not acceptable)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t> </w:t>
            </w:r>
            <w:r>
              <w:rPr/>
              <w:drawing>
                <wp:inline distT="0" distB="0" distL="0" distR="0">
                  <wp:extent cx="28575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381000"/>
                          </a:xfrm>
                          <a:prstGeom prst="rect">
                            <a:avLst/>
                          </a:prstGeom>
                        </pic:spPr>
                      </pic:pic>
                    </a:graphicData>
                  </a:graphic>
                </wp:inline>
              </w:drawing>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Firm Issuing Guarantee:___________________________________________________________________</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Signature of Officer:___________________________________________________________________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Officer Signing This Guarantee:______________________________________________________________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Address:_____________________________________________________________________________________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and Telephone Number:_________________________________________________________________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Dated:_______________________________________________________________________________________</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0055" w:type="dxa"/>
            <w:tcBorders>
              <w:bottom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above must be guaranteed by an Eligible Guarantor Institution that is a member in good standing of a recognized Medallion Signature Guarantee Program approved by The Securities Transfer Association,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Times;Serif" w:hAnsi="Times New Roman;Times;Serif"/>
                <w:b/>
                <w:i w:val="false"/>
                <w:caps w:val="false"/>
                <w:smallCaps w:val="false"/>
                <w:sz w:val="20"/>
              </w:rPr>
              <w:t>A NOTARY PUBLIC SEAL IS NOT ACCEPTABLE.</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4 - 5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br/>
        <w:t>Restricted ADS Letter Agreement, dated as of December 3,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br/>
        <w:t>Citibank, 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RESALE CERTIFICATION AND INSTRUCTION LETTER</w:t>
        <w:br/>
        <w:t>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br/>
      </w: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Account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ABIVAX SA – Restricted ADSs (CUSIP No.: 00370M996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and (iii) the [●]</w:t>
      </w:r>
      <w:r>
        <w:rPr>
          <w:rFonts w:ascii="Times New Roman;Times;Serif" w:hAnsi="Times New Roman;Times;Serif"/>
          <w:b w:val="false"/>
          <w:i w:val="false"/>
          <w:caps w:val="false"/>
          <w:smallCaps w:val="false"/>
          <w:position w:val="5"/>
          <w:sz w:val="13"/>
          <w:sz w:val="16"/>
        </w:rPr>
        <w:t>6</w:t>
      </w:r>
      <w:r>
        <w:rPr>
          <w:rFonts w:ascii="Times New Roman;Times;Serif" w:hAnsi="Times New Roman;Times;Serif"/>
          <w:b w:val="false"/>
          <w:i w:val="false"/>
          <w:caps w:val="false"/>
          <w:smallCaps w:val="false"/>
          <w:sz w:val="20"/>
        </w:rPr>
        <w:t xml:space="preserve"> Restricted ADS Series Supplement, dated as of [●], by and between the Company and the Depositary (the “</w:t>
      </w:r>
      <w:r>
        <w:rPr>
          <w:rFonts w:ascii="Times New Roman;Times;Serif" w:hAnsi="Times New Roman;Times;Serif"/>
          <w:b w:val="false"/>
          <w:i w:val="false"/>
          <w:caps w:val="false"/>
          <w:smallCaps w:val="false"/>
          <w:sz w:val="20"/>
          <w:u w:val="single"/>
        </w:rPr>
        <w:t>[●] Restricted ADS Series Supplement</w:t>
      </w:r>
      <w:r>
        <w:rPr>
          <w:rFonts w:ascii="Times New Roman;Times;Serif" w:hAnsi="Times New Roman;Times;Serif"/>
          <w:b w:val="false"/>
          <w:i w:val="false"/>
          <w:caps w:val="false"/>
          <w:smallCaps w:val="false"/>
          <w:sz w:val="20"/>
        </w:rPr>
        <w:t>”). Capitalized terms used but not defined herein shall have the meanings given to them in the Deposit Agreement, or, in the event so noted herein, in the Restricted ADS Letter Agreement or in the [●] Restricted ADS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Resale Certification and Instruction Letter is being provided in connection with our request to the Depositary to transfer the Restricted ADSs specified below registered in the name of the undersigned or the undersigned’s designee in the form of freely transferable ADSs in connection with our sale or transfer of such ADSs in a transaction exempt from registration under the Securities Act or covered by a Registration Statement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Note: to populate with the title of the applicable Restricted ADS Series Supplement pursuant to which the Restricted ADSs to be sold were originally issued.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5 - 1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(please check appropriate box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u w:val="single"/>
        </w:rPr>
        <w:t>Sale Pursuant to Resale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(x) the Sale pursuant to which its Restricted ADSs are being sold is covered by a registration statement under the Securities Act that has been declared effective by the Commission (or, if applicable, that was automatically effective upon its filing with the Commission or upon the passage of time) and is currently in effect, (y) the ADSs to be delivered upon such sale are not “Restricted Securities” (within the meaning of Rule 144(a)(3) under the Securities Act), and (z) the undersigned has satisfied all applicable prospectus delivery requirements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(Post Six Months Sales only - 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(v) the Restricted ADSs to be transferred and the Restricted Shares represented thereby are held by an Affiliate of the Company or a person who has been an Affiliate of the Company during the preceding three months, (w) at least </w:t>
      </w:r>
      <w:r>
        <w:rPr>
          <w:rFonts w:ascii="Times New Roman;Times;Serif" w:hAnsi="Times New Roman;Times;Serif"/>
          <w:b w:val="false"/>
          <w:i w:val="false"/>
          <w:caps w:val="false"/>
          <w:smallCaps w:val="false"/>
          <w:sz w:val="20"/>
          <w:u w:val="single"/>
        </w:rPr>
        <w:t>six months</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 (x) the Company is, and has been for a period of at least 90 days immediately prior to the sale has been, subject to the reporting requirements of Sections 13 or 15(d)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has filed all required reports under Sections 13 and 15(d) of the Exchange Act (as applicable) during the 12 months preceding the sale (other than Form 6-K reports), (y) the Restricted ADSs to be transferred and the Restricted Shares represented thereby shall be so transferred in unsolicited brokers’ transactions, directly with a market maker, or in riskless principal transactions, in each case as defined in, and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p>
      <w:pPr>
        <w:pStyle w:val="TextBody"/>
        <w:bidi w:val="0"/>
        <w:spacing w:before="0" w:after="0"/>
        <w:ind w:left="360" w:right="36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The Company may have delivered the requisite opinion of counsel to cover this transaction to the Depositary.</w:t>
      </w:r>
    </w:p>
    <w:p>
      <w:pPr>
        <w:pStyle w:val="TextBody"/>
        <w:bidi w:val="0"/>
        <w:spacing w:before="0" w:after="0"/>
        <w:ind w:left="360" w:right="360" w:hanging="360"/>
        <w:jc w:val="both"/>
        <w:rPr>
          <w:caps w:val="false"/>
          <w:smallCaps w:val="false"/>
        </w:rPr>
      </w:pPr>
      <w:r>
        <w:rPr>
          <w:caps w:val="false"/>
          <w:smallCaps w:val="false"/>
        </w:rPr>
        <w:t> </w:t>
      </w:r>
    </w:p>
    <w:p>
      <w:pPr>
        <w:pStyle w:val="TextBody"/>
        <w:bidi w:val="0"/>
        <w:spacing w:before="0" w:after="0"/>
        <w:ind w:left="0" w:right="0" w:hanging="0"/>
        <w:jc w:val="left"/>
        <w:rPr/>
      </w:pPr>
      <w:r>
        <w:rPr>
          <w:position w:val="8"/>
          <w:sz w:val="19"/>
        </w:rPr>
        <w:t>**</w:t>
      </w:r>
      <w:r>
        <w:rPr/>
        <w:t xml:space="preserve"> </w:t>
      </w:r>
      <w:r>
        <w:rPr>
          <w:rFonts w:ascii="Times New Roman;Times;Serif" w:hAnsi="Times New Roman;Times;Serif"/>
          <w:sz w:val="20"/>
        </w:rPr>
        <w:t>The delivery of the requisite opinion of counsel to cover this transaction is the sole responsibility of the selling Restricted ADS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5 - 2</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(Post Six Months Sales only – Non-Affiliate)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(x) the Restricted ADSs to be transferred and the Restricted Shares represented thereby are not held by an Affiliate of the Company or a person who has been an Affiliate of the Company during the preceding three months, (y) at least </w:t>
      </w:r>
      <w:r>
        <w:rPr>
          <w:rFonts w:ascii="Times New Roman;Times;Serif" w:hAnsi="Times New Roman;Times;Serif"/>
          <w:b w:val="false"/>
          <w:i w:val="false"/>
          <w:caps w:val="false"/>
          <w:smallCaps w:val="false"/>
          <w:sz w:val="20"/>
          <w:u w:val="single"/>
        </w:rPr>
        <w:t>six months</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 and (z) the Company is, and for a period of at least 90 days immediately prior to the sale has been, subject to the reporting requirements of Sections 13 or 15(d) of the Exchange Act, and has filed all required reports under Sections 13 and 15(d) of the Exchange Act (as applicable) during the 12 months preceding the sale (other than Form 6-K reports);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(Post One Year Sales only - 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(w) the Restricted ADSs to be transferred and the Restricted Shares represented thereby are held by an Affiliate of the Company or a person who has been an Affiliate of the Company during the preceding three months, (x) at least </w:t>
      </w:r>
      <w:r>
        <w:rPr>
          <w:rFonts w:ascii="Times New Roman;Times;Serif" w:hAnsi="Times New Roman;Times;Serif"/>
          <w:b w:val="false"/>
          <w:i w:val="false"/>
          <w:caps w:val="false"/>
          <w:smallCaps w:val="false"/>
          <w:sz w:val="20"/>
          <w:u w:val="single"/>
        </w:rPr>
        <w:t>one year</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 (y) the Restricted ADSs to be transferred and the Restricted Shares represented thereby shall be so transferred in unsolicited brokers’ transactions, directly with a market maker, or in riskless principal transactions, in each case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u w:val="single"/>
        </w:rPr>
        <w:t>Sale Exempt from Registration (Post One Year Sales only – Non-Affiliate)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(x) the Restricted ADSs to be transferred and the Restricted Shares represented thereby are not held by an Affiliate of the Company or a person who has been an Affiliate of the Company during the preceding three months, and (y) at least </w:t>
      </w:r>
      <w:r>
        <w:rPr>
          <w:rFonts w:ascii="Times New Roman;Times;Serif" w:hAnsi="Times New Roman;Times;Serif"/>
          <w:b w:val="false"/>
          <w:i w:val="false"/>
          <w:caps w:val="false"/>
          <w:smallCaps w:val="false"/>
          <w:sz w:val="20"/>
          <w:u w:val="single"/>
        </w:rPr>
        <w:t>one year</w:t>
      </w:r>
      <w:r>
        <w:rPr>
          <w:rFonts w:ascii="Times New Roman;Times;Serif" w:hAnsi="Times New Roman;Times;Serif"/>
          <w:b w:val="false"/>
          <w:i w:val="false"/>
          <w:caps w:val="false"/>
          <w:smallCaps w:val="false"/>
          <w:sz w:val="20"/>
        </w:rPr>
        <w:t xml:space="preserve"> has elapsed since the Restricted Shares represented by such Restricted ADSs were acquired from the Company or an Affiliate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Sale Exempt from Registration (Sales other than Post Six Months Sales or Post One Year Sales)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Restricted ADSs to be transferred and the Restricted Shares represented thereby are being sold in a transaction exempt from registration under the Securities Act and the ADSs to be delivered upon transfer are not “Restricted Securities” (within the meaning of Rule 144(a)(3)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The delivery of the requisite opinion of counsel to cover this transaction is the sole responsibility of the selling Restricted ADS holder.</w:t>
      </w:r>
    </w:p>
    <w:p>
      <w:pPr>
        <w:pStyle w:val="TextBody"/>
        <w:bidi w:val="0"/>
        <w:spacing w:before="0" w:after="0"/>
        <w:ind w:left="0" w:right="0" w:firstLine="1440"/>
        <w:jc w:val="center"/>
        <w:rPr>
          <w:bdr w:val="single" w:sz="8" w:space="1" w:color="000000"/>
        </w:rPr>
      </w:pPr>
      <w:r>
        <w:rPr>
          <w:bdr w:val="single" w:sz="8" w:space="1" w:color="000000"/>
        </w:rPr>
        <w:t>App’x 5 - 3</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Transfers Exempt from Registration (other than sales above)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Restricted ADSs to be transferred and the Restricted Shares represented thereby are being transferred in a transaction exempt from registration under the Securities Act and the ADSs to be delivered upon transfer are not “Restricted Securities” (within the meaning of Rule 144(a)(3)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Other</w:t>
      </w:r>
      <w:r>
        <w:rPr>
          <w:rFonts w:ascii="Times New Roman;Times;Serif" w:hAnsi="Times New Roman;Times;Serif"/>
          <w:b/>
          <w:i w:val="false"/>
          <w:caps w:val="false"/>
          <w:smallCaps w:val="false"/>
          <w:sz w:val="20"/>
        </w:rPr>
        <w:t>: _______________________________________________</w:t>
      </w:r>
      <w:r>
        <w:rPr>
          <w:rFonts w:ascii="Times New Roman;Times;Serif" w:hAnsi="Times New Roman;Times;Serif"/>
          <w:b w:val="false"/>
          <w:i w:val="false"/>
          <w:caps w:val="false"/>
          <w:smallCaps w:val="false"/>
          <w:sz w:val="20"/>
        </w:rPr>
        <w:t>.</w:t>
      </w:r>
    </w:p>
    <w:tbl>
      <w:tblPr>
        <w:tblW w:w="4365" w:type="dxa"/>
        <w:jc w:val="left"/>
        <w:tblInd w:w="0" w:type="dxa"/>
        <w:tblLayout w:type="fixed"/>
        <w:tblCellMar>
          <w:top w:w="0" w:type="dxa"/>
          <w:left w:w="0" w:type="dxa"/>
          <w:bottom w:w="0" w:type="dxa"/>
          <w:right w:w="0" w:type="dxa"/>
        </w:tblCellMar>
      </w:tblPr>
      <w:tblGrid>
        <w:gridCol w:w="2275"/>
        <w:gridCol w:w="2090"/>
      </w:tblGrid>
      <w:tr>
        <w:trPr/>
        <w:tc>
          <w:tcPr>
            <w:tcW w:w="2275" w:type="dxa"/>
            <w:tcBorders/>
            <w:vAlign w:val="center"/>
          </w:tcPr>
          <w:p>
            <w:pPr>
              <w:pStyle w:val="TableContents"/>
              <w:bidi w:val="0"/>
              <w:spacing w:before="0" w:after="283"/>
              <w:ind w:left="0" w:right="0" w:firstLine="2200"/>
              <w:jc w:val="left"/>
              <w:rPr/>
            </w:pPr>
            <w:r>
              <w:rPr/>
              <w:t> </w:t>
            </w:r>
          </w:p>
        </w:tc>
        <w:tc>
          <w:tcPr>
            <w:tcW w:w="2090" w:type="dxa"/>
            <w:tcBorders/>
            <w:vAlign w:val="center"/>
          </w:tcPr>
          <w:p>
            <w:pPr>
              <w:pStyle w:val="TableContents"/>
              <w:bidi w:val="0"/>
              <w:spacing w:before="0" w:after="283"/>
              <w:jc w:val="left"/>
              <w:rPr>
                <w:b/>
              </w:rPr>
            </w:pPr>
            <w:r>
              <w:rPr>
                <w:b/>
              </w:rPr>
              <w:t>[Please fill in details]</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w:t>
      </w:r>
      <w:r>
        <w:rPr>
          <w:rFonts w:ascii="Times New Roman;Times;Serif" w:hAnsi="Times New Roman;Times;Serif"/>
          <w:b/>
          <w:i/>
          <w:caps w:val="false"/>
          <w:smallCaps w:val="false"/>
          <w:sz w:val="20"/>
        </w:rPr>
        <w:t>The Restricted ADSs and the Restricted Shares represented thereby are to be transferred in a transaction exempt from registration under the Securities Act so that the ADSs to be delivered upon transfer are not “Restricted Securities” (within the meaning of Rule 144(a)(3) under the Securities Act)</w:t>
      </w:r>
      <w:r>
        <w:rPr>
          <w:rFonts w:ascii="Times New Roman;Times;Serif" w:hAnsi="Times New Roman;Times;Serif"/>
          <w:b/>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requests that the Depositary: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460"/>
        <w:gridCol w:w="9470"/>
      </w:tblGrid>
      <w:tr>
        <w:trPr/>
        <w:tc>
          <w:tcPr>
            <w:tcW w:w="2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(i)</w:t>
            </w:r>
          </w:p>
        </w:tc>
        <w:tc>
          <w:tcPr>
            <w:tcW w:w="9470" w:type="dxa"/>
            <w:tcBorders/>
            <w:vAlign w:val="center"/>
          </w:tcPr>
          <w:p>
            <w:pPr>
              <w:pStyle w:val="TableContents"/>
              <w:bidi w:val="0"/>
              <w:spacing w:before="0" w:after="283"/>
              <w:jc w:val="left"/>
              <w:rPr/>
            </w:pPr>
            <w:r>
              <w:rPr/>
              <w:t>debit from the undersigned’s account specified below, for the issuance of unrestricted ADSs, the following number of Restricted ADSs:</w:t>
            </w:r>
          </w:p>
        </w:tc>
      </w:tr>
      <w:tr>
        <w:trPr/>
        <w:tc>
          <w:tcPr>
            <w:tcW w:w="2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9930" w:type="dxa"/>
            <w:gridSpan w:val="2"/>
            <w:tcBorders/>
            <w:vAlign w:val="center"/>
          </w:tcPr>
          <w:p>
            <w:pPr>
              <w:pStyle w:val="TableContents"/>
              <w:bidi w:val="0"/>
              <w:spacing w:before="0" w:after="283"/>
              <w:jc w:val="left"/>
              <w:rPr/>
            </w:pPr>
            <w:r>
              <w:rPr/>
              <w:t>__________________________________________</w:t>
            </w:r>
          </w:p>
        </w:tc>
      </w:tr>
      <w:tr>
        <w:trPr/>
        <w:tc>
          <w:tcPr>
            <w:tcW w:w="275" w:type="dxa"/>
            <w:tcBorders/>
            <w:vAlign w:val="center"/>
          </w:tcPr>
          <w:p>
            <w:pPr>
              <w:pStyle w:val="TableContents"/>
              <w:bidi w:val="0"/>
              <w:spacing w:before="0" w:after="283"/>
              <w:ind w:left="0" w:right="0" w:firstLine="200"/>
              <w:jc w:val="left"/>
              <w:rPr/>
            </w:pPr>
            <w:r>
              <w:rPr/>
              <w:t> </w:t>
            </w:r>
          </w:p>
        </w:tc>
        <w:tc>
          <w:tcPr>
            <w:tcW w:w="9930" w:type="dxa"/>
            <w:gridSpan w:val="2"/>
            <w:tcBorders/>
            <w:vAlign w:val="center"/>
          </w:tcPr>
          <w:p>
            <w:pPr>
              <w:pStyle w:val="TableContents"/>
              <w:bidi w:val="0"/>
              <w:spacing w:before="0" w:after="283"/>
              <w:jc w:val="left"/>
              <w:rPr/>
            </w:pPr>
            <w:r>
              <w:rPr/>
              <w:t>Restricted ADSs (CUSIP No.: 00370M996), and</w:t>
            </w:r>
          </w:p>
        </w:tc>
      </w:tr>
      <w:tr>
        <w:trPr/>
        <w:tc>
          <w:tcPr>
            <w:tcW w:w="2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(ii)</w:t>
            </w:r>
          </w:p>
        </w:tc>
        <w:tc>
          <w:tcPr>
            <w:tcW w:w="9470" w:type="dxa"/>
            <w:tcBorders/>
            <w:vAlign w:val="center"/>
          </w:tcPr>
          <w:p>
            <w:pPr>
              <w:pStyle w:val="TableContents"/>
              <w:bidi w:val="0"/>
              <w:spacing w:before="0" w:after="283"/>
              <w:jc w:val="left"/>
              <w:rPr/>
            </w:pPr>
            <w:r>
              <w:rPr/>
              <w:t>following the debit of the Restricted ADSs as contemplated in (i) above, issue and deliver “free” the following number of ADSs:</w:t>
            </w:r>
          </w:p>
        </w:tc>
      </w:tr>
      <w:tr>
        <w:trPr/>
        <w:tc>
          <w:tcPr>
            <w:tcW w:w="2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r>
              <w:rPr/>
              <w:t>____________________________</w:t>
            </w:r>
          </w:p>
        </w:tc>
      </w:tr>
      <w:tr>
        <w:trPr/>
        <w:tc>
          <w:tcPr>
            <w:tcW w:w="2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ind w:left="0" w:right="0" w:firstLine="400"/>
              <w:jc w:val="left"/>
              <w:rPr/>
            </w:pPr>
            <w:r>
              <w:rPr/>
              <w:t> </w:t>
            </w:r>
          </w:p>
        </w:tc>
        <w:tc>
          <w:tcPr>
            <w:tcW w:w="9470" w:type="dxa"/>
            <w:tcBorders/>
            <w:vAlign w:val="center"/>
          </w:tcPr>
          <w:p>
            <w:pPr>
              <w:pStyle w:val="TableContents"/>
              <w:bidi w:val="0"/>
              <w:spacing w:before="0" w:after="283"/>
              <w:jc w:val="left"/>
              <w:rPr/>
            </w:pPr>
            <w:r>
              <w:rPr/>
              <w:t>(CUSIP No.: 00370M103)</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person(s) identified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The delivery of the requisite opinion of counsel to cover this transaction is the sole responsibility of the selling Restricted ADS holder.</w:t>
      </w:r>
    </w:p>
    <w:p>
      <w:pPr>
        <w:pStyle w:val="TextBody"/>
        <w:bidi w:val="0"/>
        <w:spacing w:before="0" w:after="0"/>
        <w:ind w:left="0" w:right="0" w:firstLine="720"/>
        <w:jc w:val="center"/>
        <w:rPr>
          <w:bdr w:val="single" w:sz="8" w:space="1" w:color="000000"/>
        </w:rPr>
      </w:pPr>
      <w:r>
        <w:rPr>
          <w:bdr w:val="single" w:sz="8" w:space="1" w:color="000000"/>
        </w:rPr>
        <w:t>App’x 5 - 4</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ADSs are to be issued and delivered by means of book-entry transfer to the DTC account of the undersigned:</w:t>
      </w:r>
    </w:p>
    <w:p>
      <w:pPr>
        <w:pStyle w:val="TextBody"/>
        <w:bidi w:val="0"/>
        <w:spacing w:before="0" w:after="0"/>
        <w:ind w:left="0" w:right="0" w:firstLine="72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515"/>
        <w:gridCol w:w="3515"/>
      </w:tblGrid>
      <w:tr>
        <w:trPr/>
        <w:tc>
          <w:tcPr>
            <w:tcW w:w="6515" w:type="dxa"/>
            <w:tcBorders/>
            <w:vAlign w:val="center"/>
          </w:tcPr>
          <w:p>
            <w:pPr>
              <w:pStyle w:val="TableContents"/>
              <w:bidi w:val="0"/>
              <w:spacing w:before="0" w:after="283"/>
              <w:jc w:val="left"/>
              <w:rPr/>
            </w:pPr>
            <w:r>
              <w:rPr/>
              <w:t>Name of DTC Participant acting for undersigned:</w:t>
            </w:r>
          </w:p>
        </w:tc>
        <w:tc>
          <w:tcPr>
            <w:tcW w:w="3515" w:type="dxa"/>
            <w:tcBorders/>
            <w:vAlign w:val="center"/>
          </w:tcPr>
          <w:p>
            <w:pPr>
              <w:pStyle w:val="TableContents"/>
              <w:bidi w:val="0"/>
              <w:spacing w:before="0" w:after="283"/>
              <w:jc w:val="left"/>
              <w:rPr/>
            </w:pPr>
            <w:r>
              <w:rPr/>
              <w:t>_____________________________</w:t>
            </w:r>
          </w:p>
        </w:tc>
      </w:tr>
      <w:tr>
        <w:trPr/>
        <w:tc>
          <w:tcPr>
            <w:tcW w:w="651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DTC Participant Account No.:</w:t>
            </w:r>
          </w:p>
        </w:tc>
        <w:tc>
          <w:tcPr>
            <w:tcW w:w="3515" w:type="dxa"/>
            <w:tcBorders/>
            <w:vAlign w:val="center"/>
          </w:tcPr>
          <w:p>
            <w:pPr>
              <w:pStyle w:val="TableContents"/>
              <w:bidi w:val="0"/>
              <w:spacing w:before="0" w:after="283"/>
              <w:jc w:val="left"/>
              <w:rPr/>
            </w:pPr>
            <w:r>
              <w:rPr/>
              <w:t>_____________________________</w:t>
            </w:r>
          </w:p>
        </w:tc>
      </w:tr>
      <w:tr>
        <w:trPr/>
        <w:tc>
          <w:tcPr>
            <w:tcW w:w="651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Account No. for undersigned at DTC Participant (f/b/o information):</w:t>
            </w:r>
          </w:p>
        </w:tc>
        <w:tc>
          <w:tcPr>
            <w:tcW w:w="3515" w:type="dxa"/>
            <w:tcBorders/>
            <w:vAlign w:val="center"/>
          </w:tcPr>
          <w:p>
            <w:pPr>
              <w:pStyle w:val="TableContents"/>
              <w:bidi w:val="0"/>
              <w:spacing w:before="0" w:after="283"/>
              <w:jc w:val="left"/>
              <w:rPr/>
            </w:pPr>
            <w:r>
              <w:rPr/>
              <w:t>_____________________________</w:t>
            </w:r>
          </w:p>
        </w:tc>
      </w:tr>
      <w:tr>
        <w:trPr/>
        <w:tc>
          <w:tcPr>
            <w:tcW w:w="651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Onward Delivery Instructions of undersigned:</w:t>
            </w:r>
          </w:p>
        </w:tc>
        <w:tc>
          <w:tcPr>
            <w:tcW w:w="3515" w:type="dxa"/>
            <w:tcBorders/>
            <w:vAlign w:val="center"/>
          </w:tcPr>
          <w:p>
            <w:pPr>
              <w:pStyle w:val="TableContents"/>
              <w:bidi w:val="0"/>
              <w:spacing w:before="0" w:after="283"/>
              <w:jc w:val="left"/>
              <w:rPr/>
            </w:pPr>
            <w:r>
              <w:rPr/>
              <w:t>_____________________________</w:t>
            </w:r>
          </w:p>
        </w:tc>
      </w:tr>
      <w:tr>
        <w:trPr/>
        <w:tc>
          <w:tcPr>
            <w:tcW w:w="651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Contact person at DTC Participant:</w:t>
            </w:r>
          </w:p>
        </w:tc>
        <w:tc>
          <w:tcPr>
            <w:tcW w:w="3515" w:type="dxa"/>
            <w:tcBorders/>
            <w:vAlign w:val="center"/>
          </w:tcPr>
          <w:p>
            <w:pPr>
              <w:pStyle w:val="TableContents"/>
              <w:bidi w:val="0"/>
              <w:spacing w:before="0" w:after="283"/>
              <w:jc w:val="left"/>
              <w:rPr/>
            </w:pPr>
            <w:r>
              <w:rPr/>
              <w:t>_____________________________</w:t>
            </w:r>
          </w:p>
        </w:tc>
      </w:tr>
      <w:tr>
        <w:trPr/>
        <w:tc>
          <w:tcPr>
            <w:tcW w:w="651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Daytime telephone number of contact person at DTC Participant:</w:t>
            </w:r>
          </w:p>
        </w:tc>
        <w:tc>
          <w:tcPr>
            <w:tcW w:w="3515" w:type="dxa"/>
            <w:tcBorders/>
            <w:vAlign w:val="center"/>
          </w:tcPr>
          <w:p>
            <w:pPr>
              <w:pStyle w:val="TableContents"/>
              <w:bidi w:val="0"/>
              <w:spacing w:before="0" w:after="283"/>
              <w:jc w:val="left"/>
              <w:rPr/>
            </w:pPr>
            <w:r>
              <w:rPr/>
              <w:t>_____________________________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ADSs are to be issued delivered in the form of Uncertificated ADSs or in the form of an ADR:</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4355"/>
        <w:gridCol w:w="3515"/>
      </w:tblGrid>
      <w:tr>
        <w:trPr/>
        <w:tc>
          <w:tcPr>
            <w:tcW w:w="4355" w:type="dxa"/>
            <w:tcBorders/>
            <w:vAlign w:val="center"/>
          </w:tcPr>
          <w:p>
            <w:pPr>
              <w:pStyle w:val="TableContents"/>
              <w:bidi w:val="0"/>
              <w:spacing w:before="0" w:after="283"/>
              <w:jc w:val="left"/>
              <w:rPr/>
            </w:pPr>
            <w:r>
              <w:rPr/>
              <w:t>Name of Purchaser/Transferee:</w:t>
            </w:r>
          </w:p>
        </w:tc>
        <w:tc>
          <w:tcPr>
            <w:tcW w:w="3515" w:type="dxa"/>
            <w:tcBorders/>
            <w:vAlign w:val="center"/>
          </w:tcPr>
          <w:p>
            <w:pPr>
              <w:pStyle w:val="TableContents"/>
              <w:bidi w:val="0"/>
              <w:spacing w:before="0" w:after="283"/>
              <w:jc w:val="left"/>
              <w:rPr/>
            </w:pPr>
            <w:r>
              <w:rPr/>
              <w:t>_____________________________</w:t>
            </w:r>
          </w:p>
        </w:tc>
      </w:tr>
      <w:tr>
        <w:trPr/>
        <w:tc>
          <w:tcPr>
            <w:tcW w:w="435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Street Address:</w:t>
            </w:r>
          </w:p>
        </w:tc>
        <w:tc>
          <w:tcPr>
            <w:tcW w:w="3515" w:type="dxa"/>
            <w:tcBorders/>
            <w:vAlign w:val="center"/>
          </w:tcPr>
          <w:p>
            <w:pPr>
              <w:pStyle w:val="TableContents"/>
              <w:bidi w:val="0"/>
              <w:spacing w:before="0" w:after="283"/>
              <w:jc w:val="left"/>
              <w:rPr/>
            </w:pPr>
            <w:r>
              <w:rPr/>
              <w:t>_____________________________</w:t>
            </w:r>
          </w:p>
        </w:tc>
      </w:tr>
      <w:tr>
        <w:trPr/>
        <w:tc>
          <w:tcPr>
            <w:tcW w:w="435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City, State, and Country:</w:t>
            </w:r>
          </w:p>
        </w:tc>
        <w:tc>
          <w:tcPr>
            <w:tcW w:w="3515" w:type="dxa"/>
            <w:tcBorders/>
            <w:vAlign w:val="center"/>
          </w:tcPr>
          <w:p>
            <w:pPr>
              <w:pStyle w:val="TableContents"/>
              <w:bidi w:val="0"/>
              <w:spacing w:before="0" w:after="283"/>
              <w:jc w:val="left"/>
              <w:rPr/>
            </w:pPr>
            <w:r>
              <w:rPr/>
              <w:t>_____________________________</w:t>
            </w:r>
          </w:p>
        </w:tc>
      </w:tr>
      <w:tr>
        <w:trPr/>
        <w:tc>
          <w:tcPr>
            <w:tcW w:w="435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Nationality:</w:t>
            </w:r>
          </w:p>
        </w:tc>
        <w:tc>
          <w:tcPr>
            <w:tcW w:w="3515" w:type="dxa"/>
            <w:tcBorders/>
            <w:vAlign w:val="center"/>
          </w:tcPr>
          <w:p>
            <w:pPr>
              <w:pStyle w:val="TableContents"/>
              <w:bidi w:val="0"/>
              <w:spacing w:before="0" w:after="283"/>
              <w:jc w:val="left"/>
              <w:rPr/>
            </w:pPr>
            <w:r>
              <w:rPr/>
              <w:t>_____________________________</w:t>
            </w:r>
          </w:p>
        </w:tc>
      </w:tr>
      <w:tr>
        <w:trPr/>
        <w:tc>
          <w:tcPr>
            <w:tcW w:w="435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Social Security or Tax Identification Number:</w:t>
            </w:r>
          </w:p>
        </w:tc>
        <w:tc>
          <w:tcPr>
            <w:tcW w:w="3515" w:type="dxa"/>
            <w:tcBorders/>
            <w:vAlign w:val="center"/>
          </w:tcPr>
          <w:p>
            <w:pPr>
              <w:pStyle w:val="TableContents"/>
              <w:bidi w:val="0"/>
              <w:spacing w:before="0" w:after="283"/>
              <w:jc w:val="left"/>
              <w:rPr/>
            </w:pPr>
            <w:r>
              <w:rPr/>
              <w:t>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instructs the Depositary to cancel the Restricted ADSs to be transferred in the form of freely transferable ADSs and, if applicable, to issue to the undersigned a statement identifying the number of Restricted ADSs held by the undersigned so transferred. The undersigned irrevocably appoints the Depositary and any of its authorized representatives as its attorney to take the actions contemplated above on behalf of the undersigned. The undersigned confirms that payment of the applicable fees, taxes and expenses pursuant to the terms of the Deposit Agreement, the Restricted ADS Letter Agreement and the [●] Restricted ADS Series Supplement in connection the cancellation of Restricted ADSs and the issuance of ADSs is being made to the Depositary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App’x 5 - 5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above acknowledgements, agreements, certifications, instructions, representations or warranties are false or incorrect in any way, (x) the Depositary and the Company shall be authorized, at the cost and expense of the undersigned, to take any and all actions necessary to correct the consequences thereof, and (y) the undersigned shall indemnify and hold harmless the Depositary and its agents for any and all losses, liabilities, costs, expenses (including, without limitation, fees and expenses of counsel), claims, damages and taxes of any kind, incurred as a result thereof.</w:t>
      </w:r>
    </w:p>
    <w:p>
      <w:pPr>
        <w:pStyle w:val="TextBody"/>
        <w:bidi w:val="0"/>
        <w:spacing w:before="0" w:after="0"/>
        <w:ind w:left="0" w:right="0" w:firstLine="144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5975"/>
        <w:gridCol w:w="4115"/>
      </w:tblGrid>
      <w:tr>
        <w:trPr/>
        <w:tc>
          <w:tcPr>
            <w:tcW w:w="5975" w:type="dxa"/>
            <w:tcBorders/>
            <w:vAlign w:val="center"/>
          </w:tcPr>
          <w:p>
            <w:pPr>
              <w:pStyle w:val="TableContents"/>
              <w:bidi w:val="0"/>
              <w:spacing w:before="0" w:after="283"/>
              <w:jc w:val="left"/>
              <w:rPr/>
            </w:pPr>
            <w:r>
              <w:rPr/>
              <w:t>Name of Owner:</w:t>
            </w:r>
          </w:p>
        </w:tc>
        <w:tc>
          <w:tcPr>
            <w:tcW w:w="4115" w:type="dxa"/>
            <w:tcBorders/>
            <w:vAlign w:val="center"/>
          </w:tcPr>
          <w:p>
            <w:pPr>
              <w:pStyle w:val="TableContents"/>
              <w:bidi w:val="0"/>
              <w:spacing w:before="0" w:after="283"/>
              <w:jc w:val="left"/>
              <w:rPr/>
            </w:pPr>
            <w:r>
              <w:rPr/>
              <w:t>__________________________________</w:t>
            </w:r>
          </w:p>
        </w:tc>
      </w:tr>
      <w:tr>
        <w:trPr/>
        <w:tc>
          <w:tcPr>
            <w:tcW w:w="59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xml:space="preserve">Social Security Number or Taxpayer Identification Number of </w:t>
            </w:r>
          </w:p>
        </w:tc>
        <w:tc>
          <w:tcPr>
            <w:tcW w:w="4115"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283"/>
              <w:jc w:val="left"/>
              <w:rPr/>
            </w:pPr>
            <w:r>
              <w:rPr/>
              <w:t>Owner:</w:t>
            </w:r>
          </w:p>
        </w:tc>
        <w:tc>
          <w:tcPr>
            <w:tcW w:w="4115" w:type="dxa"/>
            <w:tcBorders/>
            <w:vAlign w:val="center"/>
          </w:tcPr>
          <w:p>
            <w:pPr>
              <w:pStyle w:val="TableContents"/>
              <w:bidi w:val="0"/>
              <w:spacing w:before="0" w:after="283"/>
              <w:jc w:val="left"/>
              <w:rPr/>
            </w:pPr>
            <w:r>
              <w:rPr/>
              <w:t>__________________________________</w:t>
            </w:r>
          </w:p>
        </w:tc>
      </w:tr>
      <w:tr>
        <w:trPr/>
        <w:tc>
          <w:tcPr>
            <w:tcW w:w="59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Account Number of Owner:</w:t>
            </w:r>
          </w:p>
        </w:tc>
        <w:tc>
          <w:tcPr>
            <w:tcW w:w="4115" w:type="dxa"/>
            <w:tcBorders/>
            <w:vAlign w:val="center"/>
          </w:tcPr>
          <w:p>
            <w:pPr>
              <w:pStyle w:val="TableContents"/>
              <w:bidi w:val="0"/>
              <w:spacing w:before="0" w:after="283"/>
              <w:jc w:val="left"/>
              <w:rPr/>
            </w:pPr>
            <w:r>
              <w:rPr/>
              <w:t>__________________________________</w:t>
            </w:r>
          </w:p>
        </w:tc>
      </w:tr>
      <w:tr>
        <w:trPr/>
        <w:tc>
          <w:tcPr>
            <w:tcW w:w="59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Date:</w:t>
            </w:r>
          </w:p>
        </w:tc>
        <w:tc>
          <w:tcPr>
            <w:tcW w:w="4115" w:type="dxa"/>
            <w:tcBorders/>
            <w:vAlign w:val="center"/>
          </w:tcPr>
          <w:p>
            <w:pPr>
              <w:pStyle w:val="TableContents"/>
              <w:bidi w:val="0"/>
              <w:spacing w:before="0" w:after="283"/>
              <w:jc w:val="left"/>
              <w:rPr/>
            </w:pPr>
            <w:r>
              <w:rPr/>
              <w:t>__________________________________</w:t>
            </w:r>
          </w:p>
        </w:tc>
      </w:tr>
      <w:tr>
        <w:trPr/>
        <w:tc>
          <w:tcPr>
            <w:tcW w:w="59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Signature of Owner:</w:t>
            </w:r>
          </w:p>
        </w:tc>
        <w:tc>
          <w:tcPr>
            <w:tcW w:w="4115" w:type="dxa"/>
            <w:tcBorders/>
            <w:vAlign w:val="center"/>
          </w:tcPr>
          <w:p>
            <w:pPr>
              <w:pStyle w:val="TableContents"/>
              <w:bidi w:val="0"/>
              <w:spacing w:before="0" w:after="283"/>
              <w:jc w:val="left"/>
              <w:rPr/>
            </w:pPr>
            <w:r>
              <w:rPr/>
              <w:t>__________________________________</w:t>
            </w:r>
          </w:p>
        </w:tc>
      </w:tr>
      <w:tr>
        <w:trPr/>
        <w:tc>
          <w:tcPr>
            <w:tcW w:w="59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(Identify Title if Acting in Representative</w:t>
            </w:r>
          </w:p>
        </w:tc>
      </w:tr>
      <w:tr>
        <w:trPr/>
        <w:tc>
          <w:tcPr>
            <w:tcW w:w="59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App’x 5 - 6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0" w:type="dxa"/>
        </w:tblCellMar>
      </w:tblPr>
      <w:tblGrid>
        <w:gridCol w:w="75"/>
        <w:gridCol w:w="10055"/>
        <w:gridCol w:w="75"/>
      </w:tblGrid>
      <w:tr>
        <w:trPr/>
        <w:tc>
          <w:tcPr>
            <w:tcW w:w="75"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10055" w:type="dxa"/>
            <w:tcBorders>
              <w:top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MEDALLION GUARANTEE</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b/>
              </w:rPr>
              <w:t>Medallion Guarantee Stamp</w:t>
            </w:r>
            <w:r>
              <w:rPr/>
              <w:t xml:space="preserve"> (Notary public seal is not acceptable)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t> </w:t>
            </w:r>
            <w:r>
              <w:rPr/>
              <w:drawing>
                <wp:inline distT="0" distB="0" distL="0" distR="0">
                  <wp:extent cx="28575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57500" cy="381000"/>
                          </a:xfrm>
                          <a:prstGeom prst="rect">
                            <a:avLst/>
                          </a:prstGeom>
                        </pic:spPr>
                      </pic:pic>
                    </a:graphicData>
                  </a:graphic>
                </wp:inline>
              </w:drawing>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Firm Issuing Guarantee:___________________________________________________________________</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Signature of Officer:___________________________________________________________________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tcBorders>
            <w:tcMar>
              <w:top w:w="0" w:type="dxa"/>
            </w:tcMar>
            <w:vAlign w:val="center"/>
          </w:tcPr>
          <w:p>
            <w:pPr>
              <w:pStyle w:val="TableContents"/>
              <w:bidi w:val="0"/>
              <w:spacing w:before="0" w:after="283"/>
              <w:jc w:val="left"/>
              <w:rPr/>
            </w:pPr>
            <w:r>
              <w:rPr/>
              <w:t> </w:t>
            </w:r>
          </w:p>
        </w:tc>
        <w:tc>
          <w:tcPr>
            <w:tcW w:w="10055" w:type="dxa"/>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Officer Signing This Guarantee:______________________________________________________________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Address:_____________________________________________________________________________________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and Telephone Number:_________________________________________________________________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Dated:_______________________________________________________________________________________</w:t>
            </w:r>
          </w:p>
        </w:tc>
        <w:tc>
          <w:tcPr>
            <w:tcW w:w="7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0055" w:type="dxa"/>
            <w:tcBorders>
              <w:bottom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above must be guaranteed by an Eligible Guarantor Institution that is a member in good standing of a recognized Medallion Signature Guarantee Program approved by The Securities Transfer Association,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Times;Serif" w:hAnsi="Times New Roman;Times;Serif"/>
                <w:b/>
                <w:i w:val="false"/>
                <w:caps w:val="false"/>
                <w:smallCaps w:val="false"/>
                <w:sz w:val="20"/>
              </w:rPr>
              <w:t>A NOTARY PUBLIC SEAL IS NOT ACCEPTABLE.</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App’x 5 - 7</w:t>
      </w:r>
    </w:p>
    <w:p>
      <w:pPr>
        <w:pStyle w:val="TextBody"/>
        <w:bidi w:val="0"/>
        <w:spacing w:before="0" w:after="0"/>
        <w:ind w:left="0" w:right="0" w:hanging="0"/>
        <w:jc w:val="left"/>
        <w:rPr/>
      </w:pPr>
      <w:bookmarkStart w:id="8" w:name="e665785_ex99-biii.htm"/>
      <w:bookmarkStart w:id="9" w:name="kse665785_ex99biii"/>
      <w:bookmarkEnd w:id="8"/>
      <w:bookmarkEnd w:id="9"/>
      <w:r>
        <w:rPr/>
        <w:t> </w:t>
      </w:r>
      <w:r>
        <w:br w:type="page"/>
      </w:r>
    </w:p>
    <w:p>
      <w:pPr>
        <w:pStyle w:val="TextBody"/>
        <w:bidi w:val="0"/>
        <w:spacing w:before="0" w:after="0"/>
        <w:ind w:left="0" w:right="0" w:hanging="0"/>
        <w:jc w:val="left"/>
        <w:rPr/>
      </w:pPr>
      <w:r>
        <w:rPr/>
        <w:t> </w:t>
      </w:r>
    </w:p>
    <w:p>
      <w:pPr>
        <w:pStyle w:val="TextBody"/>
        <w:bidi w:val="0"/>
        <w:spacing w:before="0" w:after="0"/>
        <w:jc w:val="center"/>
        <w:rPr>
          <w:u w:val="single"/>
        </w:rPr>
      </w:pPr>
      <w:r>
        <w:rPr>
          <w:u w:val="single"/>
        </w:rPr>
        <w:t>Exhibit (b)(iii)</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Teresa Loureiro-Stein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83"/>
        <w:gridCol w:w="9781"/>
      </w:tblGrid>
      <w:tr>
        <w:trPr/>
        <w:tc>
          <w:tcPr>
            <w:tcW w:w="4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Re:</w:t>
            </w:r>
          </w:p>
        </w:tc>
        <w:tc>
          <w:tcPr>
            <w:tcW w:w="9781" w:type="dxa"/>
            <w:tcBorders/>
            <w:vAlign w:val="center"/>
          </w:tcPr>
          <w:p>
            <w:pPr>
              <w:pStyle w:val="TableContents"/>
              <w:bidi w:val="0"/>
              <w:spacing w:before="0" w:after="283"/>
              <w:jc w:val="both"/>
              <w:rPr>
                <w:u w:val="single"/>
              </w:rPr>
            </w:pPr>
            <w:r>
              <w:rPr>
                <w:u w:val="single"/>
              </w:rPr>
              <w:t>Abivax SA – Affiliate and Restricted Securities Series Supplement (CUSIP No.: 00370M996)</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 the Deposit Agreement, dated as of October 24, 2023, as amended and supplemented from time to time (as so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the Restricted ADS Letter Agreement, dated as of December 3, 2025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contemplated in the Restricted ADS Letter Agreement, the Company desires, and the Depositary agrees, to establish procedures to accommodate the issuance and delivery of Designated Restricted ADSs (as defined in Section 1 below) upon the terms of this Affiliate and Restricted Securities Series Supplement (the “</w:t>
      </w:r>
      <w:r>
        <w:rPr>
          <w:rFonts w:ascii="Times New Roman;Times;Serif" w:hAnsi="Times New Roman;Times;Serif"/>
          <w:b w:val="false"/>
          <w:i w:val="false"/>
          <w:caps w:val="false"/>
          <w:smallCaps w:val="false"/>
          <w:sz w:val="20"/>
          <w:u w:val="single"/>
        </w:rPr>
        <w:t>Affiliate and Restricted Securities Series Supplement</w:t>
      </w:r>
      <w:r>
        <w:rPr>
          <w:rFonts w:ascii="Times New Roman;Times;Serif" w:hAnsi="Times New Roman;Times;Serif"/>
          <w:b w:val="false"/>
          <w:i w:val="false"/>
          <w:caps w:val="false"/>
          <w:smallCaps w:val="false"/>
          <w:sz w:val="20"/>
        </w:rPr>
        <w:t>”), provided that (a) the terms of deposit of the designated Restricted Securities for Designated Restricted ADSs neither (i) prejudice any substantial rights of existing Holders and Beneficial Owners of ADSs under the Deposit Agreement, nor (ii) violate or conflict with any law, rule or administrative position applicable to the ADSs, and (b) the terms of the Deposit Agreement are supplemented as set forth in this Affiliate and Restricted Securities Series Supplement for purpose of the issuance of the Designated 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and intent of this Affiliate and Restricted Securities Series Supplement is to supplement the Deposit Agreement and the Restricted ADS Letter Agreement for the purpose of accommodating (i) the issuance of Designated Restricted ADSs to the Restricted Holders, (ii) the sale, transfer or cancellation of such Designated Restricted ADSs, and (iii) certain ancillary transactions further described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the receipt and sufficiency of which are hereby acknowledged, the Company and the Depositary hereby agree, notwithstanding the terms of the Deposit Agreement and the Restricted ADS Letter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Depositary Procedures</w:t>
      </w:r>
      <w:r>
        <w:rPr>
          <w:rFonts w:ascii="Times New Roman;Times;Serif" w:hAnsi="Times New Roman;Times;Serif"/>
          <w:b w:val="false"/>
          <w:i w:val="false"/>
          <w:caps w:val="false"/>
          <w:smallCaps w:val="false"/>
          <w:sz w:val="20"/>
        </w:rPr>
        <w:t xml:space="preserve">. The Company consents,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Deposit Agreement, to (i) the deposit by the Company, or by, for, or on behalf of each Restricted Holder, of up to the number of Shares specified on the applicable Standard Consent and Delivery Instruction (as defined in the Restricted ADS Letter Agreement) delivered to the Depositary to accept the deposit of such Shares (which request shall not be unreasonably denied) (the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xml:space="preserve">”) and (ii) the issuance and delivery by the Depositary of the corresponding number of Restricted ADSs in respect thereof in the form of Uncertificated ADSs, upon the terms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Deposit Agreement, as supplemented by the Restricted ADS Letter Agreement and this Affiliate and Restricted Securities Series Supplement, to the Restricted Holders or their respective designees. The Restricted ADSs described in the immediately preceding sentence and the Restricted Shares represented thereby are referred to herein as the “</w:t>
      </w:r>
      <w:r>
        <w:rPr>
          <w:rFonts w:ascii="Times New Roman;Times;Serif" w:hAnsi="Times New Roman;Times;Serif"/>
          <w:b w:val="false"/>
          <w:i w:val="false"/>
          <w:caps w:val="false"/>
          <w:smallCaps w:val="false"/>
          <w:sz w:val="20"/>
          <w:u w:val="single"/>
        </w:rPr>
        <w:t>Designated Restricted ADSs</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Designated Shares</w:t>
      </w:r>
      <w:r>
        <w:rPr>
          <w:rFonts w:ascii="Times New Roman;Times;Serif" w:hAnsi="Times New Roman;Times;Serif"/>
          <w:b w:val="false"/>
          <w:i w:val="false"/>
          <w:caps w:val="false"/>
          <w:smallCaps w:val="false"/>
          <w:sz w:val="20"/>
        </w:rPr>
        <w:t xml:space="preserve">”, respectively. The Depositary shall (unless otherwise agreed by the Company and the Depositary in writing) cause the Designated Restricted ADSs issued upon the deposit of the Designated Shares, or the delivery, cancellation and conversion of Unrestricted ADSs to be separately identified on the books of the Depositary under the CUSIP No. 00370M996. In connection with each deposit of Designated Shares (i) by the Company and request for issuance of Designated Restricted ADSs, the Company shall deliver to the Depositary a duly completed and signed Standard Consent and Delivery Instruction – Company (as defined in the Restricted ADS Letter Agreement) substantially in the form of </w:t>
      </w:r>
      <w:r>
        <w:rPr>
          <w:rFonts w:ascii="Times New Roman;Times;Serif" w:hAnsi="Times New Roman;Times;Serif"/>
          <w:b w:val="false"/>
          <w:i w:val="false"/>
          <w:caps w:val="false"/>
          <w:smallCaps w:val="false"/>
          <w:sz w:val="20"/>
          <w:u w:val="single"/>
        </w:rPr>
        <w:t>Appendix 2-A</w:t>
      </w:r>
      <w:r>
        <w:rPr>
          <w:rFonts w:ascii="Times New Roman;Times;Serif" w:hAnsi="Times New Roman;Times;Serif"/>
          <w:b w:val="false"/>
          <w:i w:val="false"/>
          <w:caps w:val="false"/>
          <w:smallCaps w:val="false"/>
          <w:sz w:val="20"/>
        </w:rPr>
        <w:t xml:space="preserve"> to the Restricted ADS Letter Agreement, and (ii) by a Restricted Holder and request for issuance of Designated Restricted ADSs, the Restricted Holder shall be required to deliver to the Depositary a duly completed and signed Standard Consent and Delivery Instruction – Restricted Holder (as defined in the Restricted ADS Letter Agreement) substantially in the form of </w:t>
      </w:r>
      <w:r>
        <w:rPr>
          <w:rFonts w:ascii="Times New Roman;Times;Serif" w:hAnsi="Times New Roman;Times;Serif"/>
          <w:b w:val="false"/>
          <w:i w:val="false"/>
          <w:caps w:val="false"/>
          <w:smallCaps w:val="false"/>
          <w:sz w:val="20"/>
          <w:u w:val="single"/>
        </w:rPr>
        <w:t>Appendix 2-B</w:t>
      </w:r>
      <w:r>
        <w:rPr>
          <w:rFonts w:ascii="Times New Roman;Times;Serif" w:hAnsi="Times New Roman;Times;Serif"/>
          <w:b w:val="false"/>
          <w:i w:val="false"/>
          <w:caps w:val="false"/>
          <w:smallCaps w:val="false"/>
          <w:sz w:val="20"/>
        </w:rPr>
        <w:t xml:space="preserve"> to the Restricted ADS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b/>
      </w:r>
      <w:r>
        <w:rPr>
          <w:rFonts w:ascii="Times New Roman;Times;Serif" w:hAnsi="Times New Roman;Times;Serif"/>
          <w:b w:val="false"/>
          <w:i w:val="false"/>
          <w:caps w:val="false"/>
          <w:smallCaps w:val="false"/>
          <w:sz w:val="20"/>
        </w:rPr>
        <w:t>In furtherance of the foregoing, the Company hereby instructs the Depositary, and the Depositary agrees, upon the terms and subject to the conditions set forth in Section 2.14 of the Deposit Agreement as supplemented by the Restricted ADS Letter Agreement and this Affiliate and Restricted Securities Series Supplement, to (i) establish procedures to enable (x) the deposit of the Designated Shares with the Custodian by the Company, or by, for, or on behalf of the Restricted Holders, as a valid deposit of Shares under the Deposit Agreement in order to enable the issuance by the Depositary to the Restricted Holders of Designated Restricted ADSs issued under the terms of the Restricted ADS Letter Agreement as supplemented by this Affiliate and Restricted Securities Series Supplement upon deposit of Designated Shares, (y) the delivery of Unrestricted ADSs to the Depositary by, for, or on behalf of the Restricted Holders in order to enable the cancellation and conversion of such Unrestricted ADSs and the issuance by the Depositary to the Restricted Holders of the corresponding Designated Restricted ADSs issued under the terms of the Restricted ADS Letter Agreement and this Affiliate and Restricted Securities Series Supplement upon delivery of such Unrestricted ADSs, and (z) the transfer of the Designated Restricted ADSs, the removal of the transfer and other restrictions with respect to Designated Restricted ADSs in order to create Unrestricted ADSs, and the withdrawal of the Designated Shares, in each case upon the terms and conditions set forth in the Deposit Agreement as supplemented by the terms of the Restricted ADS Letter Agreement and this Affiliate and Restricted Securities Series Supplement, and (ii) deliver an account statement (the “</w:t>
      </w:r>
      <w:r>
        <w:rPr>
          <w:rFonts w:ascii="Times New Roman;Times;Serif" w:hAnsi="Times New Roman;Times;Serif"/>
          <w:b w:val="false"/>
          <w:i w:val="false"/>
          <w:caps w:val="false"/>
          <w:smallCaps w:val="false"/>
          <w:sz w:val="20"/>
          <w:u w:val="single"/>
        </w:rPr>
        <w:t>Account Statement</w:t>
      </w:r>
      <w:r>
        <w:rPr>
          <w:rFonts w:ascii="Times New Roman;Times;Serif" w:hAnsi="Times New Roman;Times;Serif"/>
          <w:b w:val="false"/>
          <w:i w:val="false"/>
          <w:caps w:val="false"/>
          <w:smallCaps w:val="false"/>
          <w:sz w:val="20"/>
        </w:rPr>
        <w:t>”) to the Restricted Holder(s) upon the issuance of the Designated Restricted ADSs, in each case upon the terms set forth herein and in the Restricted ADS Letter Agreement. Nothing contained in the Restricted ADS Letter Agreement or this Affiliate and Restricted Securities Series Supplement shall in any way obligate the Depositary, or give authority to the Depositary, to accept (i) any Shares other than the Designated Shares described herein for deposit under the terms hereof, or (ii) Unrestricted ADSs other than Unrestricted ADSs described herein for delivery, cancellation, and conversion under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Stop Transfer Notation and Legend</w:t>
      </w:r>
      <w:r>
        <w:rPr>
          <w:rFonts w:ascii="Times New Roman;Times;Serif" w:hAnsi="Times New Roman;Times;Serif"/>
          <w:b w:val="false"/>
          <w:i w:val="false"/>
          <w:caps w:val="false"/>
          <w:smallCaps w:val="false"/>
          <w:sz w:val="20"/>
        </w:rPr>
        <w:t>. The books of the Depositary shall identify the Restricted ADSs as “restricted” and shall contain a “stop transfer” notation to that effect and any other additional legends that Company and the Depositary deem necessary. The Account Statements to be sent by the Depositary to the Restricted Holders upon the issuance of Restricted ADSs shall contain a legend substantially in the form of the following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AMERICAN DEPOSITARY SHARES (“</w:t>
      </w:r>
      <w:r>
        <w:rPr>
          <w:rFonts w:ascii="Times New Roman;Times;Serif" w:hAnsi="Times New Roman;Times;Serif"/>
          <w:b w:val="false"/>
          <w:i w:val="false"/>
          <w:caps w:val="false"/>
          <w:smallCaps w:val="false"/>
          <w:sz w:val="20"/>
          <w:u w:val="single"/>
        </w:rPr>
        <w:t>RESTRICTED ADSs</w:t>
      </w:r>
      <w:r>
        <w:rPr>
          <w:rFonts w:ascii="Times New Roman;Times;Serif" w:hAnsi="Times New Roman;Times;Serif"/>
          <w:b w:val="false"/>
          <w:i w:val="false"/>
          <w:caps w:val="false"/>
          <w:smallCaps w:val="false"/>
          <w:sz w:val="20"/>
        </w:rPr>
        <w:t>”) REGISTERED IN YOUR NAME OR ON YOUR BEHALF OR OTHERWISE CREDITED TO YOUR OR YOUR NOMINEE’S ACCOUNT AND THE UNDERLYING RESTRICTED SHARES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OF ABIVAX SA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ARE SUBJECT TO THE TERMS OF (X) THE RESTRICTED ADS LETTER AGREEMENT, DATED AS OF DECEMBER 3, 2025 (AS AMENDED AND SUPPLEMENTED FROM TIME TO TIME, THE “</w:t>
      </w:r>
      <w:r>
        <w:rPr>
          <w:rFonts w:ascii="Times New Roman;Times;Serif" w:hAnsi="Times New Roman;Times;Serif"/>
          <w:b w:val="false"/>
          <w:i w:val="false"/>
          <w:caps w:val="false"/>
          <w:smallCaps w:val="false"/>
          <w:sz w:val="20"/>
          <w:u w:val="single"/>
        </w:rPr>
        <w:t>RESTRICTED ADS LETTER AGREEMENT</w:t>
      </w:r>
      <w:r>
        <w:rPr>
          <w:rFonts w:ascii="Times New Roman;Times;Serif" w:hAnsi="Times New Roman;Times;Serif"/>
          <w:b w:val="false"/>
          <w:i w:val="false"/>
          <w:caps w:val="false"/>
          <w:smallCaps w:val="false"/>
          <w:sz w:val="20"/>
        </w:rPr>
        <w:t>”), (Y) THE DEPOSIT AGREEMENT, DATED AS OF OCTOBER 24, 2023 (AS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AND (Z) THE AFFILIATE AND RESTRICTED SECURITIES SERIES SUPPLEMENT, DATED AS OF DECEMBER 3, 2025 (THE “</w:t>
      </w:r>
      <w:r>
        <w:rPr>
          <w:rFonts w:ascii="Times New Roman;Times;Serif" w:hAnsi="Times New Roman;Times;Serif"/>
          <w:b w:val="false"/>
          <w:i w:val="false"/>
          <w:caps w:val="false"/>
          <w:smallCaps w:val="false"/>
          <w:sz w:val="20"/>
          <w:u w:val="single"/>
        </w:rPr>
        <w:t>AFFILIATE AND RESTRICTED SECURITIES SERIES SUPPLEMENT</w:t>
      </w:r>
      <w:r>
        <w:rPr>
          <w:rFonts w:ascii="Times New Roman;Times;Serif" w:hAnsi="Times New Roman;Times;Serif"/>
          <w:b w:val="false"/>
          <w:i w:val="false"/>
          <w:caps w:val="false"/>
          <w:smallCaps w:val="false"/>
          <w:sz w:val="20"/>
        </w:rPr>
        <w:t>”). ALL TERMS USED BUT NOT OTHERWISE DEFINED HEREIN SHALL, UNLESS OTHERWISE SPECIFICALLY DESIGNATED HEREIN, HAVE THE MEANING GIVEN TO SUCH TERMS IN THE AFFILIATE AND RESTRICTED SECURITIES SERIES SUPPLEMENT, OR IF NOT DEFINED THEREIN IN THE RESTRICTED ADS LETTER AGREEMENT, OR IF NOT DEFINED IN THE AFFILIATE AND RESTRICTED SECURITIES SERIES SUPPLEMENT OR THE RESTRICTED ADS LETTER AGREEMENT, IN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OWNERS OF THE RESTRICTED ADSs BY ACCEPTING AND HOLDING THE RESTRICTED ADSs, AND ANY INTEREST THEREIN, SHALL BE BOUND BY THE TERMS OF THE DEPOSIT AGREEMENT AND THE RESTRICTED ADS LETTER AGREEMENT AS SUPPLEMENTED AND AMENDED BY THE AFFILIATE AND RESTRICTED SECURITIES SERIES SUPPLEMENT. AT THE TIME OF ISSUANCE OF THE RESTRICTED ADSs, THE RESTRICTED SHARES REPRESENTED THEREBY HAD NOT BEEN REGISTERED UNDER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SUCH RESTRICTED SHARES AND RESTRICTED ADSs HAD NOT BEEN REGISTERED OR QUALIFIED UNDER ANY APPLICABLE STATE SECURITIES LAWS. THESE SECURITIES MAY NOT BE OFFERED, SOLD, PLEDGED OR OTHERWISE TRANSFERRED EXCEPT PURSUANT TO (A) AN EFFECTIVE REGISTRATION STATEMENT UNDER THE SECURITIES ACT IN A TRANSACTION REGISTERED OR QUALIFIED UNDER APPLICABLE STATE SECURITIES LAWS, OR (B) AN AVAILABLE EXEMPTION FROM SUCH REGISTRATION OR QUALIFICATION REQUIREMENTS, UNLESS A REGISTRATION STATEMENT IS EFFECTIVE WITH RESPECT TO THESE SECURITIES. AS A CONDITION TO PERMITTING ANY TRANSFER OF THESE SECURITIES, EACH OF CITIBANK, N.A., IN ITS CAPACITY AS THE DEPOSITARY FOR THE RESTRICTED ADSs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THE COMPANY MAY REQUIRE THAT IT BE FURNISHED WITH AN OPINION OF COUNSEL REASONABLY SATISFACTORY TO THE DEPOSITARY AND THE COMPANY TO THE EFFECT THAT NO REGISTRATION OR QUALIFICATION IS LEGALLY REQUIRED FOR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SALE OF THE RESTRICTED ADSs AND ISSUANCE OF FREELY TRANSFERABLE ADSs IN RESPECT THEREOF, A HOLDER OF RESTRICTED ADSs WILL BE REQUIRED TO PROVIDE TO THE DEPOSITARY AND TO THE COMPANY A RESALE CERTIFICATION AND INSTRUCTION LETTER IN THE FORM ATTACHED TO THE RESTRICTED ADS LETTER AGREEMENT. PRIOR TO THE WITHDRAWAL OF THE RESTRICTED SHARES, A HOLDER OF RESTRICTED ADSs WILL BE REQUIRED TO PROVIDE TO THE DEPOSITARY AND TO THE COMPANY A WITHDRAWAL CERTIFICATION IN THE FORM ATTACHED TO THE RESTRICTED ADS LETTER AGREEMENT. THE TRANSFER AND OTHER RESTRICTIONS SET FORTH HEREIN AND IN THE RESTRICTED ADS LETTER AGREEMENT SHALL REMAIN APPLICABLE WITH RESPECT TO THE RESTRICTED ADSs AND THE RESTRICTED SHARES UNTIL SUCH TIME AS THE PROCEDURES SET FORTH IN THE AFFILIATE AND RESTRICTED SECURITIES SERIES SUPPLEMENT OR IF NOT SET FORTH THEREIN, AS SET FORTH IN THE RESTRICTED ADS LETTER AGREEMENT FOR REMOVAL OF RESTRICTIONS ARE SATISFIED. NEITHER THE COMPANY NOR THE DEPOSITARY MAKES ANY REPRESENTATION AS TO THE AVAILABILITY OF THE EXEMPTION PROVIDED BY RULE 144 UNDER THE SECURITIES ACT FOR RESALE OF THE RESTRICTED SHARES OR THE RESTRICTED ADSs. A COPY OF THE DEPOSIT AGREEMENT, OF THE RESTRICTED ADS LETTER AGREEMENT AND OF THE AFFILIATE AND RESTRICTED SECURITIES SERIES SUPPLEMENT MAY BE OBTAINED FROM THE DEPOSITARY OR THE COMPANY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Company hereby represents and warrants as of the date hereof that (a) the deposit from time to time of Designated Shares by the Company, or by, for, or on behalf of Restricted Holders, and the issuance and delivery of Designated Restricted ADSs, in each case upon the terms contemplated herein, will not, as of the time of such deposit and issuance, require registration under the Securities Act, (b) all approvals required by the laws of France to permit the deposit of Designated Shares under the Deposit Agreement, the Restricted ADS Letter Agreement and this Affiliate and Restricted Securities Series Supplement have been, obtained, and (c) none of the terms of this Affiliate and Restricted Securities Series Supplement and none of the transactions contemplated in this Affiliate and Restricted Securities Series Supplement violate any court judgment or order issued against the Company or any material contract to which it is a party. Such representations and warranties shall survive each deposit of Designated Shares, each delivery, cancellation and conversion of Unrestricted ADSs, and each issuance of Designated Restricted ADSs hereunder, (d) the Designated Shares being deposited for the purpose of the issuance of Designated Restricted ADSs are validly issued, fully paid and non-assessable, free and clear of any lien, encumbrance, security interest, charge, mortgage, adverse claim, or preemptive rights of the holders of outstanding Shares, and free from any transfer and/or voting restrictions (other than with regards to restrictions on transfer pursuant to U.S. securities law or any contractual restrictions on transfer, such as lock-up obligations, entered into between the Company and the relevant Restricted Holder), and (e) the Designated Shares are of the same class as,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and will be fully fungible with (other than with regards to restrictions on transfer pursuant to U.S. securities law), the other Shares on deposit under the Deposit Agreement. Such representations and warranties shall survive each deposit of Designated Shares, each delivery, cancellation and conversion of Unrestricted ADSs, and each issuance of Designated Restricted ADSs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4</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Opinion Coverage</w:t>
      </w:r>
      <w:r>
        <w:rPr>
          <w:rFonts w:ascii="Times New Roman;Times;Serif" w:hAnsi="Times New Roman;Times;Serif"/>
          <w:b w:val="false"/>
          <w:i w:val="false"/>
          <w:caps w:val="false"/>
          <w:smallCaps w:val="false"/>
          <w:sz w:val="20"/>
        </w:rPr>
        <w:t>. The Company shall at the time of execution of this Affiliate and Restricted Securities Series Supplement cause (A) its U.S. counsel to deliver an opinion to the Depositary as of the date hereof stating, inter alia, that (i) assuming its due authorization, execution and delivery, this Affiliate and Restricted Securities Series Supplement is a valid and binding agreement of the Company and is enforceable against the Company under the laws of the State of New York, except as the enforcement thereof may be limited by bankruptcy, insolvency (including, without limitation, all laws relating to fraudulent transfers), reorganization, moratorium, debtor and creditor or similar laws affecting the enforcement of creditors’ rights generally, and as enforcement thereof is subject to general principles of equity (regardless of whether enforcement is considered in a proceeding in equity or at law), and (ii) the deposit of Designated Shares by the Company, or by, for, or on behalf of the Restricted Holders, and the issuance and delivery of Designated Restricted ADSs, in each case upon the terms contemplated herein, do not require registration of the Designated Shares under the Securities Act, and (B) its French counsel to deliver an opinion to the Depositary (i) as of the date hereof stating, inter alia, that (1) the Company has duly authorized and executed this Affiliate and Restricted Securities Series Supplement, (2) this Affiliate and Restricted Securities Series Supplement constitutes a legal, valid and binding obligation of the Company under the laws of France enforceable against the Company upon its terms, (3) all approvals required by the laws of France to permit the entry by the Company into this Affiliate and Restricted Securities Series Supplement have been obtained, (4) the terms of this Affiliate and Restricted Securities Series Supplement and the transactions contemplated by this Affiliate and Restricted Securities Series Supplement do not contravene or conflict with any existing laws of France of general application, and (5) all approvals required by the laws of France to permit the deposit of Designated Shares under the Deposit Agreement, the Restricted ADS Letter Agreement and this Affiliate and Restricted Securities Series Supplement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Mutatis Mutandis</w:t>
      </w:r>
      <w:r>
        <w:rPr>
          <w:rFonts w:ascii="Times New Roman;Times;Serif" w:hAnsi="Times New Roman;Times;Serif"/>
          <w:b w:val="false"/>
          <w:i w:val="false"/>
          <w:caps w:val="false"/>
          <w:smallCaps w:val="false"/>
          <w:sz w:val="20"/>
        </w:rPr>
        <w:t xml:space="preserve">. The Company and the Depositary hereby agree that the following provisions of the Restricted ADS Letter Agreement shall apply to this Affiliate and Restricted Securities Series Supplement,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as if they had been fully set forth herein: (i) the first paragraph of Section 2 – </w:t>
      </w:r>
      <w:r>
        <w:rPr>
          <w:rFonts w:ascii="Times New Roman;Times;Serif" w:hAnsi="Times New Roman;Times;Serif"/>
          <w:b w:val="false"/>
          <w:i/>
          <w:caps w:val="false"/>
          <w:smallCaps w:val="false"/>
          <w:sz w:val="20"/>
        </w:rPr>
        <w:t>Company Assistance</w:t>
      </w:r>
      <w:r>
        <w:rPr>
          <w:rFonts w:ascii="Times New Roman;Times;Serif" w:hAnsi="Times New Roman;Times;Serif"/>
          <w:b w:val="false"/>
          <w:i w:val="false"/>
          <w:caps w:val="false"/>
          <w:smallCaps w:val="false"/>
          <w:sz w:val="20"/>
        </w:rPr>
        <w:t xml:space="preserve">, (ii) Section 3 – </w:t>
      </w:r>
      <w:r>
        <w:rPr>
          <w:rFonts w:ascii="Times New Roman;Times;Serif" w:hAnsi="Times New Roman;Times;Serif"/>
          <w:b w:val="false"/>
          <w:i/>
          <w:caps w:val="false"/>
          <w:smallCaps w:val="false"/>
          <w:sz w:val="20"/>
        </w:rPr>
        <w:t>Limitations on Issuance of Restricted ADSs</w:t>
      </w:r>
      <w:r>
        <w:rPr>
          <w:rFonts w:ascii="Times New Roman;Times;Serif" w:hAnsi="Times New Roman;Times;Serif"/>
          <w:b w:val="false"/>
          <w:i w:val="false"/>
          <w:caps w:val="false"/>
          <w:smallCaps w:val="false"/>
          <w:sz w:val="20"/>
        </w:rPr>
        <w:t xml:space="preserve">, (iii) Section 5 – </w:t>
      </w:r>
      <w:r>
        <w:rPr>
          <w:rFonts w:ascii="Times New Roman;Times;Serif" w:hAnsi="Times New Roman;Times;Serif"/>
          <w:b w:val="false"/>
          <w:i/>
          <w:caps w:val="false"/>
          <w:smallCaps w:val="false"/>
          <w:sz w:val="20"/>
        </w:rPr>
        <w:t>Limitations on Transfer of Restricted ADSs</w:t>
      </w:r>
      <w:r>
        <w:rPr>
          <w:rFonts w:ascii="Times New Roman;Times;Serif" w:hAnsi="Times New Roman;Times;Serif"/>
          <w:b w:val="false"/>
          <w:i w:val="false"/>
          <w:caps w:val="false"/>
          <w:smallCaps w:val="false"/>
          <w:sz w:val="20"/>
        </w:rPr>
        <w:t xml:space="preserve">, (iv) Section 6 – </w:t>
      </w:r>
      <w:r>
        <w:rPr>
          <w:rFonts w:ascii="Times New Roman;Times;Serif" w:hAnsi="Times New Roman;Times;Serif"/>
          <w:b w:val="false"/>
          <w:i/>
          <w:caps w:val="false"/>
          <w:smallCaps w:val="false"/>
          <w:sz w:val="20"/>
        </w:rPr>
        <w:t>Limitations On Cancellation of Restricted ADSs</w:t>
      </w:r>
      <w:r>
        <w:rPr>
          <w:rFonts w:ascii="Times New Roman;Times;Serif" w:hAnsi="Times New Roman;Times;Serif"/>
          <w:b w:val="false"/>
          <w:i w:val="false"/>
          <w:caps w:val="false"/>
          <w:smallCaps w:val="false"/>
          <w:sz w:val="20"/>
        </w:rPr>
        <w:t xml:space="preserve">, (v) Section 7 – </w:t>
      </w:r>
      <w:r>
        <w:rPr>
          <w:rFonts w:ascii="Times New Roman;Times;Serif" w:hAnsi="Times New Roman;Times;Serif"/>
          <w:b w:val="false"/>
          <w:i/>
          <w:caps w:val="false"/>
          <w:smallCaps w:val="false"/>
          <w:sz w:val="20"/>
        </w:rPr>
        <w:t>Fungibility</w:t>
      </w:r>
      <w:r>
        <w:rPr>
          <w:rFonts w:ascii="Times New Roman;Times;Serif" w:hAnsi="Times New Roman;Times;Serif"/>
          <w:b w:val="false"/>
          <w:i w:val="false"/>
          <w:caps w:val="false"/>
          <w:smallCaps w:val="false"/>
          <w:sz w:val="20"/>
        </w:rPr>
        <w:t xml:space="preserve">, (vi) Section 8 – </w:t>
      </w:r>
      <w:r>
        <w:rPr>
          <w:rFonts w:ascii="Times New Roman;Times;Serif" w:hAnsi="Times New Roman;Times;Serif"/>
          <w:b w:val="false"/>
          <w:i/>
          <w:caps w:val="false"/>
          <w:smallCaps w:val="false"/>
          <w:sz w:val="20"/>
        </w:rPr>
        <w:t>Limitations On Exchange of Restricted ADSs for Freely Transferrable ADSs</w:t>
      </w:r>
      <w:r>
        <w:rPr>
          <w:rFonts w:ascii="Times New Roman;Times;Serif" w:hAnsi="Times New Roman;Times;Serif"/>
          <w:b w:val="false"/>
          <w:i w:val="false"/>
          <w:caps w:val="false"/>
          <w:smallCaps w:val="false"/>
          <w:sz w:val="20"/>
        </w:rPr>
        <w:t xml:space="preserve">, (vii) Section 9 – </w:t>
      </w:r>
      <w:r>
        <w:rPr>
          <w:rFonts w:ascii="Times New Roman;Times;Serif" w:hAnsi="Times New Roman;Times;Serif"/>
          <w:b w:val="false"/>
          <w:i/>
          <w:caps w:val="false"/>
          <w:smallCaps w:val="false"/>
          <w:sz w:val="20"/>
        </w:rPr>
        <w:t>Removal of Restrictions</w:t>
      </w:r>
      <w:r>
        <w:rPr>
          <w:rFonts w:ascii="Times New Roman;Times;Serif" w:hAnsi="Times New Roman;Times;Serif"/>
          <w:b w:val="false"/>
          <w:i w:val="false"/>
          <w:caps w:val="false"/>
          <w:smallCaps w:val="false"/>
          <w:sz w:val="20"/>
        </w:rPr>
        <w:t xml:space="preserve">, (viii) Section 11 – </w:t>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xml:space="preserve">, (ix) Section 12 – </w:t>
      </w:r>
      <w:r>
        <w:rPr>
          <w:rFonts w:ascii="Times New Roman;Times;Serif" w:hAnsi="Times New Roman;Times;Serif"/>
          <w:b w:val="false"/>
          <w:i/>
          <w:caps w:val="false"/>
          <w:smallCaps w:val="false"/>
          <w:sz w:val="20"/>
        </w:rPr>
        <w:t>Fractional Shares and ADSs</w:t>
      </w:r>
      <w:r>
        <w:rPr>
          <w:rFonts w:ascii="Times New Roman;Times;Serif" w:hAnsi="Times New Roman;Times;Serif"/>
          <w:b w:val="false"/>
          <w:i w:val="false"/>
          <w:caps w:val="false"/>
          <w:smallCaps w:val="false"/>
          <w:sz w:val="20"/>
        </w:rPr>
        <w:t xml:space="preserve">, (x) Section 13 – </w:t>
      </w:r>
      <w:r>
        <w:rPr>
          <w:rFonts w:ascii="Times New Roman;Times;Serif" w:hAnsi="Times New Roman;Times;Serif"/>
          <w:b w:val="false"/>
          <w:i/>
          <w:caps w:val="false"/>
          <w:smallCaps w:val="false"/>
          <w:sz w:val="20"/>
        </w:rPr>
        <w:t>Incorporation of Certain Provisions by Reference,</w:t>
      </w:r>
      <w:r>
        <w:rPr>
          <w:rFonts w:ascii="Times New Roman;Times;Serif" w:hAnsi="Times New Roman;Times;Serif"/>
          <w:b w:val="false"/>
          <w:i w:val="false"/>
          <w:caps w:val="false"/>
          <w:smallCaps w:val="false"/>
          <w:sz w:val="20"/>
        </w:rPr>
        <w:t xml:space="preserve"> (xi) Section 14 – </w:t>
      </w:r>
      <w:r>
        <w:rPr>
          <w:rFonts w:ascii="Times New Roman;Times;Serif" w:hAnsi="Times New Roman;Times;Serif"/>
          <w:b w:val="false"/>
          <w:i/>
          <w:caps w:val="false"/>
          <w:smallCaps w:val="false"/>
          <w:sz w:val="20"/>
        </w:rPr>
        <w:t xml:space="preserve">Limited Depositary Obligation, </w:t>
      </w:r>
      <w:r>
        <w:rPr>
          <w:rFonts w:ascii="Times New Roman;Times;Serif" w:hAnsi="Times New Roman;Times;Serif"/>
          <w:b w:val="false"/>
          <w:i w:val="false"/>
          <w:caps w:val="false"/>
          <w:smallCaps w:val="false"/>
          <w:sz w:val="20"/>
        </w:rPr>
        <w:t xml:space="preserve">(xii) Section 15 – </w:t>
      </w:r>
      <w:r>
        <w:rPr>
          <w:rFonts w:ascii="Times New Roman;Times;Serif" w:hAnsi="Times New Roman;Times;Serif"/>
          <w:b w:val="false"/>
          <w:i/>
          <w:caps w:val="false"/>
          <w:smallCaps w:val="false"/>
          <w:sz w:val="20"/>
        </w:rPr>
        <w:t>Parties; Amendment; Assignment</w:t>
      </w:r>
      <w:r>
        <w:rPr>
          <w:rFonts w:ascii="Times New Roman;Times;Serif" w:hAnsi="Times New Roman;Times;Serif"/>
          <w:b w:val="false"/>
          <w:i w:val="false"/>
          <w:caps w:val="false"/>
          <w:smallCaps w:val="false"/>
          <w:sz w:val="20"/>
        </w:rPr>
        <w:t xml:space="preserve">, and (xiii) Section 16 – </w:t>
      </w:r>
      <w:r>
        <w:rPr>
          <w:rFonts w:ascii="Times New Roman;Times;Serif" w:hAnsi="Times New Roman;Times;Serif"/>
          <w:b w:val="false"/>
          <w:i/>
          <w:caps w:val="false"/>
          <w:smallCaps w:val="false"/>
          <w:sz w:val="20"/>
        </w:rPr>
        <w:t>F-6 Registration Statement</w:t>
      </w:r>
      <w:r>
        <w:rPr>
          <w:rFonts w:ascii="Times New Roman;Times;Serif" w:hAnsi="Times New Roman;Times;Serif"/>
          <w:b w:val="false"/>
          <w:i w:val="false"/>
          <w:caps w:val="false"/>
          <w:smallCaps w:val="false"/>
          <w:sz w:val="20"/>
        </w:rPr>
        <w:t>. For the avoidance of doubt, to the extent Designated Restricted ADSs are issued under and pursuant to the terms of this Affiliate and Restricted Securities Series Supplement, the above referenced provisions set forth in the Restricted ADS Letter Agreement shall apply to such Designated Restricted ADSs and the transactions contemplated herein, except to the extent specifically modified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Depositary Fees</w:t>
      </w:r>
      <w:r>
        <w:rPr>
          <w:rFonts w:ascii="Times New Roman;Times;Serif" w:hAnsi="Times New Roman;Times;Serif"/>
          <w:b w:val="false"/>
          <w:i w:val="false"/>
          <w:caps w:val="false"/>
          <w:smallCaps w:val="false"/>
          <w:sz w:val="20"/>
        </w:rPr>
        <w:t>. Without limitation of any fees, costs and expenses otherwise payable by the Restricted Holder(s) pursuant to the Deposit Agreement (some of which fees payable to the Depositary under the Deposit Agreement may be cumulative), and subject to any other agreements between the Company and the Depositary with respect to the manner in which, and the amount of, the fees payable to the Depositary hereunder are paid, the Company and the Depositary agree that the Restricted Holder(s) (or the Company if the Company and the Depositary have agreed otherwise) shall pay to the Depositary: (i) any and all fees, costs and expenses payable under the terms of the Deposit Agreement, the Restricted ADS Letter Agreement and this Affiliate and Restricted Securities Series Supplement, and (ii) all costs and expenses (including all related legal fees) incurred by or on behalf of the Depositary, in each case in connection with the transactions contemplated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 The parties hereto agree to duly execute and deliver, or cause to be duly executed and delivered, such further documents and instruments and do and cause to be done such further acts as may be reasonably requested by the other party in order to implement the terms and provisions of this Affiliate and Restricted Securities Series Supplement and to effectuate the purpose and intent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Original Restricted ADS Letter Agreement</w:t>
      </w:r>
      <w:r>
        <w:rPr>
          <w:rFonts w:ascii="Times New Roman;Times;Serif" w:hAnsi="Times New Roman;Times;Serif"/>
          <w:b w:val="false"/>
          <w:i w:val="false"/>
          <w:caps w:val="false"/>
          <w:smallCaps w:val="false"/>
          <w:sz w:val="20"/>
        </w:rPr>
        <w:t>. The Company and the Depositary hereby agree that the terms set forth in this Affiliate and Restricted Securities Series Supplement shall apply only to the Designated Restricted ADSs and not to Restricted ADSs pursuant to any other Restricted ADS Series Supplement(s). Accordingly, only Holders and Beneficial Owners of the Designated Restricted ADSs issued pursuant to this Affiliate and Restricted Securities Series Supplement shall be subject to all of the terms and conditions of, the Restricted ADS Letter Agreement and this Affiliate and Restricted Securities Series Supplement in all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Affiliate and Restricted Securities Series Supplement may be executed in one or more counterparts, each of which shall be deemed an original and all of such counterparts shall constitute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Depositary have caused this Affiliate and Restricted Securities Series Supplement to be executed and delivered on their behalf by their respective officers thereunto duly authorized as of the date set forth above.</w:t>
      </w:r>
    </w:p>
    <w:p>
      <w:pPr>
        <w:pStyle w:val="TextBody"/>
        <w:bidi w:val="0"/>
        <w:spacing w:before="0" w:after="0"/>
        <w:ind w:left="0" w:right="0" w:firstLine="144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365"/>
        <w:gridCol w:w="2270"/>
      </w:tblGrid>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b/>
              </w:rPr>
            </w:pPr>
            <w:r>
              <w:rPr>
                <w:b/>
              </w:rPr>
              <w:t>ABIVAX SA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70" w:type="dxa"/>
            <w:tcBorders>
              <w:bottom w:val="single" w:sz="8" w:space="0" w:color="000000"/>
            </w:tcBorders>
            <w:tcMar>
              <w:bottom w:w="28" w:type="dxa"/>
            </w:tcMar>
            <w:vAlign w:val="center"/>
          </w:tcPr>
          <w:p>
            <w:pPr>
              <w:pStyle w:val="TableContents"/>
              <w:bidi w:val="0"/>
              <w:spacing w:before="0" w:after="283"/>
              <w:jc w:val="left"/>
              <w:rPr/>
            </w:pPr>
            <w:r>
              <w:rPr/>
              <w:t>/s/ Marc de Garidel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Name: Marc de Garidel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Title:   CEO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Citibank, N.a.,</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caps/>
              </w:rPr>
              <w:t> </w:t>
            </w:r>
            <w:r>
              <w:rPr>
                <w:rFonts w:ascii="Times New Roman;Times;Serif" w:hAnsi="Times New Roman;Times;Serif"/>
                <w:b/>
              </w:rPr>
              <w:t>as Depositary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70" w:type="dxa"/>
            <w:tcBorders>
              <w:bottom w:val="single" w:sz="8" w:space="0" w:color="000000"/>
            </w:tcBorders>
            <w:tcMar>
              <w:bottom w:w="28" w:type="dxa"/>
            </w:tcMar>
            <w:vAlign w:val="center"/>
          </w:tcPr>
          <w:p>
            <w:pPr>
              <w:pStyle w:val="TableContents"/>
              <w:bidi w:val="0"/>
              <w:spacing w:before="0" w:after="283"/>
              <w:jc w:val="left"/>
              <w:rPr/>
            </w:pPr>
            <w:r>
              <w:rPr/>
              <w:t>/s/ Joseph Connor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Name: Joseph Connor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Title:   Attorney in Fact</w:t>
            </w:r>
          </w:p>
        </w:tc>
      </w:tr>
    </w:tbl>
    <w:p>
      <w:pPr>
        <w:pStyle w:val="TextBody"/>
        <w:bidi w:val="0"/>
        <w:spacing w:before="0" w:after="283"/>
        <w:jc w:val="left"/>
        <w:rPr/>
      </w:pPr>
      <w:r>
        <w:rPr/>
        <w:t> </w:t>
      </w:r>
    </w:p>
    <w:p>
      <w:pPr>
        <w:pStyle w:val="TextBody"/>
        <w:pBdr>
          <w:bottom w:val="single" w:sz="8" w:space="1" w:color="000000"/>
        </w:pBdr>
        <w:bidi w:val="0"/>
        <w:jc w:val="center"/>
        <w:rPr/>
      </w:pPr>
      <w:r>
        <w:rPr/>
        <w:t>7</w:t>
      </w:r>
    </w:p>
    <w:p>
      <w:pPr>
        <w:pStyle w:val="TextBody"/>
        <w:bidi w:val="0"/>
        <w:spacing w:before="0" w:after="0"/>
        <w:ind w:left="0" w:right="0" w:hanging="0"/>
        <w:jc w:val="left"/>
        <w:rPr/>
      </w:pPr>
      <w:bookmarkStart w:id="10" w:name="e665785_ex99-biv.htm"/>
      <w:bookmarkStart w:id="11" w:name="kse665785_ex99biv"/>
      <w:bookmarkEnd w:id="10"/>
      <w:bookmarkEnd w:id="11"/>
      <w:r>
        <w:rPr/>
        <w:t> </w:t>
      </w:r>
      <w:r>
        <w:br w:type="page"/>
      </w:r>
    </w:p>
    <w:p>
      <w:pPr>
        <w:pStyle w:val="TextBody"/>
        <w:bidi w:val="0"/>
        <w:spacing w:before="0" w:after="0"/>
        <w:jc w:val="center"/>
        <w:rPr>
          <w:u w:val="single"/>
        </w:rPr>
      </w:pPr>
      <w:r>
        <w:rPr>
          <w:u w:val="single"/>
        </w:rPr>
        <w:t>Exhibit (b)(iv)</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tab/>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tab/>
        <w:t>Lin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Program ADSs (CUSIP No.: 00370M103)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Deposit Agreement, dated as of October 24, 2023, as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and its successors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w:t>
      </w:r>
      <w:r>
        <w:rPr>
          <w:rFonts w:ascii="Times New Roman;Times;Serif" w:hAnsi="Times New Roman;Times;Serif"/>
          <w:b w:val="false"/>
          <w:i w:val="false"/>
          <w:caps w:val="false"/>
          <w:smallCaps w:val="false"/>
          <w:sz w:val="20"/>
          <w:u w:val="single"/>
        </w:rPr>
        <w:t>Citibank</w:t>
      </w:r>
      <w:r>
        <w:rPr>
          <w:rFonts w:ascii="Times New Roman;Times;Serif" w:hAnsi="Times New Roman;Times;Serif"/>
          <w:b w:val="false"/>
          <w:i w:val="false"/>
          <w:caps w:val="false"/>
          <w:smallCaps w:val="false"/>
          <w:sz w:val="20"/>
        </w:rPr>
        <w:t>”)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All capitalized terms used, but not otherwise defined herein, shall have the meaning assigned thereto in the Deposit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upon the terms set forth in that certain Purchase Agreement, dated as of May 4,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and among the Company and each holder identified on the signature pages thereto (each, a “</w:t>
      </w:r>
      <w:r>
        <w:rPr>
          <w:rFonts w:ascii="Times New Roman;Times;Serif" w:hAnsi="Times New Roman;Times;Serif"/>
          <w:b w:val="false"/>
          <w:i w:val="false"/>
          <w:caps w:val="false"/>
          <w:smallCaps w:val="false"/>
          <w:sz w:val="20"/>
          <w:u w:val="single"/>
        </w:rPr>
        <w:t>Royalty Certificate 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Royalty Certificate Holders</w:t>
      </w:r>
      <w:r>
        <w:rPr>
          <w:rFonts w:ascii="Times New Roman;Times;Serif" w:hAnsi="Times New Roman;Times;Serif"/>
          <w:b w:val="false"/>
          <w:i w:val="false"/>
          <w:caps w:val="false"/>
          <w:smallCaps w:val="false"/>
          <w:sz w:val="20"/>
        </w:rPr>
        <w:t>”), agreed to purchase (the “</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certain royalty certificates (the “</w:t>
      </w:r>
      <w:r>
        <w:rPr>
          <w:rFonts w:ascii="Times New Roman;Times;Serif" w:hAnsi="Times New Roman;Times;Serif"/>
          <w:b w:val="false"/>
          <w:i w:val="false"/>
          <w:caps w:val="false"/>
          <w:smallCaps w:val="false"/>
          <w:sz w:val="20"/>
          <w:u w:val="single"/>
        </w:rPr>
        <w:t>Royalty Certificates</w:t>
      </w:r>
      <w:r>
        <w:rPr>
          <w:rFonts w:ascii="Times New Roman;Times;Serif" w:hAnsi="Times New Roman;Times;Serif"/>
          <w:b w:val="false"/>
          <w:i w:val="false"/>
          <w:caps w:val="false"/>
          <w:smallCaps w:val="false"/>
          <w:sz w:val="20"/>
        </w:rPr>
        <w:t xml:space="preserve">”) from, and presently held by, the Royalty Certificate Holders set forth on the List of Royalty Certificate Holders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List of Royalty Certificate Holders</w:t>
      </w:r>
      <w:r>
        <w:rPr>
          <w:rFonts w:ascii="Times New Roman;Times;Serif" w:hAnsi="Times New Roman;Times;Serif"/>
          <w:b w:val="false"/>
          <w:i w:val="false"/>
          <w:caps w:val="false"/>
          <w:smallCaps w:val="false"/>
          <w:sz w:val="20"/>
        </w:rPr>
        <w:t xml:space="preserve">”) in exchange for,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an aggregate of 403,347 ordinary shares, par value €0.01 per share, of the Company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deliverable in the form of unrestricted ADSs (the “</w:t>
      </w:r>
      <w:r>
        <w:rPr>
          <w:rFonts w:ascii="Times New Roman;Times;Serif" w:hAnsi="Times New Roman;Times;Serif"/>
          <w:b w:val="false"/>
          <w:i w:val="false"/>
          <w:caps w:val="false"/>
          <w:smallCaps w:val="false"/>
          <w:sz w:val="20"/>
          <w:u w:val="single"/>
        </w:rPr>
        <w:t>Program ADSs</w:t>
      </w:r>
      <w:r>
        <w:rPr>
          <w:rFonts w:ascii="Times New Roman;Times;Serif" w:hAnsi="Times New Roman;Times;Serif"/>
          <w:b w:val="false"/>
          <w:i w:val="false"/>
          <w:caps w:val="false"/>
          <w:smallCaps w:val="false"/>
          <w:sz w:val="20"/>
        </w:rPr>
        <w:t>”), each representing one (1) Ordinary Share, with such Program ADSs to be issued and delivered, by the Depositary to the Royalty Certificate Holders, in accordance with the terms and subject to the conditions herein and in the Deposit Agreement. The Ordinary Shares underlying the Program ADSs shall initially be issued to the Royalty Certificate Holders by the Company upon the exemptions from registration afforded by the provisions of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Program ADSs representing such Ordinary Shares have been registered for resale pursuant to an automatic shelf registration statement on Form F-3 (File No.: 333-288884)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July 23, 2025 and which became automatically effective upon filing, which Registration Statement includes a base prospectus relating to certain securities to be offered from time to time by the Company, and a prospectus supplement, specifically relating to the Program ADSs, which was filed with the Commission on May 7,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and intent of this letter agreement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is to set forth the terms and conditions upon which (i) the Company, for each Royalty Certificate Holder, shall deposit Ordinary Shares with Citibank Europe plc (the “</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and (ii) the Depositary shall issue and deliver, at the direction of the Company and each Royalty Certificate Holder, Program ADSs in accordance with the terms and conditions set forth in the Deposit Agreement and this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confirms our understanding and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Deposit of Ordinary Shares</w:t>
      </w:r>
      <w:r>
        <w:rPr>
          <w:rFonts w:ascii="Times New Roman;Times;Serif" w:hAnsi="Times New Roman;Times;Serif"/>
          <w:b w:val="false"/>
          <w:i w:val="false"/>
          <w:caps w:val="false"/>
          <w:smallCaps w:val="false"/>
          <w:sz w:val="20"/>
        </w:rPr>
        <w:t>. The Company and the Depositary hereby agree that the Ordinary Shares underlying the Program ADSs to be delivered in connection with the Purchase shall be deposited by, or on behalf of, the Company with the Custodian under the Deposit Agreement in accordance with the terms hereof and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confirms that at the time of delivery to the Custodian (x) the Ordinary Shares to be deposited with the Custodian (i) will have been duly authorized and will be validly issued, fully paid, and non-assessable (to the extent applicable under the laws of France), and therefore not subject to any call for the payment of further capital, (ii)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and therefore will be fully fungible with the Shares then on deposit with the Custodian under the Deposit Agreement, (iii) will be legally issued to, and deposited with, the Custodian, the Depositary, or any nominee of the Custodian or the Depositary, as the case may be, and will not be stripped of any rights or entitlements by the Company prior to or upon deposit with the Custodian, (iv) will be free and clear of any lien, encumbrance, security interest, charge, mortgage or adverse claim, including, without limitation, any claim related to liabilities arising from the imposition of stamp duty taxes, and (y) there will be no pre-emptive rights (and any similar rights) with respect to the Ordinary Shares to be deposited with the Custodian that have not been waived, disapplied or exercised or otherwise lapsed.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Issuance and Delivery of Program ADSs upon Ordinary Share Deposit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hereby instructs the Depositary to issue Program ADSs against the deposit of Ordinary Shares by, or on behalf of, the Company, and deliver such Program ADSs at the direction of each Royalty Certificate Holder and the Company, subject to compliance with the terms and conditions of the Deposit Agreement and this Letter Agreement, including without limitation, the receipt by the Custodian or on behalf of the Depositary of the applicable Ordinary Shares and the receipt, by the Depositary, of the applicable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 hereby agrees to issue Program ADSs representing the right to receive such Ordinary Shares in accordance with the Deposit Agreement upon receipt of (i) the opinions referred to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Letter Agreement, (ii) confirmation of deposit of the applicable Ordinary Shares by, or on behalf of, the Company, (iii) the corresponding fees referred to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Letter Agreement, and (iv) a Program Issuance and Delivery Instruction substantially in the form annexed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hereby represents and warrants to the Depositary that (i) the Program ADSs, when issued and delivered against payment therefor by way of setting off against certain, liquid, and due claims against the Company at the time of subscription, will be transferable by the Royalty Certificate Holders pursuant to the Registration Statement and consistent with the “Plan of Distribution” contained in the prospectus supplement relating to the Program ADSs or pursuant to a valid securities law exemption; and there are no legal restrictions on subsequent transfers of the Program ADSs under the laws of France or the United States (assuming such transfers are done pursuant to the Registration Statement and consistent with the “Plan of Distribution” contained in the prospectus supplement relating to the Program ADSs or pursuant to a valid securities law exemption), and (ii) it will cause the Ordinary Shares underlying the Program ADSs deliverable in connection with the Purchase to be timely deposited with the Custodian or on behalf of the Depositary.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2</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Opinions and Certificates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furtherance of the foregoing, the Company shall, (i) at the time of execution of this Letter Agreement, provide the Depositary with (x) an opinion of its French counsel (its “</w:t>
      </w:r>
      <w:r>
        <w:rPr>
          <w:rFonts w:ascii="Times New Roman;Times;Serif" w:hAnsi="Times New Roman;Times;Serif"/>
          <w:b w:val="false"/>
          <w:i w:val="false"/>
          <w:caps w:val="false"/>
          <w:smallCaps w:val="false"/>
          <w:sz w:val="20"/>
          <w:u w:val="single"/>
        </w:rPr>
        <w:t>French Counsel</w:t>
      </w:r>
      <w:r>
        <w:rPr>
          <w:rFonts w:ascii="Times New Roman;Times;Serif" w:hAnsi="Times New Roman;Times;Serif"/>
          <w:b w:val="false"/>
          <w:i w:val="false"/>
          <w:caps w:val="false"/>
          <w:smallCaps w:val="false"/>
          <w:sz w:val="20"/>
        </w:rPr>
        <w:t>”) to the Depositary which addresses, among other things, that subject to customary and appropriate assumptions and qualifications, (a) the execution, delivery and performance of this Letter Agreement have been authorized by and on behalf of the Company and, upon the execution and unconditional delivery of this Letter Agreement by a director, officer or other authorized person for and on behalf of the Company, this Letter Agreement will have been duly executed on behalf of the Company, and (b) the execution and delivery of this Letter Agreement by the Company and the exercise by the Company of its rights and performance of its obligations under this Letter Agreement do not and will not contravene or conflict with any laws of France normally applicable to transactions of the type contemplated by this Letter Agreement, any provision of its constitutional documents, any order or judgment of any court or other agency of government applicable to it or any of its assets, and (y) an opinion of its U.S. counsel (its “</w:t>
      </w:r>
      <w:r>
        <w:rPr>
          <w:rFonts w:ascii="Times New Roman;Times;Serif" w:hAnsi="Times New Roman;Times;Serif"/>
          <w:b w:val="false"/>
          <w:i w:val="false"/>
          <w:caps w:val="false"/>
          <w:smallCaps w:val="false"/>
          <w:sz w:val="20"/>
          <w:u w:val="single"/>
        </w:rPr>
        <w:t>U.S. Counsel</w:t>
      </w:r>
      <w:r>
        <w:rPr>
          <w:rFonts w:ascii="Times New Roman;Times;Serif" w:hAnsi="Times New Roman;Times;Serif"/>
          <w:b w:val="false"/>
          <w:i w:val="false"/>
          <w:caps w:val="false"/>
          <w:smallCaps w:val="false"/>
          <w:sz w:val="20"/>
        </w:rPr>
        <w:t xml:space="preserve">”) to the Depositary which addresses, among other things, that subject to customary and appropriate assumptions and qualifications, assuming its due authorization, execution and delivery, this Letter Agreement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(ii) concurrently with each deposit of Ordinary Shares and request for issuance and delivery of the corresponding Program ADSs to, or for the benefit of, a Royalty Certificate Holders, (x) an opinion of its French Counsel to the Depositary which addresses, among other things, that subject to customary and appropriate assumptions and qualifications, (a) the issuance and deposit of the Ordinary Shares and the exercise by the Company of its rights and the performance of its obligations under this Letter Agreement will not require any consents, approvals or authorizations to be obtained by the Company, or any registrations, declarations or filings to be made by the Company, in each case under any French law or regulation applicable to the Company that have not been obtained or made, and (b) when Ordinary Shares underlying any Program ADSs are issued and deposited in accordance with the terms of this Letter Agreement, the officers and/or directors of the Company will have been duly and validly authorized to deposit such Ordinary Shares and such Ordinary Shares will be validly issued, fully paid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and be fully fungible with the other issued Shares then on deposit with the Custodian on behalf of the Depositary and underlying the ADSs then outstanding, and (y) an opinion of its U.S. Counsel to the Depositary which addresses, among other things, that subject to customary and appropriate assumptions and qualifications, (a) the issuance and delivery of Program ADSs against the deposit of Ordinary Shares does not violate the registration requirements of the Securities Act, (b) the Registration Statement registers the resale of the Program ADSs by, or on behalf of, each Royalty Certificate Holder, (c) the Program ADSs may be sold by the Royalty Certificate Holders pursuant to the Registration Statement in a manner consistent with the “Plan of Distribution” specified in the prospectus supplement relating to the Program ADSs, and (d) the Registration Statement has become effective under the Securities Act and no stop order suspending the effectiveness of the Registration Statement has been issued.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3</w:t>
      </w:r>
    </w:p>
    <w:p>
      <w:pPr>
        <w:pStyle w:val="TextBody"/>
        <w:bidi w:val="0"/>
        <w:spacing w:before="0" w:after="0"/>
        <w:jc w:val="center"/>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Fees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Subject to any other agreements between the Company and the Depositary with respect to applicable fees, including the manner in which the fees payable to the Depositary hereunder are paid, the Company and the Depositary agree that the Company (or the Royalty Certificate Holders, if the Company and the Royalty Certificate Holders have agreed otherwise) shall pay to the Depositary: (i) an ADS issuance fee of up to US$0.05 per Program ADS issued in accordance with the terms hereunder, and (ii) all costs and expenses (including all related legal fees) incurred by or on behalf of the Depositary in connection with the issuance and delivery of Program ADSs as contemplated by this Letter Agreement. For the avoidance of doubt, the Company (or the Royalty Certificate Holders, if the Company and the Royalty Certificate Holders have otherwise agreed) shall pay all such other fees, costs and expenses payable under the terms of the Deposit Agreement. The Company will notify the Depositary prior to deposit if any Royalty Certificate Holder is paying the Depositary fees.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Fractional Shares and Program ADSs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to the contrary in the Deposit Agreement, the Company will not deliver to the Depositary or the Custodian in connection with the issuance of Program ADSs, and the Depositary shall not be required to accept, under any circumstances (a) any fraction of an Ordinary Share, nor (b) a number of Ordinary Shares which, upon application of the ADS-to-Share ratio, would give rise to a fraction of a Program ADS.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F-6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and the Company hereto confirm that a signed conformed copy of this Letter Agreement shall be filed as an exhibit to the next Registration Statement on Form F-6 (or next amendment to any existing Registration Statement on Form F-6 currently on file) that may be filed in respect of the ADSs.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and the Depositary each hereby acknowledges and agrees that its indemnification obligations contained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Deposit Agreement shall, to the extent not unlawful, apply to all of the terms, conditions, obligations and performances under this Letter Agreement as if they were set forth in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to duly execute and deliver, or cause to be duly executed and delivered, such further documents and instruments and do and cause to be done such further acts, as may be reasonably requested by the other party in order to implement the terms and provisions of this Letter Agreement and to effectuate the purpose and intent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8" w:space="1" w:color="000000"/>
        </w:rPr>
      </w:pPr>
      <w:r>
        <w:rPr>
          <w:bdr w:val="single" w:sz="8" w:space="1" w:color="000000"/>
        </w:rPr>
        <w:t>4</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Letter Agreement shall be interpreted and all rights hereunder and the provisions hereof shall be governed by the laws of the State of New York.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Letter Agreement shall be binding upon the parties hereto, and their respective legal successors and permanent assigns.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Letter Agreement may not be modified or amended except by a writing signed by both parties hereto.</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Letter Agreement may be executed in counterparts, each of which shall be deemed to be an original, and all of which, taken together, shall constitute one and the same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Depositary have caused this Letter Agreement to be executed and delivered on their behalf by their respective officers thereunto duly authorized as of the date set forth above.</w:t>
      </w:r>
    </w:p>
    <w:p>
      <w:pPr>
        <w:pStyle w:val="TextBody"/>
        <w:bidi w:val="0"/>
        <w:spacing w:before="0" w:after="0"/>
        <w:ind w:left="504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695"/>
        <w:gridCol w:w="2300"/>
      </w:tblGrid>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b/>
              </w:rPr>
            </w:pPr>
            <w:r>
              <w:rPr>
                <w:b/>
              </w:rPr>
              <w:t>ABIVAX SA</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By:  </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Marc de Garidel</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Marc de Garidel</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Title: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985"/>
        <w:gridCol w:w="2379"/>
        <w:gridCol w:w="75"/>
      </w:tblGrid>
      <w:tr>
        <w:trPr/>
        <w:tc>
          <w:tcPr>
            <w:tcW w:w="3364" w:type="dxa"/>
            <w:gridSpan w:val="2"/>
            <w:tcBorders/>
            <w:vAlign w:val="center"/>
          </w:tcPr>
          <w:p>
            <w:pPr>
              <w:pStyle w:val="TableContents"/>
              <w:bidi w:val="0"/>
              <w:spacing w:before="0" w:after="283"/>
              <w:jc w:val="left"/>
              <w:rPr>
                <w:b/>
              </w:rPr>
            </w:pPr>
            <w:r>
              <w:rPr>
                <w:b/>
              </w:rPr>
              <w:t>CITIBANK, N.A., as Depositary</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 </w:t>
            </w:r>
          </w:p>
        </w:tc>
        <w:tc>
          <w:tcPr>
            <w:tcW w:w="237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By:  </w:t>
            </w:r>
          </w:p>
        </w:tc>
        <w:tc>
          <w:tcPr>
            <w:tcW w:w="2379" w:type="dxa"/>
            <w:tcBorders>
              <w:bottom w:val="single" w:sz="8" w:space="0" w:color="000000"/>
            </w:tcBorders>
            <w:tcMar>
              <w:bottom w:w="28" w:type="dxa"/>
            </w:tcMar>
            <w:vAlign w:val="center"/>
          </w:tcPr>
          <w:p>
            <w:pPr>
              <w:pStyle w:val="TableContents"/>
              <w:bidi w:val="0"/>
              <w:spacing w:before="0" w:after="283"/>
              <w:jc w:val="left"/>
              <w:rPr/>
            </w:pPr>
            <w:r>
              <w:rPr/>
              <w:t>/s/ Joseph Connor</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Name:</w:t>
            </w:r>
          </w:p>
        </w:tc>
        <w:tc>
          <w:tcPr>
            <w:tcW w:w="2379" w:type="dxa"/>
            <w:tcBorders/>
            <w:vAlign w:val="center"/>
          </w:tcPr>
          <w:p>
            <w:pPr>
              <w:pStyle w:val="TableContents"/>
              <w:bidi w:val="0"/>
              <w:spacing w:before="0" w:after="283"/>
              <w:jc w:val="left"/>
              <w:rPr/>
            </w:pPr>
            <w:r>
              <w:rPr/>
              <w:t>Joseph Connor</w:t>
            </w:r>
          </w:p>
        </w:tc>
        <w:tc>
          <w:tcPr>
            <w:tcW w:w="75" w:type="dxa"/>
            <w:tcBorders/>
            <w:vAlign w:val="center"/>
          </w:tcPr>
          <w:p>
            <w:pPr>
              <w:pStyle w:val="TableContents"/>
              <w:bidi w:val="0"/>
              <w:spacing w:before="0" w:after="283"/>
              <w:jc w:val="left"/>
              <w:rPr/>
            </w:pPr>
            <w:r>
              <w:rPr/>
              <w:t> </w:t>
            </w:r>
          </w:p>
        </w:tc>
      </w:tr>
      <w:tr>
        <w:trPr/>
        <w:tc>
          <w:tcPr>
            <w:tcW w:w="985" w:type="dxa"/>
            <w:tcBorders/>
            <w:vAlign w:val="center"/>
          </w:tcPr>
          <w:p>
            <w:pPr>
              <w:pStyle w:val="TableContents"/>
              <w:bidi w:val="0"/>
              <w:spacing w:before="0" w:after="283"/>
              <w:jc w:val="left"/>
              <w:rPr/>
            </w:pPr>
            <w:r>
              <w:rPr/>
              <w:t>Title:   </w:t>
            </w:r>
          </w:p>
        </w:tc>
        <w:tc>
          <w:tcPr>
            <w:tcW w:w="2379" w:type="dxa"/>
            <w:tcBorders/>
            <w:vAlign w:val="center"/>
          </w:tcPr>
          <w:p>
            <w:pPr>
              <w:pStyle w:val="TableContents"/>
              <w:bidi w:val="0"/>
              <w:spacing w:before="0" w:after="283"/>
              <w:jc w:val="left"/>
              <w:rPr/>
            </w:pPr>
            <w:r>
              <w:rPr/>
              <w:t>Attorney in 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Agreement, dated as of May 7,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t>
      </w:r>
      <w:r>
        <w:rPr>
          <w:rFonts w:ascii="Times New Roman;Times;Serif" w:hAnsi="Times New Roman;Times;Serif"/>
          <w:b/>
          <w:i w:val="false"/>
          <w:caps w:val="false"/>
          <w:smallCaps w:val="false"/>
          <w:sz w:val="20"/>
          <w:u w:val="single"/>
        </w:rPr>
        <w:t>Letter Agreement</w:t>
      </w:r>
      <w:r>
        <w:rPr>
          <w:rFonts w:ascii="Times New Roman;Times;Serif" w:hAnsi="Times New Roman;Times;Serif"/>
          <w:b/>
          <w:i w:val="false"/>
          <w:caps w:val="false"/>
          <w:smallCaps w:val="false"/>
          <w:sz w:val="20"/>
        </w:rPr>
        <w:t>”), by and between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Royalty Certificate Holders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635"/>
        <w:gridCol w:w="2615"/>
        <w:gridCol w:w="2787"/>
        <w:gridCol w:w="2168"/>
      </w:tblGrid>
      <w:tr>
        <w:trPr/>
        <w:tc>
          <w:tcPr>
            <w:tcW w:w="26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Name</w:t>
            </w:r>
          </w:p>
        </w:tc>
        <w:tc>
          <w:tcPr>
            <w:tcW w:w="26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Value of Royalty Certificates to be Purchased</w:t>
            </w:r>
          </w:p>
        </w:tc>
        <w:tc>
          <w:tcPr>
            <w:tcW w:w="27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Subject Ordinary Shares to be Deposited</w:t>
            </w:r>
          </w:p>
        </w:tc>
        <w:tc>
          <w:tcPr>
            <w:tcW w:w="216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Program ADS to be Issued</w:t>
            </w:r>
          </w:p>
        </w:tc>
      </w:tr>
      <w:tr>
        <w:trPr/>
        <w:tc>
          <w:tcPr>
            <w:tcW w:w="263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pPr>
            <w:r>
              <w:rPr/>
              <w:t>TCG Crossover Fund I, L.P.</w:t>
            </w:r>
          </w:p>
        </w:tc>
        <w:tc>
          <w:tcPr>
            <w:tcW w:w="261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$13,680,000</w:t>
            </w:r>
          </w:p>
        </w:tc>
        <w:tc>
          <w:tcPr>
            <w:tcW w:w="278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122,618</w:t>
            </w:r>
          </w:p>
        </w:tc>
        <w:tc>
          <w:tcPr>
            <w:tcW w:w="2168"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122,618</w:t>
            </w:r>
          </w:p>
        </w:tc>
      </w:tr>
      <w:tr>
        <w:trPr/>
        <w:tc>
          <w:tcPr>
            <w:tcW w:w="26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pPr>
            <w:r>
              <w:rPr/>
              <w:t>VHCP ABVX Holdings, LLC</w:t>
            </w:r>
          </w:p>
        </w:tc>
        <w:tc>
          <w:tcPr>
            <w:tcW w:w="26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$11,925,000</w:t>
            </w:r>
          </w:p>
        </w:tc>
        <w:tc>
          <w:tcPr>
            <w:tcW w:w="27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106,887</w:t>
            </w:r>
          </w:p>
        </w:tc>
        <w:tc>
          <w:tcPr>
            <w:tcW w:w="216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106,887</w:t>
            </w:r>
          </w:p>
        </w:tc>
      </w:tr>
      <w:tr>
        <w:trPr/>
        <w:tc>
          <w:tcPr>
            <w:tcW w:w="263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pPr>
            <w:r>
              <w:rPr/>
              <w:t>Deep Track Biotechnology Master Fund, Ltd.</w:t>
            </w:r>
          </w:p>
        </w:tc>
        <w:tc>
          <w:tcPr>
            <w:tcW w:w="261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$9,180,000</w:t>
            </w:r>
          </w:p>
        </w:tc>
        <w:tc>
          <w:tcPr>
            <w:tcW w:w="278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82,283</w:t>
            </w:r>
          </w:p>
        </w:tc>
        <w:tc>
          <w:tcPr>
            <w:tcW w:w="2168"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82,283</w:t>
            </w:r>
          </w:p>
        </w:tc>
      </w:tr>
      <w:tr>
        <w:trPr/>
        <w:tc>
          <w:tcPr>
            <w:tcW w:w="26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pPr>
            <w:r>
              <w:rPr/>
              <w:t xml:space="preserve">Sofinnova Crossover I SLP </w:t>
            </w:r>
          </w:p>
        </w:tc>
        <w:tc>
          <w:tcPr>
            <w:tcW w:w="26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$4,770,000</w:t>
            </w:r>
          </w:p>
        </w:tc>
        <w:tc>
          <w:tcPr>
            <w:tcW w:w="27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42,755</w:t>
            </w:r>
          </w:p>
        </w:tc>
        <w:tc>
          <w:tcPr>
            <w:tcW w:w="216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42,755</w:t>
            </w:r>
          </w:p>
        </w:tc>
      </w:tr>
      <w:tr>
        <w:trPr/>
        <w:tc>
          <w:tcPr>
            <w:tcW w:w="263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pPr>
            <w:r>
              <w:rPr/>
              <w:t>Invus Public Equities, L.P.</w:t>
            </w:r>
          </w:p>
        </w:tc>
        <w:tc>
          <w:tcPr>
            <w:tcW w:w="261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$3,015,000</w:t>
            </w:r>
          </w:p>
        </w:tc>
        <w:tc>
          <w:tcPr>
            <w:tcW w:w="278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27,024</w:t>
            </w:r>
          </w:p>
        </w:tc>
        <w:tc>
          <w:tcPr>
            <w:tcW w:w="2168"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27,024</w:t>
            </w:r>
          </w:p>
        </w:tc>
      </w:tr>
      <w:tr>
        <w:trPr/>
        <w:tc>
          <w:tcPr>
            <w:tcW w:w="26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pPr>
            <w:r>
              <w:rPr/>
              <w:t>FPCI BioMedTech</w:t>
            </w:r>
          </w:p>
        </w:tc>
        <w:tc>
          <w:tcPr>
            <w:tcW w:w="26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$1,620,000</w:t>
            </w:r>
          </w:p>
        </w:tc>
        <w:tc>
          <w:tcPr>
            <w:tcW w:w="27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14,520</w:t>
            </w:r>
          </w:p>
        </w:tc>
        <w:tc>
          <w:tcPr>
            <w:tcW w:w="216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14,520</w:t>
            </w:r>
          </w:p>
        </w:tc>
      </w:tr>
      <w:tr>
        <w:trPr/>
        <w:tc>
          <w:tcPr>
            <w:tcW w:w="263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center"/>
              <w:rPr/>
            </w:pPr>
            <w:r>
              <w:rPr/>
              <w:t>Santé Holding Srl</w:t>
            </w:r>
          </w:p>
        </w:tc>
        <w:tc>
          <w:tcPr>
            <w:tcW w:w="261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$810,000</w:t>
            </w:r>
          </w:p>
        </w:tc>
        <w:tc>
          <w:tcPr>
            <w:tcW w:w="2787"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7,260</w:t>
            </w:r>
          </w:p>
        </w:tc>
        <w:tc>
          <w:tcPr>
            <w:tcW w:w="2168"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center"/>
              <w:rPr/>
            </w:pPr>
            <w:r>
              <w:rPr/>
              <w:t>7,260</w:t>
            </w:r>
          </w:p>
        </w:tc>
      </w:tr>
      <w:tr>
        <w:trPr/>
        <w:tc>
          <w:tcPr>
            <w:tcW w:w="26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b/>
              </w:rPr>
            </w:pPr>
            <w:r>
              <w:rPr>
                <w:b/>
              </w:rPr>
              <w:t>Total</w:t>
            </w:r>
          </w:p>
        </w:tc>
        <w:tc>
          <w:tcPr>
            <w:tcW w:w="26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b/>
              </w:rPr>
            </w:pPr>
            <w:r>
              <w:rPr>
                <w:b/>
              </w:rPr>
              <w:t>$45,000,000</w:t>
            </w:r>
          </w:p>
        </w:tc>
        <w:tc>
          <w:tcPr>
            <w:tcW w:w="27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b/>
              </w:rPr>
            </w:pPr>
            <w:r>
              <w:rPr>
                <w:b/>
              </w:rPr>
              <w:t>403,347</w:t>
            </w:r>
          </w:p>
        </w:tc>
        <w:tc>
          <w:tcPr>
            <w:tcW w:w="216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b/>
              </w:rPr>
            </w:pPr>
            <w:r>
              <w:rPr>
                <w:b/>
              </w:rPr>
              <w:t>403,347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A-1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Agreement, dated as of May 7,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t>
      </w:r>
      <w:r>
        <w:rPr>
          <w:rFonts w:ascii="Times New Roman;Times;Serif" w:hAnsi="Times New Roman;Times;Serif"/>
          <w:b/>
          <w:i w:val="false"/>
          <w:caps w:val="false"/>
          <w:smallCaps w:val="false"/>
          <w:sz w:val="20"/>
          <w:u w:val="single"/>
        </w:rPr>
        <w:t>Letter Agreement</w:t>
      </w:r>
      <w:r>
        <w:rPr>
          <w:rFonts w:ascii="Times New Roman;Times;Serif" w:hAnsi="Times New Roman;Times;Serif"/>
          <w:b/>
          <w:i w:val="false"/>
          <w:caps w:val="false"/>
          <w:smallCaps w:val="false"/>
          <w:sz w:val="20"/>
        </w:rPr>
        <w:t>”), by and between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ABIVAX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 Issuance and Delivery Instruction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Depositary</w:t>
        <w:br/>
        <w:t>388 Greenwich Street</w:t>
        <w:br/>
        <w:t>New York, New York 10013</w:t>
      </w:r>
    </w:p>
    <w:tbl>
      <w:tblPr>
        <w:tblW w:w="5275" w:type="dxa"/>
        <w:jc w:val="left"/>
        <w:tblInd w:w="0" w:type="dxa"/>
        <w:tblLayout w:type="fixed"/>
        <w:tblCellMar>
          <w:top w:w="0" w:type="dxa"/>
          <w:left w:w="0" w:type="dxa"/>
          <w:bottom w:w="0" w:type="dxa"/>
          <w:right w:w="0" w:type="dxa"/>
        </w:tblCellMar>
      </w:tblPr>
      <w:tblGrid>
        <w:gridCol w:w="575"/>
        <w:gridCol w:w="4700"/>
      </w:tblGrid>
      <w:tr>
        <w:trPr/>
        <w:tc>
          <w:tcPr>
            <w:tcW w:w="575" w:type="dxa"/>
            <w:tcBorders/>
            <w:vAlign w:val="center"/>
          </w:tcPr>
          <w:p>
            <w:pPr>
              <w:pStyle w:val="TableContents"/>
              <w:bidi w:val="0"/>
              <w:spacing w:before="0" w:after="283"/>
              <w:jc w:val="left"/>
              <w:rPr/>
            </w:pPr>
            <w:r>
              <w:rPr/>
              <w:t>Attn.:</w:t>
            </w:r>
          </w:p>
        </w:tc>
        <w:tc>
          <w:tcPr>
            <w:tcW w:w="4700" w:type="dxa"/>
            <w:tcBorders/>
            <w:vAlign w:val="center"/>
          </w:tcPr>
          <w:p>
            <w:pPr>
              <w:pStyle w:val="TableContents"/>
              <w:bidi w:val="0"/>
              <w:spacing w:before="0" w:after="283"/>
              <w:jc w:val="left"/>
              <w:rPr/>
            </w:pPr>
            <w:r>
              <w:rPr/>
              <w:t>Lin Kong (</w:t>
            </w:r>
            <w:r>
              <w:rPr>
                <w:u w:val="single"/>
              </w:rPr>
              <w:t>lin.kong@citi.com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Keith Galfo (</w:t>
            </w:r>
            <w:r>
              <w:rPr>
                <w:u w:val="single"/>
              </w:rPr>
              <w:t>keith.galfo@citi.com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Leslie DeLuca (</w:t>
            </w:r>
            <w:r>
              <w:rPr>
                <w:u w:val="single"/>
              </w:rPr>
              <w:t>leslie.deluca@citi.com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Joseph Connor (</w:t>
            </w:r>
            <w:r>
              <w:rPr>
                <w:u w:val="single"/>
              </w:rPr>
              <w:t>joseph.connor@citi.com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James Lee (</w:t>
            </w:r>
            <w:r>
              <w:rPr>
                <w:u w:val="single"/>
              </w:rPr>
              <w:t>james3.lee@citi.com</w:t>
            </w:r>
            <w:r>
              <w:rPr/>
              <w:t>)</w:t>
            </w:r>
          </w:p>
        </w:tc>
      </w:tr>
      <w:tr>
        <w:trPr/>
        <w:tc>
          <w:tcPr>
            <w:tcW w:w="5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DR Broker Services (</w:t>
            </w:r>
            <w:r>
              <w:rPr>
                <w:u w:val="single"/>
              </w:rPr>
              <w:t>drbrokerservices@citi.com</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simultaneously delivered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Europe plc</w:t>
        <w:br/>
        <w:t>1 North Wall Quay</w:t>
        <w:br/>
        <w:t>Dublin 1</w:t>
        <w:br/>
        <w:t>Republic of Ireland</w:t>
      </w:r>
    </w:p>
    <w:tbl>
      <w:tblPr>
        <w:tblW w:w="2650" w:type="dxa"/>
        <w:jc w:val="left"/>
        <w:tblInd w:w="0" w:type="dxa"/>
        <w:tblLayout w:type="fixed"/>
        <w:tblCellMar>
          <w:top w:w="0" w:type="dxa"/>
          <w:left w:w="0" w:type="dxa"/>
          <w:bottom w:w="0" w:type="dxa"/>
          <w:right w:w="0" w:type="dxa"/>
        </w:tblCellMar>
      </w:tblPr>
      <w:tblGrid>
        <w:gridCol w:w="650"/>
        <w:gridCol w:w="2000"/>
      </w:tblGrid>
      <w:tr>
        <w:trPr/>
        <w:tc>
          <w:tcPr>
            <w:tcW w:w="650" w:type="dxa"/>
            <w:tcBorders/>
            <w:vAlign w:val="center"/>
          </w:tcPr>
          <w:p>
            <w:pPr>
              <w:pStyle w:val="TableContents"/>
              <w:bidi w:val="0"/>
              <w:spacing w:before="0" w:after="283"/>
              <w:jc w:val="left"/>
              <w:rPr/>
            </w:pPr>
            <w:r>
              <w:rPr/>
              <w:t>Email:</w:t>
            </w:r>
          </w:p>
        </w:tc>
        <w:tc>
          <w:tcPr>
            <w:tcW w:w="2000" w:type="dxa"/>
            <w:tcBorders/>
            <w:vAlign w:val="center"/>
          </w:tcPr>
          <w:p>
            <w:pPr>
              <w:pStyle w:val="TableContents"/>
              <w:bidi w:val="0"/>
              <w:spacing w:before="0" w:after="283"/>
              <w:jc w:val="left"/>
              <w:rPr>
                <w:u w:val="single"/>
              </w:rPr>
            </w:pPr>
            <w:r>
              <w:rPr>
                <w:u w:val="single"/>
              </w:rPr>
              <w:t>dccdubadr@citi.com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Patterson Belknap Webb &amp; Tyler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 Avenue of the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tbl>
      <w:tblPr>
        <w:tblW w:w="4300" w:type="dxa"/>
        <w:jc w:val="left"/>
        <w:tblInd w:w="0" w:type="dxa"/>
        <w:tblLayout w:type="fixed"/>
        <w:tblCellMar>
          <w:top w:w="0" w:type="dxa"/>
          <w:left w:w="0" w:type="dxa"/>
          <w:bottom w:w="0" w:type="dxa"/>
          <w:right w:w="0" w:type="dxa"/>
        </w:tblCellMar>
      </w:tblPr>
      <w:tblGrid>
        <w:gridCol w:w="515"/>
        <w:gridCol w:w="3785"/>
      </w:tblGrid>
      <w:tr>
        <w:trPr/>
        <w:tc>
          <w:tcPr>
            <w:tcW w:w="515" w:type="dxa"/>
            <w:tcBorders/>
            <w:vAlign w:val="center"/>
          </w:tcPr>
          <w:p>
            <w:pPr>
              <w:pStyle w:val="TableContents"/>
              <w:bidi w:val="0"/>
              <w:spacing w:before="0" w:after="283"/>
              <w:jc w:val="left"/>
              <w:rPr/>
            </w:pPr>
            <w:r>
              <w:rPr/>
              <w:t>Attn:</w:t>
            </w:r>
          </w:p>
        </w:tc>
        <w:tc>
          <w:tcPr>
            <w:tcW w:w="3785" w:type="dxa"/>
            <w:tcBorders/>
            <w:vAlign w:val="center"/>
          </w:tcPr>
          <w:p>
            <w:pPr>
              <w:pStyle w:val="TableContents"/>
              <w:bidi w:val="0"/>
              <w:spacing w:before="0" w:after="283"/>
              <w:jc w:val="left"/>
              <w:rPr/>
            </w:pPr>
            <w:r>
              <w:rPr/>
              <w:t>Jean-Claude Lanza (</w:t>
            </w:r>
            <w:r>
              <w:rPr>
                <w:u w:val="single"/>
              </w:rPr>
              <w:t>jlanza@pbwt.com</w:t>
            </w:r>
            <w:r>
              <w:rPr/>
              <w:t>)</w:t>
            </w:r>
          </w:p>
        </w:tc>
      </w:tr>
      <w:tr>
        <w:trPr/>
        <w:tc>
          <w:tcPr>
            <w:tcW w:w="51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Daniel Graf (</w:t>
            </w:r>
            <w:r>
              <w:rPr>
                <w:u w:val="single"/>
              </w:rPr>
              <w:t>dgraf@pbwt.com</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Abivax SA (CUSIP No.: 00370M103) – Program Issuance and Delivery Instruction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 Deposit Agreement, dated as of October 24, 2023, as amended and supplemented from time to time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by and among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and its successors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Citibank, N.A., a national banking association (“</w:t>
      </w:r>
      <w:r>
        <w:rPr>
          <w:rFonts w:ascii="Times New Roman;Times;Serif" w:hAnsi="Times New Roman;Times;Serif"/>
          <w:b w:val="false"/>
          <w:i w:val="false"/>
          <w:caps w:val="false"/>
          <w:smallCaps w:val="false"/>
          <w:sz w:val="20"/>
          <w:u w:val="single"/>
        </w:rPr>
        <w:t>Citibank</w:t>
      </w:r>
      <w:r>
        <w:rPr>
          <w:rFonts w:ascii="Times New Roman;Times;Serif" w:hAnsi="Times New Roman;Times;Serif"/>
          <w:b w:val="false"/>
          <w:i w:val="false"/>
          <w:caps w:val="false"/>
          <w:smallCaps w:val="false"/>
          <w:sz w:val="20"/>
        </w:rPr>
        <w:t>”) organized and existing under the laws of the United States of America, as Depositary (the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all Holders and Beneficial Owners of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issued thereunder, and (ii) Royalty Certificate Letter Agreement, dated as of May 4, 2026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by and between the Company and the Depositary. Capitalized terms used but not defined herein shall have the meanings given to them in the Deposit Agreement, or, in the event so noted herein, in the Letter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B-1</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limitations set forth in the Deposit Agreement as supplemented by the Letter Agreement and promptly following the Depositary’s receipt of confirmation from the Custodian that the Custodian has received a deposit of the number of Ordinary Shares (as such term is defined in the Letter Agreement and hereinafter used as so defined) specified below from, or on behalf of, the Company in connection with the Purchase (as such term is defined in the Letter Agreement), [●] (the “</w:t>
      </w:r>
      <w:r>
        <w:rPr>
          <w:rFonts w:ascii="Times New Roman;Times;Serif" w:hAnsi="Times New Roman;Times;Serif"/>
          <w:b w:val="false"/>
          <w:i w:val="false"/>
          <w:caps w:val="false"/>
          <w:smallCaps w:val="false"/>
          <w:sz w:val="20"/>
          <w:u w:val="single"/>
        </w:rPr>
        <w:t>Royalty Certificate Holder</w:t>
      </w:r>
      <w:r>
        <w:rPr>
          <w:rFonts w:ascii="Times New Roman;Times;Serif" w:hAnsi="Times New Roman;Times;Serif"/>
          <w:b w:val="false"/>
          <w:i w:val="false"/>
          <w:caps w:val="false"/>
          <w:smallCaps w:val="false"/>
          <w:sz w:val="20"/>
        </w:rPr>
        <w:t>”) and the Company hereby jointly instruct the Depositary, and the Depositary hereby agrees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promptly accept for deposit the number of Ordinary Shares and issue the number of Program ADSs in each case as specified below:</w:t>
      </w:r>
    </w:p>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333"/>
        <w:gridCol w:w="2872"/>
      </w:tblGrid>
      <w:tr>
        <w:trPr/>
        <w:tc>
          <w:tcPr>
            <w:tcW w:w="73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Ordinary Shares deposited:</w:t>
            </w:r>
          </w:p>
        </w:tc>
        <w:tc>
          <w:tcPr>
            <w:tcW w:w="287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br/>
              <w:t>____________ Ordinary Shares</w:t>
            </w:r>
          </w:p>
        </w:tc>
      </w:tr>
      <w:tr>
        <w:trPr/>
        <w:tc>
          <w:tcPr>
            <w:tcW w:w="73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Number of Program ADSs (CUSIP No.: 00370M103); each Program ADS representing one (1) Ordinary Share to be issued:</w:t>
            </w:r>
          </w:p>
        </w:tc>
        <w:tc>
          <w:tcPr>
            <w:tcW w:w="28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br/>
              <w:t>____________ Program ADSs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(ii) to promptly deliver such Program ADSs,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263"/>
        <w:gridCol w:w="2942"/>
      </w:tblGrid>
      <w:tr>
        <w:trPr/>
        <w:tc>
          <w:tcPr>
            <w:tcW w:w="726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Name of DTC Participant to which the Program ADSs are to be delivered:</w:t>
            </w:r>
          </w:p>
        </w:tc>
        <w:tc>
          <w:tcPr>
            <w:tcW w:w="29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DTC Participant Account No.:</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Account No. for recipient of Program ADSs at DTC Participant (f/b/o information):</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 on whose behalf the above number of Program ADSs are to be issued and delivered:</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Contact person at DTC Participant:</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_____________________________</w:t>
            </w:r>
          </w:p>
        </w:tc>
      </w:tr>
      <w:tr>
        <w:trPr/>
        <w:tc>
          <w:tcPr>
            <w:tcW w:w="726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Daytime telephone number of contact person at DTC Participant:</w:t>
            </w:r>
          </w:p>
        </w:tc>
        <w:tc>
          <w:tcPr>
            <w:tcW w:w="29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br/>
              <w:t>_____________________________</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B-2</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represents, warrants, and certifies to the Depositary that, as of the date hereof, (i) the Ordinary Shares being deposited into the ADS facility for the purpose of the issuance of the corresponding Program ADSs (a) have been duly authorized and are validly issued, fully paid, and non-assessable (to the extent applicable under the laws of France) and therefore not subject to any call for the payment of further capital,, (b)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and therefore are fully fungible with the Shares on deposit with the Custodian under the Deposit Agreement, (c) have been or will be legally issued to, and deposited with, the Custodian, the Depositary, or any nominee of the Custodian or the Depositary, as the case may be, and will not be stripped of any rights or entitlements by the Company prior to or upon deposit with the Custodian, (d) have been or will be free and clear of any lien, encumbrance, security interest, charge, mortgage or adverse claim, including, without limitation, any claim related to liabilities arising from the imposition of stamp duty taxes, (ii) there are no pre-emptive rights (and any similar rights) with respect to the Ordinary Shares to be deposited with the Custodian that have not been waived, exercised or lapsed, (iii)(a)(x) the Registration Statement (as such term is defined in the Letter Agreement and hereinafter used as so defined) registers the resale of the Ordinary Shares represented by Program ADSs, such Program ADSs will be transferable following the issuance thereof by the Depositary pursuant to the Registration Statement and consistent with the “Plan of Distribution” contained in the prospectus supplement relating to the Program ADSs or pursuant to a valid securities law exemption, and there are no legal restrictions on subsequent transfers of the Program ADSs to be issued hereunder under the laws of France or the United States (assuming such transfers are done pursuant to the Registration Statement and consistent with the “Plan of Distribution” contained in the prospectus supplement relating to the Program ADSs or pursuant to a valid securities law exemption), (y) the Registration Statement is effective under the Securities Act (as such term is defined in the Letter Agreement and hereinafter used as so defined), and (z) no stop order suspending the effectiveness of the Registration Statement has been issued and no proceedings for such purpose have been instituted or are pending or, to the best knowledge of the Company, are contemplated or threatened by the Commission, and (b)(x) the Prospectus Supplement (as such term is defined in the Letter Agreement) has been filed with the Commission pursuant to Rule 424(b)(7) and, upon such filing, formed a part of the Registration Statement and complied in all material respects with the Securities Act and the rules and regulations thereunder, and (y) no order preventing or suspending the use of the Prospectus Supplement has been issued and no proceedings for such purpose have been instituted or are pending or, to the best knowledge of the Company, are contemplated or threatened by the Commission, (iv) the execution of each of the Purchase Agreement and associated subscription forms, the Deposit Agreement and the Letter Agreement by the Company and the performance of the Company’s obligations thereunder serve its corporate interests (</w:t>
      </w:r>
      <w:r>
        <w:rPr>
          <w:rFonts w:ascii="Times New Roman;Times;Serif" w:hAnsi="Times New Roman;Times;Serif"/>
          <w:b w:val="false"/>
          <w:i/>
          <w:caps w:val="false"/>
          <w:smallCaps w:val="false"/>
          <w:sz w:val="20"/>
        </w:rPr>
        <w:t>conforme à son intérêt social</w:t>
      </w:r>
      <w:r>
        <w:rPr>
          <w:rFonts w:ascii="Times New Roman;Times;Serif" w:hAnsi="Times New Roman;Times;Serif"/>
          <w:b w:val="false"/>
          <w:i w:val="false"/>
          <w:caps w:val="false"/>
          <w:smallCaps w:val="false"/>
          <w:sz w:val="20"/>
        </w:rPr>
        <w:t>), and (v) no decision, proceedings, filing, or request relating to any proceedings set out in Book VI of the French Commercial Code (</w:t>
      </w:r>
      <w:r>
        <w:rPr>
          <w:rFonts w:ascii="Times New Roman;Times;Serif" w:hAnsi="Times New Roman;Times;Serif"/>
          <w:b w:val="false"/>
          <w:i/>
          <w:caps w:val="false"/>
          <w:smallCaps w:val="false"/>
          <w:sz w:val="20"/>
        </w:rPr>
        <w:t>Livre VI du Code de commerce</w:t>
      </w:r>
      <w:r>
        <w:rPr>
          <w:rFonts w:ascii="Times New Roman;Times;Serif" w:hAnsi="Times New Roman;Times;Serif"/>
          <w:b w:val="false"/>
          <w:i w:val="false"/>
          <w:caps w:val="false"/>
          <w:smallCaps w:val="false"/>
          <w:sz w:val="20"/>
        </w:rPr>
        <w:t>) has been taken, initiated, or filed against the Company between the date of the Examined Documents (as such term is defined in that certain Legal Opinion of the Company’s French counsel dated as of the date hereof and delivered to the Depositary pursuant to Section 4 of the Letter Agreement) and the date of such Legal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Certificate Holder represents, warrants, and certifies to the Depositary that the Royalty Certificate Holder will only transfer and/or sell Program ADSs pursuant to: (i) an effective registration statement under the Securities Act registering the Royalty Certificate Holder’s resale of the Program ADSs, which includes a prospectus that is current, and in the manner contemplated by such registration statement, including the “Plan of Distribution” contained therein, or (ii) Rule 144 promulgated by the Commission under the Securities Act (“Rule 144”) or another exemption from the registration requirements of the Securities Act, if available. The Royalty Certificate Holder further represents, warrants and certifies to the Depositary that if the Royalty Certificate Holder is an “affiliate” of the Company as defined under paragraph (a)(1) of Rule 144 at the time of, or during the three months preceding, any transfer or sale of Program ADSs, if it chooses to rely upon Rule 144 in connection with any such transfer or sale, it will comply with all the requirements of Rule 144 applicable to “affiliates”, including paragraph (c)(1) of Rule 144 (as set forth in subsection (1)(b) above) and the volume limitations and manner of sale conditions under paragraphs (e)(1) and (f) of Rule 144.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B-3</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separately waived in a signed writing received from the Depositary, the Company hereby agrees and acknowledges that an aggregate issuance fee in the amount of US$[●], being the sum of the per Program ADS issuance fee (US$0.05 per ADS) multiplied by the number of Program ADSs instructed to be issued above pursuant to this Program Issuance and Delivery Instruction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US$0.05 * [●]) (the “</w:t>
      </w:r>
      <w:r>
        <w:rPr>
          <w:rFonts w:ascii="Times New Roman;Times;Serif" w:hAnsi="Times New Roman;Times;Serif"/>
          <w:b w:val="false"/>
          <w:i w:val="false"/>
          <w:caps w:val="false"/>
          <w:smallCaps w:val="false"/>
          <w:sz w:val="20"/>
          <w:u w:val="single"/>
        </w:rPr>
        <w:t>Program ADS Issuance Fee</w:t>
      </w:r>
      <w:r>
        <w:rPr>
          <w:rFonts w:ascii="Times New Roman;Times;Serif" w:hAnsi="Times New Roman;Times;Serif"/>
          <w:b w:val="false"/>
          <w:i w:val="false"/>
          <w:caps w:val="false"/>
          <w:smallCaps w:val="false"/>
          <w:sz w:val="20"/>
        </w:rPr>
        <w:t>”), shall be due and payable to the Depositary prior to issuance of any Program ADSs. In the absence of such a signed waiver from the Depositary, the Company hereby agrees, acknowledges, and certifies that the Program ADS Issuance Fee has been paid to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each hereby further acknowledges that the Depositary shall have no obligation to issue any Program ADSs prior to its receipt of the Program ADS Issuance Fee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each of the parties hereto agrees and acknowledges that in the event the Depositary fails to receive payment in full of the Program ADS Issuance Fee, on or prior to the date hereof, the Depositary shall (i) not be obligated to perform any of the services contemplated by the Letter Agreement, including the issuance of the Program ADSs pursuant to this instruction, or the Letter Agreement, and (ii) incur no liability for its failure to undertake or perform any of the services contemplated by the Letter Agreement, including the issuance of the Program ADSs pursuant to this instruction, or otherwise contemplated to be undertaken or performed in connection with the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each hereby agrees (i) that if any of the above representations, warranties and/or covenants are false or incorrect in any way, the Depositary shall be authorized, at the cost and expense of the undersigned, to take any and all actions necessary to correct the consequences thereof, and (ii) to indemnify the Depositary, Custodian, and any of their respective directors, officers, employees, agents and affiliates for, and to hold the Depositary, Custodian, and any of their respective directors, officers, employees, agents and affiliates harmless against, all losses, liabilities, taxes, charges, penalties or expenses (including reasonable legal fees and disbursements), incurred by the Depositary and/or Custodian or to which the Depositary and/or Custodian may become subject to and arising, or that may arise, out of or in connection with the matters contemplated herein, including, without limitation, out of any untrue statement of fact, and any representation, warranty and/or covenant, in each case provided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Certificate Holder agrees that, in connection with the matters described above, the Company and its legal counsels, Cooley LLP and Dechert (Paris) LLP, may rely upon the statements, representations and warranties made herein for purposes of preparing and delivering any legal opinion(s) required in connection with the deposit of the Ordinary Shares and the issuance of the Program ADSs, and the Depositary is authorized to rely on this certificate in connection with the deposit of the Ordinary Shares and the issuance and delivery of the Program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B-4</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3906"/>
        <w:gridCol w:w="388"/>
        <w:gridCol w:w="60"/>
        <w:gridCol w:w="1228"/>
        <w:gridCol w:w="156"/>
      </w:tblGrid>
      <w:tr>
        <w:trPr/>
        <w:tc>
          <w:tcPr>
            <w:tcW w:w="4294" w:type="dxa"/>
            <w:gridSpan w:val="2"/>
            <w:tcBorders/>
            <w:vAlign w:val="center"/>
          </w:tcPr>
          <w:p>
            <w:pPr>
              <w:pStyle w:val="TableContents"/>
              <w:bidi w:val="0"/>
              <w:spacing w:before="0" w:after="283"/>
              <w:jc w:val="left"/>
              <w:rPr>
                <w:b/>
              </w:rPr>
            </w:pPr>
            <w:r>
              <w:rPr>
                <w:b/>
              </w:rPr>
              <w:t>[ROYALTY CERTIFICATE HOLDER]</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b/>
              </w:rPr>
            </w:pPr>
            <w:r>
              <w:rPr>
                <w:b/>
              </w:rPr>
              <w:t>ABIVAX SA</w:t>
            </w:r>
          </w:p>
        </w:tc>
      </w:tr>
      <w:tr>
        <w:trPr/>
        <w:tc>
          <w:tcPr>
            <w:tcW w:w="3906"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r>
      <w:tr>
        <w:trPr/>
        <w:tc>
          <w:tcPr>
            <w:tcW w:w="3906" w:type="dxa"/>
            <w:tcBorders/>
            <w:vAlign w:val="center"/>
          </w:tcPr>
          <w:p>
            <w:pPr>
              <w:pStyle w:val="TableContents"/>
              <w:bidi w:val="0"/>
              <w:spacing w:before="0" w:after="283"/>
              <w:jc w:val="left"/>
              <w:rPr/>
            </w:pPr>
            <w:r>
              <w:rPr/>
              <w:t>By:</w:t>
            </w:r>
          </w:p>
        </w:tc>
        <w:tc>
          <w:tcPr>
            <w:tcW w:w="38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By:</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906" w:type="dxa"/>
            <w:tcBorders/>
            <w:vAlign w:val="center"/>
          </w:tcPr>
          <w:p>
            <w:pPr>
              <w:pStyle w:val="TableContents"/>
              <w:bidi w:val="0"/>
              <w:spacing w:before="0" w:after="283"/>
              <w:jc w:val="left"/>
              <w:rPr/>
            </w:pPr>
            <w:r>
              <w:rPr/>
              <w:t>Name:</w:t>
            </w:r>
          </w:p>
        </w:tc>
        <w:tc>
          <w:tcPr>
            <w:tcW w:w="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Name:</w:t>
            </w:r>
          </w:p>
        </w:tc>
        <w:tc>
          <w:tcPr>
            <w:tcW w:w="156" w:type="dxa"/>
            <w:tcBorders/>
            <w:vAlign w:val="center"/>
          </w:tcPr>
          <w:p>
            <w:pPr>
              <w:pStyle w:val="TableContents"/>
              <w:bidi w:val="0"/>
              <w:spacing w:before="0" w:after="283"/>
              <w:jc w:val="left"/>
              <w:rPr/>
            </w:pPr>
            <w:r>
              <w:rPr/>
              <w:t> </w:t>
            </w:r>
          </w:p>
        </w:tc>
      </w:tr>
      <w:tr>
        <w:trPr/>
        <w:tc>
          <w:tcPr>
            <w:tcW w:w="3906" w:type="dxa"/>
            <w:tcBorders/>
            <w:vAlign w:val="center"/>
          </w:tcPr>
          <w:p>
            <w:pPr>
              <w:pStyle w:val="TableContents"/>
              <w:bidi w:val="0"/>
              <w:spacing w:before="0" w:after="283"/>
              <w:jc w:val="left"/>
              <w:rPr/>
            </w:pPr>
            <w:r>
              <w:rPr/>
              <w:t>Title:</w:t>
            </w:r>
          </w:p>
        </w:tc>
        <w:tc>
          <w:tcPr>
            <w:tcW w:w="3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Title:</w:t>
            </w:r>
          </w:p>
        </w:tc>
        <w:tc>
          <w:tcPr>
            <w:tcW w:w="15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pBdr>
          <w:bottom w:val="single" w:sz="8" w:space="1" w:color="000000"/>
        </w:pBdr>
        <w:bidi w:val="0"/>
        <w:jc w:val="center"/>
        <w:rPr/>
      </w:pPr>
      <w:r>
        <w:rPr/>
        <w:t>B-5</w:t>
      </w:r>
    </w:p>
    <w:p>
      <w:pPr>
        <w:pStyle w:val="TextBody"/>
        <w:bidi w:val="0"/>
        <w:jc w:val="left"/>
        <w:rPr/>
      </w:pPr>
      <w:bookmarkStart w:id="12" w:name="e665785_ex99-d.htm"/>
      <w:bookmarkStart w:id="13" w:name="kse665785_ex99d"/>
      <w:bookmarkEnd w:id="12"/>
      <w:bookmarkEnd w:id="13"/>
      <w:r>
        <w:rPr/>
        <w:t> </w:t>
      </w:r>
      <w:r>
        <w:br w:type="page"/>
      </w:r>
    </w:p>
    <w:p>
      <w:pPr>
        <w:pStyle w:val="TextBody"/>
        <w:bidi w:val="0"/>
        <w:jc w:val="center"/>
        <w:rPr/>
      </w:pPr>
      <w:r>
        <w:rPr/>
        <w:drawing>
          <wp:inline distT="0" distB="0" distL="0" distR="0">
            <wp:extent cx="7410450" cy="876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410450" cy="876300"/>
                    </a:xfrm>
                    <a:prstGeom prst="rect">
                      <a:avLst/>
                    </a:prstGeom>
                  </pic:spPr>
                </pic:pic>
              </a:graphicData>
            </a:graphic>
          </wp:inline>
        </w:drawing>
      </w: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 ADR Department</w:t>
        <w:br/>
        <w:t>388 Greenwich Street</w:t>
        <w:b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Registration Statement on Form F-6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to be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by the legal entity created by the Deposit Agreement (as hereinafter defined) for the purpose of registering under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100,000,000 American Depositary Shares (the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to be issued under the Deposit Agreement, dated as of October 24, 2023, by and among Citibank, N.A., as Depositary, Abivax SA, a limited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incorporated under the laws of France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Holders and Beneficial Owners (each as defined in the Deposit Agreement and hereinafter used as so defined) from time to time of ADSs issued thereunder, a conformed copy of which is being filed as Exhibit (a) to the Registration Statement (the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Each ADS will represent the right to receive, subject to the terms and conditions of the Deposit Agreement, French law and, if applicable, the American Depositary Receipt (“</w:t>
      </w:r>
      <w:r>
        <w:rPr>
          <w:rFonts w:ascii="Times New Roman;Times;Serif" w:hAnsi="Times New Roman;Times;Serif"/>
          <w:b w:val="false"/>
          <w:i w:val="false"/>
          <w:caps w:val="false"/>
          <w:smallCaps w:val="false"/>
          <w:sz w:val="20"/>
          <w:u w:val="single"/>
        </w:rPr>
        <w:t>ADR</w:t>
      </w:r>
      <w:r>
        <w:rPr>
          <w:rFonts w:ascii="Times New Roman;Times;Serif" w:hAnsi="Times New Roman;Times;Serif"/>
          <w:b w:val="false"/>
          <w:i w:val="false"/>
          <w:caps w:val="false"/>
          <w:smallCaps w:val="false"/>
          <w:sz w:val="20"/>
        </w:rPr>
        <w:t>”) evidencing such ADS, one (1) ordinary share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or in any document referred to herein is intended by this firm to be used, and the addressees hereof cannot use anything contained herein or in any document referred to herein, as tax advice.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00925"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400925" cy="619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br/>
        <w:t>Page 2</w:t>
      </w:r>
    </w:p>
    <w:p>
      <w:pPr>
        <w:pStyle w:val="TextBody"/>
        <w:bidi w:val="0"/>
        <w:spacing w:before="0" w:after="0"/>
        <w:ind w:left="0" w:right="0" w:hanging="0"/>
        <w:jc w:val="left"/>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757"/>
        <w:gridCol w:w="4527"/>
      </w:tblGrid>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rPr>
            </w:pPr>
            <w:r>
              <w:rPr>
                <w:b/>
              </w:rPr>
              <w:t>PATTERSON BELKNAP WEBB &amp; TYLER LLP</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By:</w:t>
            </w:r>
          </w:p>
        </w:tc>
        <w:tc>
          <w:tcPr>
            <w:tcW w:w="4527" w:type="dxa"/>
            <w:tcBorders>
              <w:bottom w:val="single" w:sz="8" w:space="0" w:color="000000"/>
            </w:tcBorders>
            <w:tcMar>
              <w:bottom w:w="28" w:type="dxa"/>
            </w:tcMar>
            <w:vAlign w:val="center"/>
          </w:tcPr>
          <w:p>
            <w:pPr>
              <w:pStyle w:val="TableContents"/>
              <w:bidi w:val="0"/>
              <w:spacing w:before="0" w:after="283"/>
              <w:jc w:val="left"/>
              <w:rPr/>
            </w:pPr>
            <w:r>
              <w:rPr/>
              <w:t>/s/ Jean-Claude Lanza</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83"/>
              <w:jc w:val="left"/>
              <w:rPr/>
            </w:pPr>
            <w:r>
              <w:rPr/>
              <w:t>A Member of the Firm</w:t>
            </w:r>
          </w:p>
        </w:tc>
      </w:tr>
    </w:tbl>
    <w:p>
      <w:pPr>
        <w:pStyle w:val="TextBody"/>
        <w:bidi w:val="0"/>
        <w:spacing w:before="0" w:after="283"/>
        <w:jc w:val="left"/>
        <w:rPr/>
      </w:pPr>
      <w:r>
        <w:rPr/>
        <w:t> </w:t>
      </w:r>
    </w:p>
    <w:p>
      <w:pPr>
        <w:pStyle w:val="TextBody"/>
        <w:pBdr>
          <w:bottom w:val="single" w:sz="8" w:space="1" w:color="000000"/>
        </w:pBdr>
        <w:bidi w:val="0"/>
        <w:jc w:val="center"/>
        <w:rPr/>
      </w:pPr>
      <w:r>
        <w:rPr/>
        <w:t> </w:t>
      </w:r>
    </w:p>
    <w:p>
      <w:pPr>
        <w:pStyle w:val="TextBody"/>
        <w:bidi w:val="0"/>
        <w:jc w:val="left"/>
        <w:rPr/>
      </w:pPr>
      <w:bookmarkStart w:id="14" w:name="e665785_ex99-e.htm"/>
      <w:bookmarkStart w:id="15" w:name="kse665785_ex99e"/>
      <w:bookmarkEnd w:id="14"/>
      <w:bookmarkEnd w:id="1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466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Citibank, N.A., represents and certifies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(i)</w:t>
            </w:r>
          </w:p>
        </w:tc>
        <w:tc>
          <w:tcPr>
            <w:tcW w:w="9895" w:type="dxa"/>
            <w:tcBorders/>
            <w:vAlign w:val="center"/>
          </w:tcPr>
          <w:p>
            <w:pPr>
              <w:pStyle w:val="TableContents"/>
              <w:bidi w:val="0"/>
              <w:spacing w:before="0" w:after="283"/>
              <w:jc w:val="both"/>
              <w:rPr/>
            </w:pPr>
            <w:r>
              <w:rPr/>
              <w:t>That it previously had filed a registration statement on Form F-6 (Registration No. 333-274845), which the U.S. Securities and Exchange Commission declared effective, with terms of deposit identical to the terms of deposit of this Form F-6 Registration Statement except for the number of shares each American Depositary Share represents; and</w:t>
            </w:r>
          </w:p>
        </w:tc>
      </w:tr>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That its ability to designate the date and time of effectiveness under Rule 466 has not been suspended.</w:t>
            </w:r>
          </w:p>
        </w:tc>
      </w:tr>
    </w:tbl>
    <w:p>
      <w:pPr>
        <w:pStyle w:val="TextBody"/>
        <w:bidi w:val="0"/>
        <w:spacing w:before="0" w:after="0"/>
        <w:ind w:left="1800" w:right="0" w:hanging="360"/>
        <w:jc w:val="both"/>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75"/>
        <w:gridCol w:w="433"/>
        <w:gridCol w:w="2781"/>
      </w:tblGrid>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CITIBANK, N.A., as Depositary</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27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By:</w:t>
            </w:r>
          </w:p>
        </w:tc>
        <w:tc>
          <w:tcPr>
            <w:tcW w:w="2781" w:type="dxa"/>
            <w:tcBorders>
              <w:bottom w:val="single" w:sz="8" w:space="0" w:color="000000"/>
            </w:tcBorders>
            <w:tcMar>
              <w:bottom w:w="28" w:type="dxa"/>
            </w:tcMar>
            <w:vAlign w:val="center"/>
          </w:tcPr>
          <w:p>
            <w:pPr>
              <w:pStyle w:val="TableContents"/>
              <w:bidi w:val="0"/>
              <w:spacing w:before="0" w:after="283"/>
              <w:jc w:val="left"/>
              <w:rPr/>
            </w:pPr>
            <w:r>
              <w:rPr/>
              <w:t>/s/ Leslie DeLuca</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2781" w:type="dxa"/>
            <w:tcBorders/>
            <w:vAlign w:val="center"/>
          </w:tcPr>
          <w:p>
            <w:pPr>
              <w:pStyle w:val="TableContents"/>
              <w:bidi w:val="0"/>
              <w:spacing w:before="0" w:after="283"/>
              <w:jc w:val="left"/>
              <w:rPr/>
            </w:pPr>
            <w:r>
              <w:rPr/>
              <w:t>Name:  Leslie DeLuca</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2781" w:type="dxa"/>
            <w:tcBorders/>
            <w:vAlign w:val="center"/>
          </w:tcPr>
          <w:p>
            <w:pPr>
              <w:pStyle w:val="TableContents"/>
              <w:bidi w:val="0"/>
              <w:spacing w:before="0" w:after="283"/>
              <w:jc w:val="left"/>
              <w:rPr/>
            </w:pPr>
            <w:r>
              <w:rPr/>
              <w:t>Title:    Attorney-in-Fact</w:t>
            </w:r>
          </w:p>
        </w:tc>
      </w:tr>
    </w:tbl>
    <w:p>
      <w:pPr>
        <w:pStyle w:val="TextBody"/>
        <w:bidi w:val="0"/>
        <w:spacing w:before="0" w:after="283"/>
        <w:jc w:val="left"/>
        <w:rPr/>
      </w:pPr>
      <w:r>
        <w:rPr/>
        <w:t> </w:t>
      </w:r>
    </w:p>
    <w:p>
      <w:pPr>
        <w:pStyle w:val="TextBody"/>
        <w:pBdr>
          <w:bottom w:val="single" w:sz="8" w:space="1" w:color="000000"/>
        </w:pBdr>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72215</Words>
  <Characters>385380</Characters>
  <CharactersWithSpaces>458183</CharactersWithSpaces>
  <Paragraphs>3784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