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23, 2026</w:t>
      </w:r>
    </w:p>
    <w:p>
      <w:pPr>
        <w:spacing w:after="0" w:line="30" w:lineRule="exact"/>
        <w:rPr>
          <w:sz w:val="24"/>
          <w:szCs w:val="24"/>
          <w:color w:val="auto"/>
        </w:rPr>
      </w:pPr>
    </w:p>
    <w:p>
      <w:pPr>
        <w:ind w:left="874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63500</wp:posOffset>
            </wp:positionV>
            <wp:extent cx="6921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105410</wp:posOffset>
            </wp:positionV>
            <wp:extent cx="6921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19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8" w:lineRule="auto"/>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Abivax SA</w:t>
      </w:r>
    </w:p>
    <w:p>
      <w:pPr>
        <w:spacing w:after="0" w:line="5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232410</wp:posOffset>
            </wp:positionV>
            <wp:extent cx="1450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tbl>
      <w:tblPr>
        <w:tblLayout w:type="fixed"/>
        <w:tblInd w:w="1700" w:type="dxa"/>
        <w:tblCellMar>
          <w:top w:w="0" w:type="dxa"/>
          <w:left w:w="0" w:type="dxa"/>
          <w:bottom w:w="0" w:type="dxa"/>
          <w:right w:w="0" w:type="dxa"/>
        </w:tblCellMar>
      </w:tblPr>
      <w:tr>
        <w:trPr>
          <w:trHeight w:val="211"/>
        </w:trPr>
        <w:tc>
          <w:tcPr>
            <w:tcW w:w="5640" w:type="dxa"/>
            <w:vAlign w:val="bottom"/>
            <w:gridSpan w:val="3"/>
          </w:tcPr>
          <w:p>
            <w:pPr>
              <w:jc w:val="center"/>
              <w:ind w:right="3540"/>
              <w:spacing w:after="0"/>
              <w:rPr>
                <w:sz w:val="20"/>
                <w:szCs w:val="20"/>
                <w:color w:val="auto"/>
              </w:rPr>
            </w:pPr>
            <w:r>
              <w:rPr>
                <w:rFonts w:ascii="Times New Roman" w:cs="Times New Roman" w:eastAsia="Times New Roman" w:hAnsi="Times New Roman"/>
                <w:sz w:val="18"/>
                <w:szCs w:val="18"/>
                <w:b w:val="1"/>
                <w:bCs w:val="1"/>
                <w:color w:val="auto"/>
                <w:w w:val="99"/>
              </w:rPr>
              <w:t>France</w:t>
            </w:r>
          </w:p>
        </w:tc>
        <w:tc>
          <w:tcPr>
            <w:tcW w:w="1720" w:type="dxa"/>
            <w:vAlign w:val="bottom"/>
          </w:tcPr>
          <w:p>
            <w:pPr>
              <w:jc w:val="center"/>
              <w:ind w:left="15"/>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147"/>
        </w:trPr>
        <w:tc>
          <w:tcPr>
            <w:tcW w:w="5640" w:type="dxa"/>
            <w:vAlign w:val="bottom"/>
            <w:gridSpan w:val="3"/>
          </w:tcPr>
          <w:p>
            <w:pPr>
              <w:jc w:val="center"/>
              <w:ind w:right="3540"/>
              <w:spacing w:after="0" w:line="147"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720" w:type="dxa"/>
            <w:vAlign w:val="bottom"/>
          </w:tcPr>
          <w:p>
            <w:pPr>
              <w:jc w:val="center"/>
              <w:ind w:left="15"/>
              <w:spacing w:after="0" w:line="147"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7"/>
        </w:trPr>
        <w:tc>
          <w:tcPr>
            <w:tcW w:w="5640" w:type="dxa"/>
            <w:vAlign w:val="bottom"/>
            <w:gridSpan w:val="3"/>
          </w:tcPr>
          <w:p>
            <w:pPr>
              <w:jc w:val="center"/>
              <w:ind w:right="35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720" w:type="dxa"/>
            <w:vAlign w:val="bottom"/>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01"/>
        </w:trPr>
        <w:tc>
          <w:tcPr>
            <w:tcW w:w="5640" w:type="dxa"/>
            <w:vAlign w:val="bottom"/>
            <w:gridSpan w:val="3"/>
          </w:tcPr>
          <w:p>
            <w:pPr>
              <w:jc w:val="center"/>
              <w:ind w:left="1756"/>
              <w:spacing w:after="0"/>
              <w:rPr>
                <w:sz w:val="20"/>
                <w:szCs w:val="20"/>
                <w:color w:val="auto"/>
              </w:rPr>
            </w:pPr>
            <w:r>
              <w:rPr>
                <w:rFonts w:ascii="Times New Roman" w:cs="Times New Roman" w:eastAsia="Times New Roman" w:hAnsi="Times New Roman"/>
                <w:sz w:val="18"/>
                <w:szCs w:val="18"/>
                <w:b w:val="1"/>
                <w:bCs w:val="1"/>
                <w:color w:val="auto"/>
                <w:w w:val="98"/>
              </w:rPr>
              <w:t>7-11 boulevard Haussmann 75009 Paris, France</w:t>
            </w:r>
          </w:p>
        </w:tc>
        <w:tc>
          <w:tcPr>
            <w:tcW w:w="1720" w:type="dxa"/>
            <w:vAlign w:val="bottom"/>
          </w:tcPr>
          <w:p>
            <w:pPr>
              <w:spacing w:after="0"/>
              <w:rPr>
                <w:sz w:val="24"/>
                <w:szCs w:val="24"/>
                <w:color w:val="auto"/>
              </w:rPr>
            </w:pPr>
          </w:p>
        </w:tc>
      </w:tr>
      <w:tr>
        <w:trPr>
          <w:trHeight w:val="187"/>
        </w:trPr>
        <w:tc>
          <w:tcPr>
            <w:tcW w:w="5640" w:type="dxa"/>
            <w:vAlign w:val="bottom"/>
            <w:gridSpan w:val="3"/>
          </w:tcPr>
          <w:p>
            <w:pPr>
              <w:jc w:val="center"/>
              <w:ind w:left="1756"/>
              <w:spacing w:after="0"/>
              <w:rPr>
                <w:sz w:val="20"/>
                <w:szCs w:val="20"/>
                <w:color w:val="auto"/>
              </w:rPr>
            </w:pPr>
            <w:r>
              <w:rPr>
                <w:rFonts w:ascii="Times New Roman" w:cs="Times New Roman" w:eastAsia="Times New Roman" w:hAnsi="Times New Roman"/>
                <w:sz w:val="14"/>
                <w:szCs w:val="14"/>
                <w:b w:val="1"/>
                <w:bCs w:val="1"/>
                <w:color w:val="auto"/>
              </w:rPr>
              <w:t>(Address of Registrant’s principal executive offices)</w:t>
            </w:r>
          </w:p>
        </w:tc>
        <w:tc>
          <w:tcPr>
            <w:tcW w:w="1720" w:type="dxa"/>
            <w:vAlign w:val="bottom"/>
          </w:tcPr>
          <w:p>
            <w:pPr>
              <w:spacing w:after="0"/>
              <w:rPr>
                <w:sz w:val="16"/>
                <w:szCs w:val="16"/>
                <w:color w:val="auto"/>
              </w:rPr>
            </w:pPr>
          </w:p>
        </w:tc>
      </w:tr>
      <w:tr>
        <w:trPr>
          <w:trHeight w:val="390"/>
        </w:trPr>
        <w:tc>
          <w:tcPr>
            <w:tcW w:w="2600" w:type="dxa"/>
            <w:vAlign w:val="bottom"/>
          </w:tcPr>
          <w:p>
            <w:pPr>
              <w:spacing w:after="0"/>
              <w:rPr>
                <w:sz w:val="24"/>
                <w:szCs w:val="24"/>
                <w:color w:val="auto"/>
              </w:rPr>
            </w:pPr>
          </w:p>
        </w:tc>
        <w:tc>
          <w:tcPr>
            <w:tcW w:w="304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8"/>
              </w:rPr>
              <w:t>Free share plan AGA 2025-6</w:t>
            </w:r>
          </w:p>
        </w:tc>
        <w:tc>
          <w:tcPr>
            <w:tcW w:w="1720" w:type="dxa"/>
            <w:vAlign w:val="bottom"/>
          </w:tcPr>
          <w:p>
            <w:pPr>
              <w:spacing w:after="0"/>
              <w:rPr>
                <w:sz w:val="24"/>
                <w:szCs w:val="24"/>
                <w:color w:val="auto"/>
              </w:rPr>
            </w:pPr>
          </w:p>
        </w:tc>
      </w:tr>
      <w:tr>
        <w:trPr>
          <w:trHeight w:val="214"/>
        </w:trPr>
        <w:tc>
          <w:tcPr>
            <w:tcW w:w="2600" w:type="dxa"/>
            <w:vAlign w:val="bottom"/>
          </w:tcPr>
          <w:p>
            <w:pPr>
              <w:spacing w:after="0"/>
              <w:rPr>
                <w:sz w:val="18"/>
                <w:szCs w:val="18"/>
                <w:color w:val="auto"/>
              </w:rPr>
            </w:pPr>
          </w:p>
        </w:tc>
        <w:tc>
          <w:tcPr>
            <w:tcW w:w="304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8"/>
              </w:rPr>
              <w:t>Free share plan AGA 2025-7</w:t>
            </w:r>
          </w:p>
        </w:tc>
        <w:tc>
          <w:tcPr>
            <w:tcW w:w="1720" w:type="dxa"/>
            <w:vAlign w:val="bottom"/>
          </w:tcPr>
          <w:p>
            <w:pPr>
              <w:spacing w:after="0"/>
              <w:rPr>
                <w:sz w:val="18"/>
                <w:szCs w:val="18"/>
                <w:color w:val="auto"/>
              </w:rPr>
            </w:pPr>
          </w:p>
        </w:tc>
      </w:tr>
      <w:tr>
        <w:trPr>
          <w:trHeight w:val="214"/>
        </w:trPr>
        <w:tc>
          <w:tcPr>
            <w:tcW w:w="2600" w:type="dxa"/>
            <w:vAlign w:val="bottom"/>
          </w:tcPr>
          <w:p>
            <w:pPr>
              <w:spacing w:after="0"/>
              <w:rPr>
                <w:sz w:val="18"/>
                <w:szCs w:val="18"/>
                <w:color w:val="auto"/>
              </w:rPr>
            </w:pPr>
          </w:p>
        </w:tc>
        <w:tc>
          <w:tcPr>
            <w:tcW w:w="304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8"/>
              </w:rPr>
              <w:t>Free share plan AGA 2025-8</w:t>
            </w:r>
          </w:p>
        </w:tc>
        <w:tc>
          <w:tcPr>
            <w:tcW w:w="1720" w:type="dxa"/>
            <w:vAlign w:val="bottom"/>
          </w:tcPr>
          <w:p>
            <w:pPr>
              <w:spacing w:after="0"/>
              <w:rPr>
                <w:sz w:val="18"/>
                <w:szCs w:val="18"/>
                <w:color w:val="auto"/>
              </w:rPr>
            </w:pPr>
          </w:p>
        </w:tc>
      </w:tr>
      <w:tr>
        <w:trPr>
          <w:trHeight w:val="214"/>
        </w:trPr>
        <w:tc>
          <w:tcPr>
            <w:tcW w:w="2600" w:type="dxa"/>
            <w:vAlign w:val="bottom"/>
          </w:tcPr>
          <w:p>
            <w:pPr>
              <w:spacing w:after="0"/>
              <w:rPr>
                <w:sz w:val="18"/>
                <w:szCs w:val="18"/>
                <w:color w:val="auto"/>
              </w:rPr>
            </w:pPr>
          </w:p>
        </w:tc>
        <w:tc>
          <w:tcPr>
            <w:tcW w:w="304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8"/>
              </w:rPr>
              <w:t>Free share plan AGA 2026-1</w:t>
            </w:r>
          </w:p>
        </w:tc>
        <w:tc>
          <w:tcPr>
            <w:tcW w:w="1720" w:type="dxa"/>
            <w:vAlign w:val="bottom"/>
          </w:tcPr>
          <w:p>
            <w:pPr>
              <w:spacing w:after="0"/>
              <w:rPr>
                <w:sz w:val="18"/>
                <w:szCs w:val="18"/>
                <w:color w:val="auto"/>
              </w:rPr>
            </w:pPr>
          </w:p>
        </w:tc>
      </w:tr>
      <w:tr>
        <w:trPr>
          <w:trHeight w:val="211"/>
        </w:trPr>
        <w:tc>
          <w:tcPr>
            <w:tcW w:w="5640" w:type="dxa"/>
            <w:vAlign w:val="bottom"/>
            <w:gridSpan w:val="3"/>
          </w:tcPr>
          <w:p>
            <w:pPr>
              <w:jc w:val="center"/>
              <w:ind w:left="1756"/>
              <w:spacing w:after="0"/>
              <w:rPr>
                <w:sz w:val="20"/>
                <w:szCs w:val="20"/>
                <w:color w:val="auto"/>
              </w:rPr>
            </w:pPr>
            <w:r>
              <w:rPr>
                <w:rFonts w:ascii="Times New Roman" w:cs="Times New Roman" w:eastAsia="Times New Roman" w:hAnsi="Times New Roman"/>
                <w:sz w:val="18"/>
                <w:szCs w:val="18"/>
                <w:b w:val="1"/>
                <w:bCs w:val="1"/>
                <w:color w:val="auto"/>
                <w:w w:val="98"/>
              </w:rPr>
              <w:t>Share warrants plan BSA-2026-1</w:t>
            </w:r>
          </w:p>
        </w:tc>
        <w:tc>
          <w:tcPr>
            <w:tcW w:w="1720" w:type="dxa"/>
            <w:vAlign w:val="bottom"/>
          </w:tcPr>
          <w:p>
            <w:pPr>
              <w:spacing w:after="0"/>
              <w:rPr>
                <w:sz w:val="18"/>
                <w:szCs w:val="18"/>
                <w:color w:val="auto"/>
              </w:rPr>
            </w:pPr>
          </w:p>
        </w:tc>
      </w:tr>
      <w:tr>
        <w:trPr>
          <w:trHeight w:val="187"/>
        </w:trPr>
        <w:tc>
          <w:tcPr>
            <w:tcW w:w="2600" w:type="dxa"/>
            <w:vAlign w:val="bottom"/>
          </w:tcPr>
          <w:p>
            <w:pPr>
              <w:spacing w:after="0"/>
              <w:rPr>
                <w:sz w:val="16"/>
                <w:szCs w:val="16"/>
                <w:color w:val="auto"/>
              </w:rPr>
            </w:pPr>
          </w:p>
        </w:tc>
        <w:tc>
          <w:tcPr>
            <w:tcW w:w="304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(Full title of the plans)</w:t>
            </w:r>
          </w:p>
        </w:tc>
        <w:tc>
          <w:tcPr>
            <w:tcW w:w="1720" w:type="dxa"/>
            <w:vAlign w:val="bottom"/>
          </w:tcPr>
          <w:p>
            <w:pPr>
              <w:spacing w:after="0"/>
              <w:rPr>
                <w:sz w:val="16"/>
                <w:szCs w:val="16"/>
                <w:color w:val="auto"/>
              </w:rPr>
            </w:pPr>
          </w:p>
        </w:tc>
      </w:tr>
      <w:tr>
        <w:trPr>
          <w:trHeight w:val="390"/>
        </w:trPr>
        <w:tc>
          <w:tcPr>
            <w:tcW w:w="2600" w:type="dxa"/>
            <w:vAlign w:val="bottom"/>
          </w:tcPr>
          <w:p>
            <w:pPr>
              <w:spacing w:after="0"/>
              <w:rPr>
                <w:sz w:val="24"/>
                <w:szCs w:val="24"/>
                <w:color w:val="auto"/>
              </w:rPr>
            </w:pPr>
          </w:p>
        </w:tc>
        <w:tc>
          <w:tcPr>
            <w:tcW w:w="304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8"/>
              </w:rPr>
              <w:t>Marc de Garidel</w:t>
            </w:r>
          </w:p>
        </w:tc>
        <w:tc>
          <w:tcPr>
            <w:tcW w:w="1720" w:type="dxa"/>
            <w:vAlign w:val="bottom"/>
          </w:tcPr>
          <w:p>
            <w:pPr>
              <w:spacing w:after="0"/>
              <w:rPr>
                <w:sz w:val="24"/>
                <w:szCs w:val="24"/>
                <w:color w:val="auto"/>
              </w:rPr>
            </w:pPr>
          </w:p>
        </w:tc>
      </w:tr>
      <w:tr>
        <w:trPr>
          <w:trHeight w:val="214"/>
        </w:trPr>
        <w:tc>
          <w:tcPr>
            <w:tcW w:w="2600" w:type="dxa"/>
            <w:vAlign w:val="bottom"/>
          </w:tcPr>
          <w:p>
            <w:pPr>
              <w:spacing w:after="0"/>
              <w:rPr>
                <w:sz w:val="18"/>
                <w:szCs w:val="18"/>
                <w:color w:val="auto"/>
              </w:rPr>
            </w:pPr>
          </w:p>
        </w:tc>
        <w:tc>
          <w:tcPr>
            <w:tcW w:w="304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Chief Executive Officer</w:t>
            </w:r>
          </w:p>
        </w:tc>
        <w:tc>
          <w:tcPr>
            <w:tcW w:w="1720" w:type="dxa"/>
            <w:vAlign w:val="bottom"/>
          </w:tcPr>
          <w:p>
            <w:pPr>
              <w:spacing w:after="0"/>
              <w:rPr>
                <w:sz w:val="18"/>
                <w:szCs w:val="18"/>
                <w:color w:val="auto"/>
              </w:rPr>
            </w:pPr>
          </w:p>
        </w:tc>
      </w:tr>
      <w:tr>
        <w:trPr>
          <w:trHeight w:val="214"/>
        </w:trPr>
        <w:tc>
          <w:tcPr>
            <w:tcW w:w="2600" w:type="dxa"/>
            <w:vAlign w:val="bottom"/>
          </w:tcPr>
          <w:p>
            <w:pPr>
              <w:spacing w:after="0"/>
              <w:rPr>
                <w:sz w:val="18"/>
                <w:szCs w:val="18"/>
                <w:color w:val="auto"/>
              </w:rPr>
            </w:pPr>
          </w:p>
        </w:tc>
        <w:tc>
          <w:tcPr>
            <w:tcW w:w="304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8"/>
              </w:rPr>
              <w:t>7-11 boulevard Haussmann</w:t>
            </w:r>
          </w:p>
        </w:tc>
        <w:tc>
          <w:tcPr>
            <w:tcW w:w="1720" w:type="dxa"/>
            <w:vAlign w:val="bottom"/>
          </w:tcPr>
          <w:p>
            <w:pPr>
              <w:spacing w:after="0"/>
              <w:rPr>
                <w:sz w:val="18"/>
                <w:szCs w:val="18"/>
                <w:color w:val="auto"/>
              </w:rPr>
            </w:pPr>
          </w:p>
        </w:tc>
      </w:tr>
      <w:tr>
        <w:trPr>
          <w:trHeight w:val="214"/>
        </w:trPr>
        <w:tc>
          <w:tcPr>
            <w:tcW w:w="2600" w:type="dxa"/>
            <w:vAlign w:val="bottom"/>
          </w:tcPr>
          <w:p>
            <w:pPr>
              <w:spacing w:after="0"/>
              <w:rPr>
                <w:sz w:val="18"/>
                <w:szCs w:val="18"/>
                <w:color w:val="auto"/>
              </w:rPr>
            </w:pPr>
          </w:p>
        </w:tc>
        <w:tc>
          <w:tcPr>
            <w:tcW w:w="304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75009 Paris, France</w:t>
            </w:r>
          </w:p>
        </w:tc>
        <w:tc>
          <w:tcPr>
            <w:tcW w:w="1720" w:type="dxa"/>
            <w:vAlign w:val="bottom"/>
          </w:tcPr>
          <w:p>
            <w:pPr>
              <w:spacing w:after="0"/>
              <w:rPr>
                <w:sz w:val="18"/>
                <w:szCs w:val="18"/>
                <w:color w:val="auto"/>
              </w:rPr>
            </w:pPr>
          </w:p>
        </w:tc>
      </w:tr>
      <w:tr>
        <w:trPr>
          <w:trHeight w:val="211"/>
        </w:trPr>
        <w:tc>
          <w:tcPr>
            <w:tcW w:w="2600" w:type="dxa"/>
            <w:vAlign w:val="bottom"/>
          </w:tcPr>
          <w:p>
            <w:pPr>
              <w:spacing w:after="0"/>
              <w:rPr>
                <w:sz w:val="18"/>
                <w:szCs w:val="18"/>
                <w:color w:val="auto"/>
              </w:rPr>
            </w:pPr>
          </w:p>
        </w:tc>
        <w:tc>
          <w:tcPr>
            <w:tcW w:w="304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8"/>
              </w:rPr>
              <w:t>Tel. No. +33 (0) 1 53 83 09 63</w:t>
            </w:r>
          </w:p>
        </w:tc>
        <w:tc>
          <w:tcPr>
            <w:tcW w:w="1720" w:type="dxa"/>
            <w:vAlign w:val="bottom"/>
          </w:tcPr>
          <w:p>
            <w:pPr>
              <w:spacing w:after="0"/>
              <w:rPr>
                <w:sz w:val="18"/>
                <w:szCs w:val="18"/>
                <w:color w:val="auto"/>
              </w:rPr>
            </w:pPr>
          </w:p>
        </w:tc>
      </w:tr>
      <w:tr>
        <w:trPr>
          <w:trHeight w:val="187"/>
        </w:trPr>
        <w:tc>
          <w:tcPr>
            <w:tcW w:w="5640" w:type="dxa"/>
            <w:vAlign w:val="bottom"/>
            <w:gridSpan w:val="3"/>
          </w:tcPr>
          <w:p>
            <w:pPr>
              <w:jc w:val="center"/>
              <w:ind w:left="1776"/>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agent for service)</w:t>
            </w:r>
          </w:p>
        </w:tc>
        <w:tc>
          <w:tcPr>
            <w:tcW w:w="1720" w:type="dxa"/>
            <w:vAlign w:val="bottom"/>
          </w:tcPr>
          <w:p>
            <w:pPr>
              <w:spacing w:after="0"/>
              <w:rPr>
                <w:sz w:val="16"/>
                <w:szCs w:val="16"/>
                <w:color w:val="auto"/>
              </w:rPr>
            </w:pPr>
          </w:p>
        </w:tc>
      </w:tr>
      <w:tr>
        <w:trPr>
          <w:trHeight w:val="345"/>
        </w:trPr>
        <w:tc>
          <w:tcPr>
            <w:tcW w:w="2600" w:type="dxa"/>
            <w:vAlign w:val="bottom"/>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21"/>
        </w:trPr>
        <w:tc>
          <w:tcPr>
            <w:tcW w:w="2600" w:type="dxa"/>
            <w:vAlign w:val="bottom"/>
          </w:tcPr>
          <w:p>
            <w:pPr>
              <w:spacing w:after="0"/>
              <w:rPr>
                <w:sz w:val="24"/>
                <w:szCs w:val="24"/>
                <w:color w:val="auto"/>
              </w:rPr>
            </w:pPr>
          </w:p>
        </w:tc>
        <w:tc>
          <w:tcPr>
            <w:tcW w:w="304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b w:val="1"/>
                <w:bCs w:val="1"/>
                <w:i w:val="1"/>
                <w:iCs w:val="1"/>
                <w:color w:val="auto"/>
                <w:w w:val="99"/>
              </w:rPr>
              <w:t>Copies to:</w:t>
            </w:r>
          </w:p>
        </w:tc>
        <w:tc>
          <w:tcPr>
            <w:tcW w:w="1720" w:type="dxa"/>
            <w:vAlign w:val="bottom"/>
          </w:tcPr>
          <w:p>
            <w:pPr>
              <w:spacing w:after="0"/>
              <w:rPr>
                <w:sz w:val="24"/>
                <w:szCs w:val="24"/>
                <w:color w:val="auto"/>
              </w:rPr>
            </w:pPr>
          </w:p>
        </w:tc>
      </w:tr>
      <w:tr>
        <w:trPr>
          <w:trHeight w:val="431"/>
        </w:trPr>
        <w:tc>
          <w:tcPr>
            <w:tcW w:w="5640" w:type="dxa"/>
            <w:vAlign w:val="bottom"/>
            <w:gridSpan w:val="3"/>
          </w:tcPr>
          <w:p>
            <w:pPr>
              <w:jc w:val="center"/>
              <w:ind w:right="3540"/>
              <w:spacing w:after="0"/>
              <w:rPr>
                <w:sz w:val="20"/>
                <w:szCs w:val="20"/>
                <w:color w:val="auto"/>
              </w:rPr>
            </w:pPr>
            <w:r>
              <w:rPr>
                <w:rFonts w:ascii="Times New Roman" w:cs="Times New Roman" w:eastAsia="Times New Roman" w:hAnsi="Times New Roman"/>
                <w:sz w:val="18"/>
                <w:szCs w:val="18"/>
                <w:b w:val="1"/>
                <w:bCs w:val="1"/>
                <w:color w:val="auto"/>
                <w:w w:val="99"/>
              </w:rPr>
              <w:t>Divakar Gupta, Esq.</w:t>
            </w:r>
          </w:p>
        </w:tc>
        <w:tc>
          <w:tcPr>
            <w:tcW w:w="1720" w:type="dxa"/>
            <w:vAlign w:val="bottom"/>
          </w:tcPr>
          <w:p>
            <w:pPr>
              <w:jc w:val="center"/>
              <w:ind w:left="15"/>
              <w:spacing w:after="0"/>
              <w:rPr>
                <w:sz w:val="20"/>
                <w:szCs w:val="20"/>
                <w:color w:val="auto"/>
              </w:rPr>
            </w:pPr>
            <w:r>
              <w:rPr>
                <w:rFonts w:ascii="Times New Roman" w:cs="Times New Roman" w:eastAsia="Times New Roman" w:hAnsi="Times New Roman"/>
                <w:sz w:val="18"/>
                <w:szCs w:val="18"/>
                <w:b w:val="1"/>
                <w:bCs w:val="1"/>
                <w:color w:val="auto"/>
              </w:rPr>
              <w:t>Alain Decombe</w:t>
            </w:r>
          </w:p>
        </w:tc>
      </w:tr>
      <w:tr>
        <w:trPr>
          <w:trHeight w:val="214"/>
        </w:trPr>
        <w:tc>
          <w:tcPr>
            <w:tcW w:w="5640" w:type="dxa"/>
            <w:vAlign w:val="bottom"/>
            <w:gridSpan w:val="3"/>
          </w:tcPr>
          <w:p>
            <w:pPr>
              <w:jc w:val="center"/>
              <w:ind w:right="3540"/>
              <w:spacing w:after="0"/>
              <w:rPr>
                <w:sz w:val="20"/>
                <w:szCs w:val="20"/>
                <w:color w:val="auto"/>
              </w:rPr>
            </w:pPr>
            <w:r>
              <w:rPr>
                <w:rFonts w:ascii="Times New Roman" w:cs="Times New Roman" w:eastAsia="Times New Roman" w:hAnsi="Times New Roman"/>
                <w:sz w:val="18"/>
                <w:szCs w:val="18"/>
                <w:b w:val="1"/>
                <w:bCs w:val="1"/>
                <w:color w:val="auto"/>
                <w:w w:val="98"/>
              </w:rPr>
              <w:t>Ryan Sansom, Esq.</w:t>
            </w:r>
          </w:p>
        </w:tc>
        <w:tc>
          <w:tcPr>
            <w:tcW w:w="1720" w:type="dxa"/>
            <w:vAlign w:val="bottom"/>
          </w:tcPr>
          <w:p>
            <w:pPr>
              <w:jc w:val="center"/>
              <w:ind w:left="15"/>
              <w:spacing w:after="0"/>
              <w:rPr>
                <w:sz w:val="20"/>
                <w:szCs w:val="20"/>
                <w:color w:val="auto"/>
              </w:rPr>
            </w:pPr>
            <w:r>
              <w:rPr>
                <w:rFonts w:ascii="Times New Roman" w:cs="Times New Roman" w:eastAsia="Times New Roman" w:hAnsi="Times New Roman"/>
                <w:sz w:val="18"/>
                <w:szCs w:val="18"/>
                <w:b w:val="1"/>
                <w:bCs w:val="1"/>
                <w:color w:val="auto"/>
                <w:w w:val="96"/>
              </w:rPr>
              <w:t>Vianney Toulouse</w:t>
            </w:r>
          </w:p>
        </w:tc>
      </w:tr>
      <w:tr>
        <w:trPr>
          <w:trHeight w:val="214"/>
        </w:trPr>
        <w:tc>
          <w:tcPr>
            <w:tcW w:w="5640" w:type="dxa"/>
            <w:vAlign w:val="bottom"/>
            <w:gridSpan w:val="3"/>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w w:val="98"/>
              </w:rPr>
              <w:t>Minkyu Park, Esq.</w:t>
            </w:r>
          </w:p>
        </w:tc>
        <w:tc>
          <w:tcPr>
            <w:tcW w:w="1720" w:type="dxa"/>
            <w:vAlign w:val="bottom"/>
          </w:tcPr>
          <w:p>
            <w:pPr>
              <w:jc w:val="center"/>
              <w:ind w:left="15"/>
              <w:spacing w:after="0"/>
              <w:rPr>
                <w:sz w:val="20"/>
                <w:szCs w:val="20"/>
                <w:color w:val="auto"/>
              </w:rPr>
            </w:pPr>
            <w:r>
              <w:rPr>
                <w:rFonts w:ascii="Times New Roman" w:cs="Times New Roman" w:eastAsia="Times New Roman" w:hAnsi="Times New Roman"/>
                <w:sz w:val="18"/>
                <w:szCs w:val="18"/>
                <w:b w:val="1"/>
                <w:bCs w:val="1"/>
                <w:color w:val="auto"/>
                <w:w w:val="98"/>
              </w:rPr>
              <w:t>Dechert (Paris) LLP</w:t>
            </w:r>
          </w:p>
        </w:tc>
      </w:tr>
      <w:tr>
        <w:trPr>
          <w:trHeight w:val="214"/>
        </w:trPr>
        <w:tc>
          <w:tcPr>
            <w:tcW w:w="5640" w:type="dxa"/>
            <w:vAlign w:val="bottom"/>
            <w:gridSpan w:val="3"/>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w w:val="99"/>
              </w:rPr>
              <w:t>Cooley LLP</w:t>
            </w:r>
          </w:p>
        </w:tc>
        <w:tc>
          <w:tcPr>
            <w:tcW w:w="1720" w:type="dxa"/>
            <w:vAlign w:val="bottom"/>
          </w:tcPr>
          <w:p>
            <w:pPr>
              <w:jc w:val="center"/>
              <w:ind w:left="15"/>
              <w:spacing w:after="0"/>
              <w:rPr>
                <w:sz w:val="20"/>
                <w:szCs w:val="20"/>
                <w:color w:val="auto"/>
              </w:rPr>
            </w:pPr>
            <w:r>
              <w:rPr>
                <w:rFonts w:ascii="Times New Roman" w:cs="Times New Roman" w:eastAsia="Times New Roman" w:hAnsi="Times New Roman"/>
                <w:sz w:val="18"/>
                <w:szCs w:val="18"/>
                <w:b w:val="1"/>
                <w:bCs w:val="1"/>
                <w:color w:val="auto"/>
                <w:w w:val="99"/>
              </w:rPr>
              <w:t>22 rue Bayard</w:t>
            </w:r>
          </w:p>
        </w:tc>
      </w:tr>
      <w:tr>
        <w:trPr>
          <w:trHeight w:val="214"/>
        </w:trPr>
        <w:tc>
          <w:tcPr>
            <w:tcW w:w="5640" w:type="dxa"/>
            <w:vAlign w:val="bottom"/>
            <w:gridSpan w:val="3"/>
          </w:tcPr>
          <w:p>
            <w:pPr>
              <w:jc w:val="center"/>
              <w:ind w:right="3540"/>
              <w:spacing w:after="0"/>
              <w:rPr>
                <w:sz w:val="20"/>
                <w:szCs w:val="20"/>
                <w:color w:val="auto"/>
              </w:rPr>
            </w:pPr>
            <w:r>
              <w:rPr>
                <w:rFonts w:ascii="Times New Roman" w:cs="Times New Roman" w:eastAsia="Times New Roman" w:hAnsi="Times New Roman"/>
                <w:sz w:val="18"/>
                <w:szCs w:val="18"/>
                <w:b w:val="1"/>
                <w:bCs w:val="1"/>
                <w:color w:val="auto"/>
                <w:w w:val="96"/>
              </w:rPr>
              <w:t>55 Hudson Yards</w:t>
            </w:r>
          </w:p>
        </w:tc>
        <w:tc>
          <w:tcPr>
            <w:tcW w:w="1720" w:type="dxa"/>
            <w:vAlign w:val="bottom"/>
          </w:tcPr>
          <w:p>
            <w:pPr>
              <w:jc w:val="center"/>
              <w:ind w:left="15"/>
              <w:spacing w:after="0"/>
              <w:rPr>
                <w:sz w:val="20"/>
                <w:szCs w:val="20"/>
                <w:color w:val="auto"/>
              </w:rPr>
            </w:pPr>
            <w:r>
              <w:rPr>
                <w:rFonts w:ascii="Times New Roman" w:cs="Times New Roman" w:eastAsia="Times New Roman" w:hAnsi="Times New Roman"/>
                <w:sz w:val="18"/>
                <w:szCs w:val="18"/>
                <w:b w:val="1"/>
                <w:bCs w:val="1"/>
                <w:color w:val="auto"/>
              </w:rPr>
              <w:t>75008 Paris</w:t>
            </w:r>
          </w:p>
        </w:tc>
      </w:tr>
      <w:tr>
        <w:trPr>
          <w:trHeight w:val="214"/>
        </w:trPr>
        <w:tc>
          <w:tcPr>
            <w:tcW w:w="5640" w:type="dxa"/>
            <w:vAlign w:val="bottom"/>
            <w:gridSpan w:val="3"/>
          </w:tcPr>
          <w:p>
            <w:pPr>
              <w:jc w:val="center"/>
              <w:ind w:right="3540"/>
              <w:spacing w:after="0"/>
              <w:rPr>
                <w:sz w:val="20"/>
                <w:szCs w:val="20"/>
                <w:color w:val="auto"/>
              </w:rPr>
            </w:pPr>
            <w:r>
              <w:rPr>
                <w:rFonts w:ascii="Times New Roman" w:cs="Times New Roman" w:eastAsia="Times New Roman" w:hAnsi="Times New Roman"/>
                <w:sz w:val="18"/>
                <w:szCs w:val="18"/>
                <w:b w:val="1"/>
                <w:bCs w:val="1"/>
                <w:color w:val="auto"/>
                <w:w w:val="97"/>
              </w:rPr>
              <w:t>New York, New York 10001</w:t>
            </w:r>
          </w:p>
        </w:tc>
        <w:tc>
          <w:tcPr>
            <w:tcW w:w="1720" w:type="dxa"/>
            <w:vAlign w:val="bottom"/>
          </w:tcPr>
          <w:p>
            <w:pPr>
              <w:jc w:val="center"/>
              <w:ind w:left="15"/>
              <w:spacing w:after="0"/>
              <w:rPr>
                <w:sz w:val="20"/>
                <w:szCs w:val="20"/>
                <w:color w:val="auto"/>
              </w:rPr>
            </w:pPr>
            <w:r>
              <w:rPr>
                <w:rFonts w:ascii="Times New Roman" w:cs="Times New Roman" w:eastAsia="Times New Roman" w:hAnsi="Times New Roman"/>
                <w:sz w:val="18"/>
                <w:szCs w:val="18"/>
                <w:b w:val="1"/>
                <w:bCs w:val="1"/>
                <w:color w:val="auto"/>
                <w:w w:val="99"/>
              </w:rPr>
              <w:t>France</w:t>
            </w:r>
          </w:p>
        </w:tc>
      </w:tr>
      <w:tr>
        <w:trPr>
          <w:trHeight w:val="237"/>
        </w:trPr>
        <w:tc>
          <w:tcPr>
            <w:tcW w:w="5640" w:type="dxa"/>
            <w:vAlign w:val="bottom"/>
            <w:gridSpan w:val="3"/>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w w:val="97"/>
              </w:rPr>
              <w:t>Tel: +1 212 479-6000</w:t>
            </w:r>
          </w:p>
        </w:tc>
        <w:tc>
          <w:tcPr>
            <w:tcW w:w="1720" w:type="dxa"/>
            <w:vAlign w:val="bottom"/>
          </w:tcPr>
          <w:p>
            <w:pPr>
              <w:jc w:val="center"/>
              <w:ind w:left="15"/>
              <w:spacing w:after="0"/>
              <w:rPr>
                <w:sz w:val="20"/>
                <w:szCs w:val="20"/>
                <w:color w:val="auto"/>
              </w:rPr>
            </w:pPr>
            <w:r>
              <w:rPr>
                <w:rFonts w:ascii="Times New Roman" w:cs="Times New Roman" w:eastAsia="Times New Roman" w:hAnsi="Times New Roman"/>
                <w:sz w:val="18"/>
                <w:szCs w:val="18"/>
                <w:b w:val="1"/>
                <w:bCs w:val="1"/>
                <w:color w:val="auto"/>
                <w:w w:val="96"/>
              </w:rPr>
              <w:t>Tel: +33 1 57 57 80 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228600</wp:posOffset>
            </wp:positionV>
            <wp:extent cx="1450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 reporting company,” and “emerging growth company” in Rule 12b-2 of the Exchange Act.</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30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26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7" w:lineRule="exact"/>
        <w:rPr>
          <w:sz w:val="24"/>
          <w:szCs w:val="24"/>
          <w:color w:val="auto"/>
        </w:rPr>
      </w:pPr>
    </w:p>
    <w:p>
      <w:pPr>
        <w:ind w:right="240"/>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126365</wp:posOffset>
            </wp:positionV>
            <wp:extent cx="6921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168275</wp:posOffset>
            </wp:positionV>
            <wp:extent cx="6921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ectPr>
          <w:pgSz w:w="11900" w:h="16838" w:orient="portrait"/>
          <w:cols w:equalWidth="0" w:num="1">
            <w:col w:w="10840"/>
          </w:cols>
          <w:pgMar w:left="500" w:top="224" w:right="55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PART 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4" w:lineRule="exact"/>
        <w:rPr>
          <w:sz w:val="20"/>
          <w:szCs w:val="20"/>
          <w:color w:val="auto"/>
        </w:rPr>
      </w:pPr>
    </w:p>
    <w:p>
      <w:pPr>
        <w:ind w:right="320" w:firstLine="436"/>
        <w:spacing w:after="0" w:line="262" w:lineRule="auto"/>
        <w:rPr>
          <w:sz w:val="20"/>
          <w:szCs w:val="20"/>
          <w:color w:val="auto"/>
        </w:rPr>
      </w:pPr>
      <w:r>
        <w:rPr>
          <w:rFonts w:ascii="Times New Roman" w:cs="Times New Roman" w:eastAsia="Times New Roman" w:hAnsi="Times New Roman"/>
          <w:sz w:val="18"/>
          <w:szCs w:val="18"/>
          <w:color w:val="auto"/>
        </w:rPr>
        <w:t>The information required by Part I of Form S-8 is omitted from this filing in accordance with Rule 428 under the Securities Act of 1933, as amended (the “Securities Act”) and the introductory note to Part I of Form S-8. The documents containing the information specified in Part I will be delivered to the participants in the plans covered by this Registration Statement as required by Rule 428(b)(1) under the Securities Act.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18" w:lineRule="exact"/>
        <w:rPr>
          <w:sz w:val="20"/>
          <w:szCs w:val="20"/>
          <w:color w:val="auto"/>
        </w:rPr>
      </w:pPr>
    </w:p>
    <w:p>
      <w:pPr>
        <w:ind w:right="20" w:firstLine="436"/>
        <w:spacing w:after="0" w:line="262" w:lineRule="auto"/>
        <w:rPr>
          <w:sz w:val="20"/>
          <w:szCs w:val="20"/>
          <w:color w:val="auto"/>
        </w:rPr>
      </w:pPr>
      <w:r>
        <w:rPr>
          <w:rFonts w:ascii="Times New Roman" w:cs="Times New Roman" w:eastAsia="Times New Roman" w:hAnsi="Times New Roman"/>
          <w:sz w:val="18"/>
          <w:szCs w:val="18"/>
          <w:color w:val="auto"/>
        </w:rPr>
        <w:t>This Registration Statement on Form S-8 hereby incorporates by reference the contents of the following reports of Abivax SA (the “Registrant” or “we”) filed with, or furnished to, the Securities and Exchange Commission (the “Commission”) pursuant to the Securities Exchange Act of 1934, as amended (the “Exchange Act”):</w:t>
      </w:r>
    </w:p>
    <w:p>
      <w:pPr>
        <w:spacing w:after="0" w:line="84" w:lineRule="exact"/>
        <w:rPr>
          <w:sz w:val="20"/>
          <w:szCs w:val="20"/>
          <w:color w:val="auto"/>
        </w:rPr>
      </w:pPr>
    </w:p>
    <w:p>
      <w:pPr>
        <w:ind w:left="960" w:right="500" w:hanging="539"/>
        <w:spacing w:after="0" w:line="277"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17">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2025 filed with the Commission on March 23, 2026 (Commission File No. 001-41842);</w:t>
      </w:r>
    </w:p>
    <w:p>
      <w:pPr>
        <w:spacing w:after="0" w:line="69" w:lineRule="exact"/>
        <w:rPr>
          <w:rFonts w:ascii="Times New Roman" w:cs="Times New Roman" w:eastAsia="Times New Roman" w:hAnsi="Times New Roman"/>
          <w:sz w:val="18"/>
          <w:szCs w:val="18"/>
          <w:color w:val="auto"/>
        </w:rPr>
      </w:pPr>
    </w:p>
    <w:p>
      <w:pPr>
        <w:ind w:left="960" w:hanging="539"/>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Report on </w:t>
      </w:r>
      <w:hyperlink r:id="rId18">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furnished to the Commission on </w:t>
      </w:r>
      <w:hyperlink r:id="rId19">
        <w:r>
          <w:rPr>
            <w:rFonts w:ascii="Times New Roman" w:cs="Times New Roman" w:eastAsia="Times New Roman" w:hAnsi="Times New Roman"/>
            <w:sz w:val="18"/>
            <w:szCs w:val="18"/>
            <w:u w:val="single" w:color="auto"/>
            <w:color w:val="0000EE"/>
          </w:rPr>
          <w:t>February 23,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(Commission File No. 001-41842);</w:t>
      </w:r>
    </w:p>
    <w:p>
      <w:pPr>
        <w:spacing w:after="0" w:line="126" w:lineRule="exact"/>
        <w:rPr>
          <w:rFonts w:ascii="Times New Roman" w:cs="Times New Roman" w:eastAsia="Times New Roman" w:hAnsi="Times New Roman"/>
          <w:sz w:val="18"/>
          <w:szCs w:val="18"/>
          <w:color w:val="auto"/>
        </w:rPr>
      </w:pPr>
    </w:p>
    <w:p>
      <w:pPr>
        <w:ind w:left="960" w:right="80" w:hanging="539"/>
        <w:spacing w:after="0" w:line="26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ordinary shares contained in </w:t>
      </w:r>
      <w:hyperlink r:id="rId20">
        <w:r>
          <w:rPr>
            <w:rFonts w:ascii="Times New Roman" w:cs="Times New Roman" w:eastAsia="Times New Roman" w:hAnsi="Times New Roman"/>
            <w:sz w:val="18"/>
            <w:szCs w:val="18"/>
            <w:u w:val="single" w:color="auto"/>
            <w:color w:val="0000EE"/>
          </w:rPr>
          <w:t>Exhibit 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Registrant’s Annual Report on Form 20-F for the year ended December 31, 2025 filed with the Commission on March 23, 2026 (Commission File No. 001-41842), including any amendment or report filed for the purpose of updating such description; and</w:t>
      </w:r>
    </w:p>
    <w:p>
      <w:pPr>
        <w:spacing w:after="0" w:line="83" w:lineRule="exact"/>
        <w:rPr>
          <w:rFonts w:ascii="Times New Roman" w:cs="Times New Roman" w:eastAsia="Times New Roman" w:hAnsi="Times New Roman"/>
          <w:sz w:val="18"/>
          <w:szCs w:val="18"/>
          <w:color w:val="auto"/>
        </w:rPr>
      </w:pPr>
    </w:p>
    <w:p>
      <w:pPr>
        <w:ind w:left="960" w:right="140" w:hanging="539"/>
        <w:spacing w:after="0" w:line="257"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subsequently filed by the Registrant pursuant to Sections 13(a), 13(c), 14 and 15(d) of the Exchange Act prior to the filing of a post-effective amendment indicating that all securities offered have been sold or that deregisters all securities then remaining unsold shall be deemed to be incorporated by reference in this Registration Statement and to be part hereof from the date of filing of such document incorporated by reference.</w:t>
      </w:r>
    </w:p>
    <w:p>
      <w:pPr>
        <w:spacing w:after="0" w:line="182" w:lineRule="exact"/>
        <w:rPr>
          <w:rFonts w:ascii="Times New Roman" w:cs="Times New Roman" w:eastAsia="Times New Roman" w:hAnsi="Times New Roman"/>
          <w:sz w:val="18"/>
          <w:szCs w:val="18"/>
          <w:color w:val="auto"/>
        </w:rPr>
      </w:pPr>
    </w:p>
    <w:p>
      <w:pPr>
        <w:ind w:right="300" w:firstLine="436"/>
        <w:spacing w:after="0" w:line="262" w:lineRule="auto"/>
        <w:rPr>
          <w:sz w:val="20"/>
          <w:szCs w:val="20"/>
          <w:color w:val="auto"/>
        </w:rPr>
      </w:pPr>
      <w:r>
        <w:rPr>
          <w:rFonts w:ascii="Times New Roman" w:cs="Times New Roman" w:eastAsia="Times New Roman" w:hAnsi="Times New Roman"/>
          <w:sz w:val="18"/>
          <w:szCs w:val="18"/>
          <w:color w:val="auto"/>
        </w:rPr>
        <w:t>Notwithstanding the foregoing, no document, report or exhibit (or portion of any of the foregoing) or any other information that we have “furnished” to the Commission pursuant to the Exchange Act shall be incorporated by reference into this prospectus unless such document, report or exhibit expressly provides to the contrary.</w:t>
      </w:r>
    </w:p>
    <w:p>
      <w:pPr>
        <w:spacing w:after="0" w:line="177" w:lineRule="exact"/>
        <w:rPr>
          <w:rFonts w:ascii="Times New Roman" w:cs="Times New Roman" w:eastAsia="Times New Roman" w:hAnsi="Times New Roman"/>
          <w:sz w:val="18"/>
          <w:szCs w:val="18"/>
          <w:color w:val="auto"/>
        </w:rPr>
      </w:pPr>
    </w:p>
    <w:p>
      <w:pPr>
        <w:jc w:val="both"/>
        <w:ind w:firstLine="436"/>
        <w:spacing w:after="0" w:line="262" w:lineRule="auto"/>
        <w:rPr>
          <w:sz w:val="20"/>
          <w:szCs w:val="20"/>
          <w:color w:val="auto"/>
        </w:rPr>
      </w:pPr>
      <w:r>
        <w:rPr>
          <w:rFonts w:ascii="Times New Roman" w:cs="Times New Roman" w:eastAsia="Times New Roman" w:hAnsi="Times New Roman"/>
          <w:sz w:val="18"/>
          <w:szCs w:val="18"/>
          <w:color w:val="auto"/>
        </w:rPr>
        <w:t>Statements contained in the foregoing documents incorporated by reference shall be deemed to be modified or superseded hereby to the extent that statements contained in the Prospectus, or in any subsequently filed documents that are amendments hereto or that are incorporated herein by reference, shall modify or replace such statements.</w:t>
      </w:r>
    </w:p>
    <w:p>
      <w:pPr>
        <w:spacing w:after="0" w:line="280"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118" w:lineRule="exact"/>
        <w:rPr>
          <w:rFonts w:ascii="Times New Roman" w:cs="Times New Roman" w:eastAsia="Times New Roman" w:hAnsi="Times New Roman"/>
          <w:sz w:val="18"/>
          <w:szCs w:val="18"/>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3"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118" w:lineRule="exact"/>
        <w:rPr>
          <w:rFonts w:ascii="Times New Roman" w:cs="Times New Roman" w:eastAsia="Times New Roman" w:hAnsi="Times New Roman"/>
          <w:sz w:val="18"/>
          <w:szCs w:val="18"/>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3"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16" w:lineRule="exact"/>
        <w:rPr>
          <w:rFonts w:ascii="Times New Roman" w:cs="Times New Roman" w:eastAsia="Times New Roman" w:hAnsi="Times New Roman"/>
          <w:sz w:val="18"/>
          <w:szCs w:val="18"/>
          <w:color w:val="auto"/>
        </w:rPr>
      </w:pPr>
    </w:p>
    <w:p>
      <w:pPr>
        <w:ind w:right="120" w:firstLine="436"/>
        <w:spacing w:after="0" w:line="255" w:lineRule="auto"/>
        <w:rPr>
          <w:sz w:val="20"/>
          <w:szCs w:val="20"/>
          <w:color w:val="auto"/>
        </w:rPr>
      </w:pPr>
      <w:r>
        <w:rPr>
          <w:rFonts w:ascii="Times New Roman" w:cs="Times New Roman" w:eastAsia="Times New Roman" w:hAnsi="Times New Roman"/>
          <w:sz w:val="18"/>
          <w:szCs w:val="18"/>
          <w:color w:val="auto"/>
        </w:rPr>
        <w:t xml:space="preserve">Under French law, provisions of by-laws that limit the liability of directors are prohibited. However, French law allows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to contract for and maintain liability insurance against civil liabilities incurred by any of their directors and officers involved in a third-party action, provided that they acted in good faith and within their capacities as directors or officers of the company. Criminal liability cannot be indemnified under French law, whether directly by the company or through liability insurance. We maintain liability insurance for our directors and officers, including insurance against liability under the Securities Act.</w:t>
      </w:r>
    </w:p>
    <w:p>
      <w:pPr>
        <w:spacing w:after="0" w:line="11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880"/>
          </w:cols>
          <w:pgMar w:left="500" w:top="264" w:right="519" w:bottom="1440" w:gutter="0" w:footer="0" w:header="0"/>
        </w:sectPr>
      </w:pPr>
    </w:p>
    <w:bookmarkStart w:id="2" w:name="page3"/>
    <w:bookmarkEnd w:id="2"/>
    <w:p>
      <w:pPr>
        <w:ind w:firstLine="436"/>
        <w:spacing w:after="0" w:line="27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Certain of our non-employee directors may, through their relationships with their employers or partnerships, be insured and/or indemnified against certain liabilities in their capacity as members of our board of directors.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the Exhibit Index, below.</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27" w:lineRule="exact"/>
        <w:rPr>
          <w:sz w:val="20"/>
          <w:szCs w:val="20"/>
          <w:color w:val="auto"/>
        </w:rPr>
      </w:pPr>
    </w:p>
    <w:p>
      <w:pPr>
        <w:ind w:left="960" w:hanging="539"/>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26" w:lineRule="exact"/>
        <w:rPr>
          <w:rFonts w:ascii="Times New Roman" w:cs="Times New Roman" w:eastAsia="Times New Roman" w:hAnsi="Times New Roman"/>
          <w:sz w:val="18"/>
          <w:szCs w:val="18"/>
          <w:color w:val="auto"/>
        </w:rPr>
      </w:pPr>
    </w:p>
    <w:p>
      <w:pPr>
        <w:ind w:left="1400" w:hanging="431"/>
        <w:spacing w:after="0"/>
        <w:tabs>
          <w:tab w:leader="none" w:pos="14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26" w:lineRule="exact"/>
        <w:rPr>
          <w:rFonts w:ascii="Times New Roman" w:cs="Times New Roman" w:eastAsia="Times New Roman" w:hAnsi="Times New Roman"/>
          <w:sz w:val="18"/>
          <w:szCs w:val="18"/>
          <w:color w:val="auto"/>
        </w:rPr>
      </w:pPr>
    </w:p>
    <w:p>
      <w:pPr>
        <w:ind w:left="1400" w:right="20" w:hanging="431"/>
        <w:spacing w:after="0" w:line="252" w:lineRule="auto"/>
        <w:tabs>
          <w:tab w:leader="none" w:pos="14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95" w:lineRule="exact"/>
        <w:rPr>
          <w:rFonts w:ascii="Times New Roman" w:cs="Times New Roman" w:eastAsia="Times New Roman" w:hAnsi="Times New Roman"/>
          <w:sz w:val="18"/>
          <w:szCs w:val="18"/>
          <w:color w:val="auto"/>
        </w:rPr>
      </w:pPr>
    </w:p>
    <w:p>
      <w:pPr>
        <w:ind w:left="1400" w:right="60" w:hanging="431"/>
        <w:spacing w:after="0" w:line="277" w:lineRule="auto"/>
        <w:tabs>
          <w:tab w:leader="none" w:pos="14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1"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(i) and (ii) do not apply if the information required to be included in a post-effective amendment by those paragraphs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contained in periodic reports filed with or furnished to the Commission by the Registrant pursuant to Section 13 or 15(d) of the Exchange Act that are incorporated by reference in the Registration Statement;</w:t>
      </w:r>
    </w:p>
    <w:p>
      <w:pPr>
        <w:spacing w:after="0" w:line="83" w:lineRule="exact"/>
        <w:rPr>
          <w:sz w:val="20"/>
          <w:szCs w:val="20"/>
          <w:color w:val="auto"/>
        </w:rPr>
      </w:pPr>
    </w:p>
    <w:p>
      <w:pPr>
        <w:ind w:left="960" w:hanging="539"/>
        <w:spacing w:after="0" w:line="26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83" w:lineRule="exact"/>
        <w:rPr>
          <w:rFonts w:ascii="Times New Roman" w:cs="Times New Roman" w:eastAsia="Times New Roman" w:hAnsi="Times New Roman"/>
          <w:sz w:val="18"/>
          <w:szCs w:val="18"/>
          <w:color w:val="auto"/>
        </w:rPr>
      </w:pPr>
    </w:p>
    <w:p>
      <w:pPr>
        <w:ind w:left="960" w:right="340" w:hanging="539"/>
        <w:spacing w:after="0" w:line="277"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3"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offering thereof.</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80"/>
          </w:cols>
          <w:pgMar w:left="500" w:top="268" w:right="519" w:bottom="1440" w:gutter="0" w:footer="0" w:header="0"/>
        </w:sectPr>
      </w:pPr>
    </w:p>
    <w:bookmarkStart w:id="3" w:name="page4"/>
    <w:bookmarkEnd w:id="3"/>
    <w:p>
      <w:pPr>
        <w:ind w:firstLine="436"/>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20"/>
          </w:cols>
          <w:pgMar w:left="500" w:top="268" w:right="579" w:bottom="1440" w:gutter="0" w:footer="0" w:header="0"/>
        </w:sectPr>
      </w:pPr>
    </w:p>
    <w:bookmarkStart w:id="4" w:name="page5"/>
    <w:bookmarkEnd w:id="4"/>
    <w:tbl>
      <w:tblPr>
        <w:tblLayout w:type="fixed"/>
        <w:tblInd w:w="6" w:type="dxa"/>
        <w:tblCellMar>
          <w:top w:w="0" w:type="dxa"/>
          <w:left w:w="0" w:type="dxa"/>
          <w:bottom w:w="0" w:type="dxa"/>
          <w:right w:w="0" w:type="dxa"/>
        </w:tblCellMar>
      </w:tblPr>
      <w:tr>
        <w:trPr>
          <w:trHeight w:val="237"/>
        </w:trPr>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320" w:type="dxa"/>
            <w:vAlign w:val="bottom"/>
            <w:gridSpan w:val="10"/>
          </w:tcPr>
          <w:p>
            <w:pPr>
              <w:ind w:left="11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00"/>
        </w:trPr>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6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gridSpan w:val="9"/>
          </w:tcPr>
          <w:p>
            <w:pPr>
              <w:ind w:left="36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r>
      <w:tr>
        <w:trPr>
          <w:trHeight w:val="26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620" w:type="dxa"/>
            <w:vAlign w:val="bottom"/>
          </w:tcPr>
          <w:p>
            <w:pPr>
              <w:spacing w:after="0"/>
              <w:rPr>
                <w:sz w:val="22"/>
                <w:szCs w:val="22"/>
                <w:color w:val="auto"/>
              </w:rPr>
            </w:pPr>
          </w:p>
        </w:tc>
        <w:tc>
          <w:tcPr>
            <w:tcW w:w="95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8"/>
              </w:rPr>
            </w:pPr>
            <w:hyperlink r:id="rId23">
              <w:r>
                <w:rPr>
                  <w:rFonts w:ascii="Times New Roman" w:cs="Times New Roman" w:eastAsia="Times New Roman" w:hAnsi="Times New Roman"/>
                  <w:sz w:val="18"/>
                  <w:szCs w:val="18"/>
                  <w:color w:val="0000EE"/>
                  <w:w w:val="98"/>
                </w:rPr>
                <w:t>By-laws (statuts) of the Registrant (English translation) (incorporated by reference to Exhibit 1.1 to the Registrant’s Annual Report on</w:t>
              </w:r>
            </w:hyperlink>
          </w:p>
        </w:tc>
        <w:tc>
          <w:tcPr>
            <w:tcW w:w="20" w:type="dxa"/>
            <w:vAlign w:val="bottom"/>
          </w:tcPr>
          <w:p>
            <w:pPr>
              <w:spacing w:after="0"/>
              <w:rPr>
                <w:sz w:val="22"/>
                <w:szCs w:val="22"/>
                <w:color w:val="auto"/>
              </w:rPr>
            </w:pPr>
          </w:p>
        </w:tc>
      </w:tr>
      <w:tr>
        <w:trPr>
          <w:trHeight w:val="194"/>
        </w:trPr>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580" w:type="dxa"/>
            <w:vAlign w:val="bottom"/>
            <w:gridSpan w:val="13"/>
          </w:tcPr>
          <w:p>
            <w:pPr>
              <w:spacing w:after="0" w:line="194"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Form 20-F (File No. 001-41842) filed with the Commission on March 23, 2026)</w:t>
              </w:r>
            </w:hyperlink>
          </w:p>
        </w:tc>
      </w:tr>
      <w:tr>
        <w:trPr>
          <w:trHeight w:val="20"/>
        </w:trPr>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30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    4.2</w:t>
            </w:r>
          </w:p>
        </w:tc>
        <w:tc>
          <w:tcPr>
            <w:tcW w:w="620" w:type="dxa"/>
            <w:vAlign w:val="bottom"/>
          </w:tcPr>
          <w:p>
            <w:pPr>
              <w:spacing w:after="0"/>
              <w:rPr>
                <w:sz w:val="24"/>
                <w:szCs w:val="24"/>
                <w:color w:val="auto"/>
              </w:rPr>
            </w:pPr>
          </w:p>
        </w:tc>
        <w:tc>
          <w:tcPr>
            <w:tcW w:w="92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8"/>
              </w:rPr>
            </w:pPr>
            <w:hyperlink r:id="rId24">
              <w:r>
                <w:rPr>
                  <w:rFonts w:ascii="Times New Roman" w:cs="Times New Roman" w:eastAsia="Times New Roman" w:hAnsi="Times New Roman"/>
                  <w:sz w:val="18"/>
                  <w:szCs w:val="18"/>
                  <w:color w:val="0000EE"/>
                  <w:w w:val="98"/>
                </w:rPr>
                <w:t>Form of Deposit Agreement (incorporated by reference to Exhibit (a) to the Registrant’s Registration Statement on Form F-6 (File</w:t>
              </w:r>
            </w:hyperlink>
          </w:p>
        </w:tc>
        <w:tc>
          <w:tcPr>
            <w:tcW w:w="300" w:type="dxa"/>
            <w:vAlign w:val="bottom"/>
            <w:gridSpan w:val="2"/>
          </w:tcPr>
          <w:p>
            <w:pPr>
              <w:spacing w:after="0"/>
              <w:rPr>
                <w:sz w:val="24"/>
                <w:szCs w:val="24"/>
                <w:color w:val="auto"/>
              </w:rPr>
            </w:pPr>
          </w:p>
        </w:tc>
      </w:tr>
      <w:tr>
        <w:trPr>
          <w:trHeight w:val="194"/>
        </w:trPr>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580" w:type="dxa"/>
            <w:vAlign w:val="bottom"/>
            <w:gridSpan w:val="13"/>
          </w:tcPr>
          <w:p>
            <w:pPr>
              <w:spacing w:after="0" w:line="194"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No. 333-274845), filed with the Commission on October 3, 2023)</w:t>
              </w:r>
            </w:hyperlink>
          </w:p>
        </w:tc>
      </w:tr>
      <w:tr>
        <w:trPr>
          <w:trHeight w:val="30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    4.3</w:t>
            </w:r>
          </w:p>
        </w:tc>
        <w:tc>
          <w:tcPr>
            <w:tcW w:w="620" w:type="dxa"/>
            <w:vAlign w:val="bottom"/>
          </w:tcPr>
          <w:p>
            <w:pPr>
              <w:spacing w:after="0"/>
              <w:rPr>
                <w:sz w:val="24"/>
                <w:szCs w:val="24"/>
                <w:color w:val="auto"/>
              </w:rPr>
            </w:pPr>
          </w:p>
        </w:tc>
        <w:tc>
          <w:tcPr>
            <w:tcW w:w="454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8"/>
              </w:rPr>
            </w:pPr>
            <w:hyperlink r:id="rId24">
              <w:r>
                <w:rPr>
                  <w:rFonts w:ascii="Times New Roman" w:cs="Times New Roman" w:eastAsia="Times New Roman" w:hAnsi="Times New Roman"/>
                  <w:sz w:val="18"/>
                  <w:szCs w:val="18"/>
                  <w:color w:val="0000EE"/>
                  <w:w w:val="98"/>
                </w:rPr>
                <w:t>Form of American Depositary Receipt (included in Exhibit 4.2)</w:t>
              </w:r>
            </w:hyperlink>
          </w:p>
        </w:tc>
        <w:tc>
          <w:tcPr>
            <w:tcW w:w="140" w:type="dxa"/>
            <w:vAlign w:val="bottom"/>
            <w:tcBorders>
              <w:top w:val="single" w:sz="8" w:color="0000EE"/>
            </w:tcBorders>
          </w:tcPr>
          <w:p>
            <w:pPr>
              <w:spacing w:after="0"/>
              <w:rPr>
                <w:sz w:val="24"/>
                <w:szCs w:val="24"/>
                <w:color w:val="auto"/>
              </w:rPr>
            </w:pPr>
          </w:p>
        </w:tc>
        <w:tc>
          <w:tcPr>
            <w:tcW w:w="4900" w:type="dxa"/>
            <w:vAlign w:val="bottom"/>
            <w:gridSpan w:val="5"/>
          </w:tcPr>
          <w:p>
            <w:pPr>
              <w:spacing w:after="0"/>
              <w:rPr>
                <w:sz w:val="24"/>
                <w:szCs w:val="24"/>
                <w:color w:val="auto"/>
              </w:rPr>
            </w:pPr>
          </w:p>
        </w:tc>
      </w:tr>
      <w:tr>
        <w:trPr>
          <w:trHeight w:val="30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    4.4*</w:t>
            </w:r>
          </w:p>
        </w:tc>
        <w:tc>
          <w:tcPr>
            <w:tcW w:w="620" w:type="dxa"/>
            <w:vAlign w:val="bottom"/>
          </w:tcPr>
          <w:p>
            <w:pPr>
              <w:spacing w:after="0"/>
              <w:rPr>
                <w:sz w:val="24"/>
                <w:szCs w:val="24"/>
                <w:color w:val="auto"/>
              </w:rPr>
            </w:pPr>
          </w:p>
        </w:tc>
        <w:tc>
          <w:tcPr>
            <w:tcW w:w="22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Summary of BSA-2026-1 Plan</w:t>
            </w:r>
          </w:p>
        </w:tc>
        <w:tc>
          <w:tcPr>
            <w:tcW w:w="7380" w:type="dxa"/>
            <w:vAlign w:val="bottom"/>
            <w:gridSpan w:val="11"/>
          </w:tcPr>
          <w:p>
            <w:pPr>
              <w:spacing w:after="0"/>
              <w:rPr>
                <w:sz w:val="24"/>
                <w:szCs w:val="24"/>
                <w:color w:val="auto"/>
              </w:rPr>
            </w:pPr>
          </w:p>
        </w:tc>
      </w:tr>
      <w:tr>
        <w:trPr>
          <w:trHeight w:val="30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    4.5*</w:t>
            </w:r>
          </w:p>
        </w:tc>
        <w:tc>
          <w:tcPr>
            <w:tcW w:w="620" w:type="dxa"/>
            <w:vAlign w:val="bottom"/>
          </w:tcPr>
          <w:p>
            <w:pPr>
              <w:spacing w:after="0"/>
              <w:rPr>
                <w:sz w:val="24"/>
                <w:szCs w:val="24"/>
                <w:color w:val="auto"/>
              </w:rPr>
            </w:pPr>
          </w:p>
        </w:tc>
        <w:tc>
          <w:tcPr>
            <w:tcW w:w="958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Summary of AGA-2025-6, AGA-2025-7, AGA-2025-8 and AGA-2026-1 Free Share Plans</w:t>
            </w:r>
          </w:p>
        </w:tc>
      </w:tr>
      <w:tr>
        <w:trPr>
          <w:trHeight w:val="30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    5.1*</w:t>
            </w:r>
          </w:p>
        </w:tc>
        <w:tc>
          <w:tcPr>
            <w:tcW w:w="620" w:type="dxa"/>
            <w:vAlign w:val="bottom"/>
          </w:tcPr>
          <w:p>
            <w:pPr>
              <w:spacing w:after="0"/>
              <w:rPr>
                <w:sz w:val="24"/>
                <w:szCs w:val="24"/>
                <w:color w:val="auto"/>
              </w:rPr>
            </w:pPr>
          </w:p>
        </w:tc>
        <w:tc>
          <w:tcPr>
            <w:tcW w:w="648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Opinion of Dechert (Paris) LLP</w:t>
            </w:r>
          </w:p>
        </w:tc>
        <w:tc>
          <w:tcPr>
            <w:tcW w:w="3100" w:type="dxa"/>
            <w:vAlign w:val="bottom"/>
            <w:gridSpan w:val="3"/>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60" w:type="dxa"/>
            <w:vAlign w:val="bottom"/>
            <w:gridSpan w:val="7"/>
          </w:tcPr>
          <w:p>
            <w:pPr>
              <w:spacing w:after="0" w:line="20" w:lineRule="exact"/>
              <w:rPr>
                <w:sz w:val="1"/>
                <w:szCs w:val="1"/>
                <w:color w:val="auto"/>
              </w:rPr>
            </w:pPr>
          </w:p>
        </w:tc>
      </w:tr>
      <w:tr>
        <w:trPr>
          <w:trHeight w:val="30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  23.1*</w:t>
            </w:r>
          </w:p>
        </w:tc>
        <w:tc>
          <w:tcPr>
            <w:tcW w:w="620" w:type="dxa"/>
            <w:vAlign w:val="bottom"/>
          </w:tcPr>
          <w:p>
            <w:pPr>
              <w:spacing w:after="0"/>
              <w:rPr>
                <w:sz w:val="24"/>
                <w:szCs w:val="24"/>
                <w:color w:val="auto"/>
              </w:rPr>
            </w:pPr>
          </w:p>
        </w:tc>
        <w:tc>
          <w:tcPr>
            <w:tcW w:w="958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Consent of Independent Registered Public Accounting Firm</w:t>
            </w:r>
          </w:p>
        </w:tc>
      </w:tr>
      <w:tr>
        <w:trPr>
          <w:trHeight w:val="20"/>
        </w:trPr>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60" w:type="dxa"/>
            <w:vAlign w:val="bottom"/>
            <w:gridSpan w:val="7"/>
          </w:tcPr>
          <w:p>
            <w:pPr>
              <w:spacing w:after="0" w:line="20" w:lineRule="exact"/>
              <w:rPr>
                <w:sz w:val="1"/>
                <w:szCs w:val="1"/>
                <w:color w:val="auto"/>
              </w:rPr>
            </w:pPr>
          </w:p>
        </w:tc>
      </w:tr>
      <w:tr>
        <w:trPr>
          <w:trHeight w:val="30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  23.2*</w:t>
            </w:r>
          </w:p>
        </w:tc>
        <w:tc>
          <w:tcPr>
            <w:tcW w:w="620" w:type="dxa"/>
            <w:vAlign w:val="bottom"/>
          </w:tcPr>
          <w:p>
            <w:pPr>
              <w:spacing w:after="0"/>
              <w:rPr>
                <w:sz w:val="24"/>
                <w:szCs w:val="24"/>
                <w:color w:val="auto"/>
              </w:rPr>
            </w:pPr>
          </w:p>
        </w:tc>
        <w:tc>
          <w:tcPr>
            <w:tcW w:w="958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Consent of Dechert (Paris) LLP (included in Exhibit 5.1 above)</w:t>
            </w:r>
          </w:p>
        </w:tc>
      </w:tr>
      <w:tr>
        <w:trPr>
          <w:trHeight w:val="30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  24.1*</w:t>
            </w:r>
          </w:p>
        </w:tc>
        <w:tc>
          <w:tcPr>
            <w:tcW w:w="620" w:type="dxa"/>
            <w:vAlign w:val="bottom"/>
          </w:tcPr>
          <w:p>
            <w:pPr>
              <w:spacing w:after="0"/>
              <w:rPr>
                <w:sz w:val="24"/>
                <w:szCs w:val="24"/>
                <w:color w:val="auto"/>
              </w:rPr>
            </w:pPr>
          </w:p>
        </w:tc>
        <w:tc>
          <w:tcPr>
            <w:tcW w:w="366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Power of Attorney (included on the signature page)</w:t>
            </w:r>
          </w:p>
        </w:tc>
        <w:tc>
          <w:tcPr>
            <w:tcW w:w="860" w:type="dxa"/>
            <w:vAlign w:val="bottom"/>
            <w:tcBorders>
              <w:top w:val="single" w:sz="8" w:color="0000EE"/>
            </w:tcBorders>
            <w:gridSpan w:val="2"/>
          </w:tcPr>
          <w:p>
            <w:pPr>
              <w:spacing w:after="0"/>
              <w:rPr>
                <w:sz w:val="24"/>
                <w:szCs w:val="24"/>
                <w:color w:val="auto"/>
              </w:rPr>
            </w:pPr>
          </w:p>
        </w:tc>
        <w:tc>
          <w:tcPr>
            <w:tcW w:w="5060" w:type="dxa"/>
            <w:vAlign w:val="bottom"/>
            <w:gridSpan w:val="7"/>
          </w:tcPr>
          <w:p>
            <w:pPr>
              <w:spacing w:after="0"/>
              <w:rPr>
                <w:sz w:val="24"/>
                <w:szCs w:val="24"/>
                <w:color w:val="auto"/>
              </w:rPr>
            </w:pPr>
          </w:p>
        </w:tc>
      </w:tr>
      <w:tr>
        <w:trPr>
          <w:trHeight w:val="30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620" w:type="dxa"/>
            <w:vAlign w:val="bottom"/>
          </w:tcPr>
          <w:p>
            <w:pPr>
              <w:spacing w:after="0"/>
              <w:rPr>
                <w:sz w:val="24"/>
                <w:szCs w:val="24"/>
                <w:color w:val="auto"/>
              </w:rPr>
            </w:pPr>
          </w:p>
        </w:tc>
        <w:tc>
          <w:tcPr>
            <w:tcW w:w="10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Filing fee table</w:t>
            </w:r>
          </w:p>
        </w:tc>
        <w:tc>
          <w:tcPr>
            <w:tcW w:w="8500" w:type="dxa"/>
            <w:vAlign w:val="bottom"/>
            <w:gridSpan w:val="12"/>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110490</wp:posOffset>
            </wp:positionV>
            <wp:extent cx="755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75" w:lineRule="exact"/>
        <w:rPr>
          <w:sz w:val="20"/>
          <w:szCs w:val="20"/>
          <w:color w:val="auto"/>
        </w:rPr>
      </w:pPr>
    </w:p>
    <w:p>
      <w:pPr>
        <w:ind w:left="426" w:hanging="426"/>
        <w:spacing w:after="0"/>
        <w:tabs>
          <w:tab w:leader="none" w:pos="42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5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6"/>
          </w:cols>
          <w:pgMar w:left="494" w:top="264" w:right="4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SIGNATURES</w:t>
      </w:r>
    </w:p>
    <w:p>
      <w:pPr>
        <w:spacing w:after="0" w:line="224" w:lineRule="exact"/>
        <w:rPr>
          <w:sz w:val="20"/>
          <w:szCs w:val="20"/>
          <w:color w:val="auto"/>
        </w:rPr>
      </w:pPr>
    </w:p>
    <w:p>
      <w:pPr>
        <w:ind w:right="560" w:firstLine="436"/>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Abivax SA certifies that it has reasonable grounds to believe that it meets all of the requirements for filing on Form S-8 and has duly caused this Registration Statement to be signed on its behalf by the undersigned, thereunto duly authorized, in Paris, France on March 23, 2026.</w:t>
      </w:r>
    </w:p>
    <w:p>
      <w:pPr>
        <w:spacing w:after="0" w:line="20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Abivax SA</w:t>
      </w:r>
    </w:p>
    <w:p>
      <w:pPr>
        <w:spacing w:after="0" w:line="220" w:lineRule="exact"/>
        <w:rPr>
          <w:sz w:val="20"/>
          <w:szCs w:val="20"/>
          <w:color w:val="auto"/>
        </w:rPr>
      </w:pPr>
    </w:p>
    <w:tbl>
      <w:tblPr>
        <w:tblLayout w:type="fixed"/>
        <w:tblInd w:w="6540" w:type="dxa"/>
        <w:tblCellMar>
          <w:top w:w="0" w:type="dxa"/>
          <w:left w:w="0" w:type="dxa"/>
          <w:bottom w:w="0" w:type="dxa"/>
          <w:right w:w="0" w:type="dxa"/>
        </w:tblCellMar>
      </w:tblPr>
      <w:tr>
        <w:trPr>
          <w:trHeight w:val="2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Marc de Garidel</w:t>
            </w:r>
          </w:p>
        </w:tc>
      </w:tr>
      <w:tr>
        <w:trPr>
          <w:trHeight w:val="202"/>
        </w:trPr>
        <w:tc>
          <w:tcPr>
            <w:tcW w:w="5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Marc de Garidel</w:t>
            </w:r>
          </w:p>
        </w:tc>
      </w:tr>
      <w:tr>
        <w:trPr>
          <w:trHeight w:val="23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 AND SIGNATURES</w:t>
      </w:r>
    </w:p>
    <w:p>
      <w:pPr>
        <w:spacing w:after="0" w:line="224" w:lineRule="exact"/>
        <w:rPr>
          <w:sz w:val="20"/>
          <w:szCs w:val="20"/>
          <w:color w:val="auto"/>
        </w:rPr>
      </w:pPr>
    </w:p>
    <w:p>
      <w:pPr>
        <w:ind w:right="40" w:firstLine="436"/>
        <w:spacing w:after="0" w:line="252" w:lineRule="auto"/>
        <w:rPr>
          <w:sz w:val="20"/>
          <w:szCs w:val="20"/>
          <w:color w:val="auto"/>
        </w:rPr>
      </w:pPr>
      <w:r>
        <w:rPr>
          <w:rFonts w:ascii="Times New Roman" w:cs="Times New Roman" w:eastAsia="Times New Roman" w:hAnsi="Times New Roman"/>
          <w:sz w:val="18"/>
          <w:szCs w:val="18"/>
          <w:color w:val="auto"/>
        </w:rPr>
        <w:t>KNOW ALL BY THESE PRESENTS, that each person whose signature appears below constitutes and appoints Marc de Garidel and Didier Blondel, and each of them, as his or her true and lawful attorney-in-fact and agents, each with the full power of substitution, for him or her and in his or her name, place or stead, in any and all capacities, to sign any and all amendments to this registration statement (including post-effective amendments), and to file the same, with exhibits thereto and other documents in connection therewith, with the Securities and Exchange Commission, granting unto said attorney-in-fact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agents, or their or his substitute or substitutes, may lawfully do or cause to be done by virtue hereof.</w:t>
      </w:r>
    </w:p>
    <w:p>
      <w:pPr>
        <w:spacing w:after="0" w:line="189" w:lineRule="exact"/>
        <w:rPr>
          <w:sz w:val="20"/>
          <w:szCs w:val="20"/>
          <w:color w:val="auto"/>
        </w:rPr>
      </w:pPr>
    </w:p>
    <w:p>
      <w:pPr>
        <w:ind w:right="220" w:firstLine="436"/>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0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07"/>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Marc de Garidel</w:t>
            </w:r>
          </w:p>
        </w:tc>
        <w:tc>
          <w:tcPr>
            <w:tcW w:w="1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Executive Officer and 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23,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 de Garidel</w:t>
            </w:r>
          </w:p>
        </w:tc>
        <w:tc>
          <w:tcPr>
            <w:tcW w:w="120" w:type="dxa"/>
            <w:vAlign w:val="bottom"/>
          </w:tcPr>
          <w:p>
            <w:pPr>
              <w:spacing w:after="0"/>
              <w:rPr>
                <w:sz w:val="19"/>
                <w:szCs w:val="19"/>
                <w:color w:val="auto"/>
              </w:rPr>
            </w:pPr>
          </w:p>
        </w:tc>
        <w:tc>
          <w:tcPr>
            <w:tcW w:w="4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c>
          <w:tcPr>
            <w:tcW w:w="174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Didier Blondel</w:t>
            </w:r>
          </w:p>
        </w:tc>
        <w:tc>
          <w:tcPr>
            <w:tcW w:w="120" w:type="dxa"/>
            <w:vAlign w:val="bottom"/>
          </w:tcPr>
          <w:p>
            <w:pPr>
              <w:spacing w:after="0"/>
              <w:rPr>
                <w:sz w:val="24"/>
                <w:szCs w:val="24"/>
                <w:color w:val="auto"/>
              </w:rPr>
            </w:pPr>
          </w:p>
        </w:tc>
        <w:tc>
          <w:tcPr>
            <w:tcW w:w="4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Chief Financial Officer and Board Secretary</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23,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Didier Blondel</w:t>
            </w:r>
          </w:p>
        </w:tc>
        <w:tc>
          <w:tcPr>
            <w:tcW w:w="120" w:type="dxa"/>
            <w:vAlign w:val="bottom"/>
          </w:tcPr>
          <w:p>
            <w:pPr>
              <w:spacing w:after="0"/>
              <w:rPr>
                <w:sz w:val="19"/>
                <w:szCs w:val="19"/>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8"/>
                <w:szCs w:val="18"/>
                <w:i w:val="1"/>
                <w:iCs w:val="1"/>
                <w:color w:val="auto"/>
                <w:w w:val="98"/>
              </w:rPr>
              <w:t>Principal Financial Officer and Principal Accounting Officer</w:t>
            </w:r>
            <w:r>
              <w:rPr>
                <w:rFonts w:ascii="Times New Roman" w:cs="Times New Roman" w:eastAsia="Times New Roman" w:hAnsi="Times New Roman"/>
                <w:sz w:val="18"/>
                <w:szCs w:val="18"/>
                <w:color w:val="auto"/>
                <w:w w:val="98"/>
              </w:rPr>
              <w:t>)</w:t>
            </w:r>
          </w:p>
        </w:tc>
        <w:tc>
          <w:tcPr>
            <w:tcW w:w="174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Sylvie Grégoire</w:t>
            </w:r>
          </w:p>
        </w:tc>
        <w:tc>
          <w:tcPr>
            <w:tcW w:w="1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Chair of the Board</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23,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Sylvie Grégoire</w:t>
            </w:r>
          </w:p>
        </w:tc>
        <w:tc>
          <w:tcPr>
            <w:tcW w:w="1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Corinna zur Bonsen-Thomas</w:t>
            </w:r>
          </w:p>
        </w:tc>
        <w:tc>
          <w:tcPr>
            <w:tcW w:w="1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23,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Corinna zur Bonsen-Thomas</w:t>
            </w:r>
          </w:p>
        </w:tc>
        <w:tc>
          <w:tcPr>
            <w:tcW w:w="1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June Lee</w:t>
            </w:r>
          </w:p>
        </w:tc>
        <w:tc>
          <w:tcPr>
            <w:tcW w:w="1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23,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Lee</w:t>
            </w:r>
          </w:p>
        </w:tc>
        <w:tc>
          <w:tcPr>
            <w:tcW w:w="1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Troy Ignelzi</w:t>
            </w:r>
          </w:p>
        </w:tc>
        <w:tc>
          <w:tcPr>
            <w:tcW w:w="1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23,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Troy Ignelzi</w:t>
            </w:r>
          </w:p>
        </w:tc>
        <w:tc>
          <w:tcPr>
            <w:tcW w:w="1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Dominik Höchli</w:t>
            </w:r>
          </w:p>
        </w:tc>
        <w:tc>
          <w:tcPr>
            <w:tcW w:w="1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23,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Dominik Höchli</w:t>
            </w:r>
          </w:p>
        </w:tc>
        <w:tc>
          <w:tcPr>
            <w:tcW w:w="1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Camilla Soenderby</w:t>
            </w:r>
          </w:p>
        </w:tc>
        <w:tc>
          <w:tcPr>
            <w:tcW w:w="1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23,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Camilla Soenderby</w:t>
            </w:r>
          </w:p>
        </w:tc>
        <w:tc>
          <w:tcPr>
            <w:tcW w:w="1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OF AUTHORIZED U.S. REPRESENTATIVE</w:t>
      </w:r>
    </w:p>
    <w:p>
      <w:pPr>
        <w:spacing w:after="0" w:line="224"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18"/>
          <w:szCs w:val="18"/>
          <w:color w:val="auto"/>
        </w:rPr>
        <w:t>Pursuant to the Securities Act of 1933, as amended, the undersigned, the duly authorized representative in the United States of Abivax SA, has signed this registration statement on March 23, 2026.</w:t>
      </w:r>
    </w:p>
    <w:p>
      <w:pPr>
        <w:spacing w:after="0" w:line="19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Marc de Garidel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4156710</wp:posOffset>
            </wp:positionH>
            <wp:positionV relativeFrom="paragraph">
              <wp:posOffset>15875</wp:posOffset>
            </wp:positionV>
            <wp:extent cx="27654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2765425" cy="825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Marc de Garidel</w:t>
      </w:r>
    </w:p>
    <w:p>
      <w:pPr>
        <w:sectPr>
          <w:pgSz w:w="11900" w:h="16838" w:orient="portrait"/>
          <w:cols w:equalWidth="0" w:num="1">
            <w:col w:w="10900"/>
          </w:cols>
          <w:pgMar w:left="500" w:top="264" w:right="4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i w:val="1"/>
          <w:iCs w:val="1"/>
          <w:color w:val="auto"/>
        </w:rPr>
        <w:t>Exhibit 4.4</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Summary of BSA Plans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description is a summary of the principal features of the following share warrant plans of Abivax SA (the “Company”) having U.S.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beneficiaries being registered on the Company’s Registration Statement on Form S-8 to which this description is an exhibit: BSA-2026-1 Plan.</w:t>
      </w:r>
    </w:p>
    <w:p>
      <w:pPr>
        <w:spacing w:after="0" w:line="20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Share warrants (</w:t>
      </w:r>
      <w:r>
        <w:rPr>
          <w:rFonts w:ascii="Times New Roman" w:cs="Times New Roman" w:eastAsia="Times New Roman" w:hAnsi="Times New Roman"/>
          <w:sz w:val="18"/>
          <w:szCs w:val="18"/>
          <w:i w:val="1"/>
          <w:iCs w:val="1"/>
          <w:color w:val="auto"/>
        </w:rPr>
        <w:t>bons de souscription d’actions</w:t>
      </w:r>
      <w:r>
        <w:rPr>
          <w:rFonts w:ascii="Times New Roman" w:cs="Times New Roman" w:eastAsia="Times New Roman" w:hAnsi="Times New Roman"/>
          <w:sz w:val="18"/>
          <w:szCs w:val="18"/>
          <w:color w:val="auto"/>
        </w:rPr>
        <w:t>), or BSAs, entitle a holder to exercise the warrant for the underlying vested shares at an exercise price per share determined by the Company’s board of directors and at least equal to the fair market value of an ordinary share on the date of grant. In addition to any exercise price payable by a holder upon the exercise of any share warrant, share warrants need to be subscribed for at a price which is determined by the board of directors at the time of the grant.</w:t>
      </w:r>
    </w:p>
    <w:p>
      <w:pPr>
        <w:spacing w:after="0" w:line="17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Administration</w:t>
      </w:r>
      <w:r>
        <w:rPr>
          <w:rFonts w:ascii="Times New Roman" w:cs="Times New Roman" w:eastAsia="Times New Roman" w:hAnsi="Times New Roman"/>
          <w:sz w:val="18"/>
          <w:szCs w:val="18"/>
          <w:color w:val="auto"/>
        </w:rPr>
        <w:t>. Pursuant to delegations granted at the Company’s annual meeting, the Company’s board of directors determines the recipients, dates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grant and exercise price of share warrants, the number of share warrants to be granted and the terms and conditions of the share warrants, including their exercise period and their vesting period. In its discretion, the board of directors has the authority to extend the exercise period of share warrants post-termination.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Underlying shares</w:t>
      </w:r>
      <w:r>
        <w:rPr>
          <w:rFonts w:ascii="Times New Roman" w:cs="Times New Roman" w:eastAsia="Times New Roman" w:hAnsi="Times New Roman"/>
          <w:sz w:val="18"/>
          <w:szCs w:val="18"/>
          <w:color w:val="auto"/>
        </w:rPr>
        <w:t>. Each BSA-2026-1 gives the holder the right to purchase one (1) ordinary share.</w:t>
      </w:r>
    </w:p>
    <w:p>
      <w:pPr>
        <w:spacing w:after="0" w:line="22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Allocation</w:t>
      </w:r>
      <w:r>
        <w:rPr>
          <w:rFonts w:ascii="Times New Roman" w:cs="Times New Roman" w:eastAsia="Times New Roman" w:hAnsi="Times New Roman"/>
          <w:sz w:val="18"/>
          <w:szCs w:val="18"/>
          <w:color w:val="auto"/>
        </w:rPr>
        <w:t>. The Company’s BSAs are generally subscribed by officers, directors, employees, consultants or partners of the Company. BSAs 2026-1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 be transferred.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Standard terms</w:t>
      </w:r>
      <w:r>
        <w:rPr>
          <w:rFonts w:ascii="Times New Roman" w:cs="Times New Roman" w:eastAsia="Times New Roman" w:hAnsi="Times New Roman"/>
          <w:sz w:val="18"/>
          <w:szCs w:val="18"/>
          <w:color w:val="auto"/>
        </w:rPr>
        <w:t>. The conditions to exercise BSAs 2026-1 are as follows:</w:t>
      </w:r>
    </w:p>
    <w:p>
      <w:pPr>
        <w:spacing w:after="0" w:line="131" w:lineRule="exact"/>
        <w:rPr>
          <w:sz w:val="20"/>
          <w:szCs w:val="20"/>
          <w:color w:val="auto"/>
        </w:rPr>
      </w:pPr>
    </w:p>
    <w:p>
      <w:pPr>
        <w:ind w:left="960" w:hanging="539"/>
        <w:spacing w:after="0" w:line="25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BSAs 2026-1 will be exercisable for one fourth on February 1st, 2027, for one fourth on February 1st, 2028, for one fourth on February 1st, 2029 and the balance on February 1st, 2030, in one or several occasions. In any event, except in the event of dismissal for serious misconduct or gross negligence, the exercisable BSAs must be exercised by the holder within three (3) months of ceasing to be a member of the Company’s board of directors or an observer to the Board. If they are not exercised within this period or in the event of dismissal for serious misconduct or gross negligence, the exercisable BSAs will become null and void. Additionally, the BSAs will become fully exercisable (i) upon a change of control of the Company, (ii) if the Company is absorbed by another company or (iii) if the Company merges with one or several other companies resulting in the creation of a new entity or (iv) in case of a demerger.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Validity period. </w:t>
      </w:r>
      <w:r>
        <w:rPr>
          <w:rFonts w:ascii="Times New Roman" w:cs="Times New Roman" w:eastAsia="Times New Roman" w:hAnsi="Times New Roman"/>
          <w:sz w:val="18"/>
          <w:szCs w:val="18"/>
          <w:color w:val="auto"/>
        </w:rPr>
        <w:t>All BSAs have a maximum validity period of 10 years as from their issuance.</w:t>
      </w:r>
    </w:p>
    <w:p>
      <w:pPr>
        <w:sectPr>
          <w:pgSz w:w="11900" w:h="16838" w:orient="portrait"/>
          <w:cols w:equalWidth="0" w:num="1">
            <w:col w:w="10900"/>
          </w:cols>
          <w:pgMar w:left="500" w:top="119" w:right="49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i w:val="1"/>
          <w:iCs w:val="1"/>
          <w:color w:val="auto"/>
        </w:rPr>
        <w:t>Exhibit 4.5</w:t>
      </w:r>
    </w:p>
    <w:p>
      <w:pPr>
        <w:spacing w:after="0" w:line="200" w:lineRule="exact"/>
        <w:rPr>
          <w:sz w:val="20"/>
          <w:szCs w:val="20"/>
          <w:color w:val="auto"/>
        </w:rPr>
      </w:pPr>
    </w:p>
    <w:p>
      <w:pPr>
        <w:spacing w:after="0" w:line="23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i w:val="1"/>
          <w:iCs w:val="1"/>
          <w:color w:val="auto"/>
        </w:rPr>
        <w:t>Summary of Free Share Plans</w:t>
      </w:r>
    </w:p>
    <w:p>
      <w:pPr>
        <w:spacing w:after="0" w:line="224" w:lineRule="exact"/>
        <w:rPr>
          <w:sz w:val="20"/>
          <w:szCs w:val="20"/>
          <w:color w:val="auto"/>
        </w:rPr>
      </w:pPr>
    </w:p>
    <w:p>
      <w:pPr>
        <w:jc w:val="both"/>
        <w:ind w:left="6" w:right="780"/>
        <w:spacing w:after="0" w:line="262" w:lineRule="auto"/>
        <w:rPr>
          <w:sz w:val="20"/>
          <w:szCs w:val="20"/>
          <w:color w:val="auto"/>
        </w:rPr>
      </w:pPr>
      <w:r>
        <w:rPr>
          <w:rFonts w:ascii="Times New Roman" w:cs="Times New Roman" w:eastAsia="Times New Roman" w:hAnsi="Times New Roman"/>
          <w:sz w:val="18"/>
          <w:szCs w:val="18"/>
          <w:color w:val="auto"/>
        </w:rPr>
        <w:t>The following description is a summary of the principal features of the following free share plans of Abivax SA (the “Company”) having U.S. beneficiaries being registered on the Company’s Registration on Form S-8 to which this description is an exhibit: AGA-2025-6, AGA-2025-7, AGA-2025-8 and AGA-2026-1.</w:t>
      </w:r>
    </w:p>
    <w:p>
      <w:pPr>
        <w:spacing w:after="0" w:line="17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Free Shares (</w:t>
      </w:r>
      <w:r>
        <w:rPr>
          <w:rFonts w:ascii="Times New Roman" w:cs="Times New Roman" w:eastAsia="Times New Roman" w:hAnsi="Times New Roman"/>
          <w:sz w:val="18"/>
          <w:szCs w:val="18"/>
          <w:i w:val="1"/>
          <w:iCs w:val="1"/>
          <w:color w:val="auto"/>
        </w:rPr>
        <w:t>actions gratuites</w:t>
      </w:r>
      <w:r>
        <w:rPr>
          <w:rFonts w:ascii="Times New Roman" w:cs="Times New Roman" w:eastAsia="Times New Roman" w:hAnsi="Times New Roman"/>
          <w:sz w:val="18"/>
          <w:szCs w:val="18"/>
          <w:color w:val="auto"/>
        </w:rPr>
        <w:t>) are allotted for free to holders. The issuance of the Free Shares occurs automatically at the end of the vesting period</w:t>
      </w:r>
    </w:p>
    <w:p>
      <w:pPr>
        <w:spacing w:after="0" w:line="28" w:lineRule="exact"/>
        <w:rPr>
          <w:sz w:val="20"/>
          <w:szCs w:val="20"/>
          <w:color w:val="auto"/>
        </w:rPr>
      </w:pPr>
    </w:p>
    <w:p>
      <w:pPr>
        <w:ind w:left="6" w:right="2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période d’acquisition</w:t>
      </w:r>
      <w:r>
        <w:rPr>
          <w:rFonts w:ascii="Times New Roman" w:cs="Times New Roman" w:eastAsia="Times New Roman" w:hAnsi="Times New Roman"/>
          <w:sz w:val="18"/>
          <w:szCs w:val="18"/>
          <w:color w:val="auto"/>
        </w:rPr>
        <w:t>), subject to the fulfilment of the vesting conditions (if any), by way of a capital increase, which will be realized by debiting the unavailable reserve (</w:t>
      </w:r>
      <w:r>
        <w:rPr>
          <w:rFonts w:ascii="Times New Roman" w:cs="Times New Roman" w:eastAsia="Times New Roman" w:hAnsi="Times New Roman"/>
          <w:sz w:val="18"/>
          <w:szCs w:val="18"/>
          <w:i w:val="1"/>
          <w:iCs w:val="1"/>
          <w:color w:val="auto"/>
        </w:rPr>
        <w:t>réserve non disponible</w:t>
      </w:r>
      <w:r>
        <w:rPr>
          <w:rFonts w:ascii="Times New Roman" w:cs="Times New Roman" w:eastAsia="Times New Roman" w:hAnsi="Times New Roman"/>
          <w:sz w:val="18"/>
          <w:szCs w:val="18"/>
          <w:color w:val="auto"/>
        </w:rPr>
        <w:t>) established for this matter.</w:t>
      </w:r>
    </w:p>
    <w:p>
      <w:pPr>
        <w:spacing w:after="0" w:line="178" w:lineRule="exact"/>
        <w:rPr>
          <w:sz w:val="20"/>
          <w:szCs w:val="20"/>
          <w:color w:val="auto"/>
        </w:rPr>
      </w:pPr>
    </w:p>
    <w:p>
      <w:pPr>
        <w:ind w:left="6" w:right="2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Administration</w:t>
      </w:r>
      <w:r>
        <w:rPr>
          <w:rFonts w:ascii="Times New Roman" w:cs="Times New Roman" w:eastAsia="Times New Roman" w:hAnsi="Times New Roman"/>
          <w:sz w:val="18"/>
          <w:szCs w:val="18"/>
          <w:color w:val="auto"/>
        </w:rPr>
        <w:t>. Pursuant to authorizations granted at the Company’s annual meeting, the Company’s board of directors determines the recipients,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number of free shares to be granted and the terms and conditions of the free shares, including their vesting calendar and conditions.</w:t>
      </w:r>
    </w:p>
    <w:p>
      <w:pPr>
        <w:spacing w:after="0" w:line="15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Underlying shares. </w:t>
      </w:r>
      <w:r>
        <w:rPr>
          <w:rFonts w:ascii="Times New Roman" w:cs="Times New Roman" w:eastAsia="Times New Roman" w:hAnsi="Times New Roman"/>
          <w:sz w:val="18"/>
          <w:szCs w:val="18"/>
          <w:color w:val="auto"/>
        </w:rPr>
        <w:t>Each Free Share gives the right to one (1) ordinary share.</w:t>
      </w:r>
    </w:p>
    <w:p>
      <w:pPr>
        <w:spacing w:after="0" w:line="22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Allocation</w:t>
      </w:r>
      <w:r>
        <w:rPr>
          <w:rFonts w:ascii="Times New Roman" w:cs="Times New Roman" w:eastAsia="Times New Roman" w:hAnsi="Times New Roman"/>
          <w:sz w:val="18"/>
          <w:szCs w:val="18"/>
          <w:color w:val="auto"/>
        </w:rPr>
        <w:t>. The Company’s Free Shares are generally granted to executive officers, directors, or employees of the Company or its subsidiaries.</w:t>
      </w:r>
    </w:p>
    <w:p>
      <w:pPr>
        <w:spacing w:after="0" w:line="22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Vesting periods and conditions</w:t>
      </w:r>
      <w:r>
        <w:rPr>
          <w:rFonts w:ascii="Times New Roman" w:cs="Times New Roman" w:eastAsia="Times New Roman" w:hAnsi="Times New Roman"/>
          <w:sz w:val="18"/>
          <w:szCs w:val="18"/>
          <w:color w:val="auto"/>
        </w:rPr>
        <w:t>. The Free Shares vest as follows:</w:t>
      </w:r>
    </w:p>
    <w:p>
      <w:pPr>
        <w:spacing w:after="0" w:line="131" w:lineRule="exact"/>
        <w:rPr>
          <w:sz w:val="20"/>
          <w:szCs w:val="20"/>
          <w:color w:val="auto"/>
        </w:rPr>
      </w:pPr>
    </w:p>
    <w:p>
      <w:pPr>
        <w:ind w:left="426" w:hanging="426"/>
        <w:spacing w:after="0"/>
        <w:tabs>
          <w:tab w:leader="none" w:pos="42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Free Shares 2025-6:</w:t>
      </w:r>
    </w:p>
    <w:p>
      <w:pPr>
        <w:spacing w:after="0" w:line="126" w:lineRule="exact"/>
        <w:rPr>
          <w:rFonts w:ascii="Times New Roman" w:cs="Times New Roman" w:eastAsia="Times New Roman" w:hAnsi="Times New Roman"/>
          <w:sz w:val="18"/>
          <w:szCs w:val="18"/>
          <w:color w:val="auto"/>
        </w:rPr>
      </w:pPr>
    </w:p>
    <w:p>
      <w:pPr>
        <w:ind w:left="966" w:hanging="432"/>
        <w:spacing w:after="0"/>
        <w:tabs>
          <w:tab w:leader="none" w:pos="96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Free Shares 2025-6 allocated shall vest two years from the grant (i.e., on May 28, 2027);</w:t>
      </w:r>
    </w:p>
    <w:p>
      <w:pPr>
        <w:spacing w:after="0" w:line="126" w:lineRule="exact"/>
        <w:rPr>
          <w:rFonts w:ascii="Times New Roman" w:cs="Times New Roman" w:eastAsia="Times New Roman" w:hAnsi="Times New Roman"/>
          <w:sz w:val="18"/>
          <w:szCs w:val="18"/>
          <w:color w:val="auto"/>
        </w:rPr>
      </w:pPr>
    </w:p>
    <w:p>
      <w:pPr>
        <w:ind w:left="966" w:hanging="432"/>
        <w:spacing w:after="0"/>
        <w:tabs>
          <w:tab w:leader="none" w:pos="96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Free Shares 2025-6 allocated shall vest three years from the grant (i.e., on May 28, 2028); and</w:t>
      </w:r>
    </w:p>
    <w:p>
      <w:pPr>
        <w:spacing w:after="0" w:line="126" w:lineRule="exact"/>
        <w:rPr>
          <w:rFonts w:ascii="Times New Roman" w:cs="Times New Roman" w:eastAsia="Times New Roman" w:hAnsi="Times New Roman"/>
          <w:sz w:val="18"/>
          <w:szCs w:val="18"/>
          <w:color w:val="auto"/>
        </w:rPr>
      </w:pPr>
    </w:p>
    <w:p>
      <w:pPr>
        <w:ind w:left="966" w:hanging="432"/>
        <w:spacing w:after="0"/>
        <w:tabs>
          <w:tab w:leader="none" w:pos="96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Free Shares 2025-6 allocated shall vest four years from the grant (i.e., on May 28, 2029).</w:t>
      </w:r>
    </w:p>
    <w:p>
      <w:pPr>
        <w:spacing w:after="0" w:line="200" w:lineRule="exact"/>
        <w:rPr>
          <w:sz w:val="20"/>
          <w:szCs w:val="20"/>
          <w:color w:val="auto"/>
        </w:rPr>
      </w:pPr>
    </w:p>
    <w:p>
      <w:pPr>
        <w:spacing w:after="0" w:line="248" w:lineRule="exact"/>
        <w:rPr>
          <w:sz w:val="20"/>
          <w:szCs w:val="20"/>
          <w:color w:val="auto"/>
        </w:rPr>
      </w:pPr>
    </w:p>
    <w:p>
      <w:pPr>
        <w:ind w:left="426" w:hanging="426"/>
        <w:spacing w:after="0"/>
        <w:tabs>
          <w:tab w:leader="none" w:pos="42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Free Shares 2025-7:</w:t>
      </w:r>
    </w:p>
    <w:p>
      <w:pPr>
        <w:spacing w:after="0" w:line="126" w:lineRule="exact"/>
        <w:rPr>
          <w:rFonts w:ascii="Times New Roman" w:cs="Times New Roman" w:eastAsia="Times New Roman" w:hAnsi="Times New Roman"/>
          <w:sz w:val="18"/>
          <w:szCs w:val="18"/>
          <w:color w:val="auto"/>
        </w:rPr>
      </w:pPr>
    </w:p>
    <w:p>
      <w:pPr>
        <w:ind w:left="966" w:hanging="432"/>
        <w:spacing w:after="0"/>
        <w:tabs>
          <w:tab w:leader="none" w:pos="96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Free Shares 2025-7 allocated shall vest two years from the grant (i.e., on August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2027);</w:t>
      </w:r>
    </w:p>
    <w:p>
      <w:pPr>
        <w:spacing w:after="0" w:line="54" w:lineRule="exact"/>
        <w:rPr>
          <w:rFonts w:ascii="Times New Roman" w:cs="Times New Roman" w:eastAsia="Times New Roman" w:hAnsi="Times New Roman"/>
          <w:sz w:val="18"/>
          <w:szCs w:val="18"/>
          <w:color w:val="auto"/>
        </w:rPr>
      </w:pPr>
    </w:p>
    <w:p>
      <w:pPr>
        <w:ind w:left="966" w:hanging="432"/>
        <w:spacing w:after="0"/>
        <w:tabs>
          <w:tab w:leader="none" w:pos="96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Free Shares 2025-7 allocated shall vest three years from the grant (i.e., on August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2028); and</w:t>
      </w:r>
    </w:p>
    <w:p>
      <w:pPr>
        <w:spacing w:after="0" w:line="34" w:lineRule="exact"/>
        <w:rPr>
          <w:rFonts w:ascii="Times New Roman" w:cs="Times New Roman" w:eastAsia="Times New Roman" w:hAnsi="Times New Roman"/>
          <w:sz w:val="18"/>
          <w:szCs w:val="18"/>
          <w:color w:val="auto"/>
        </w:rPr>
      </w:pPr>
    </w:p>
    <w:p>
      <w:pPr>
        <w:ind w:left="966" w:hanging="432"/>
        <w:spacing w:after="0"/>
        <w:tabs>
          <w:tab w:leader="none" w:pos="96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Free Shares 2025-7 allocated shall vest four years from the grant (i.e., on August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2029).</w:t>
      </w:r>
    </w:p>
    <w:p>
      <w:pPr>
        <w:spacing w:after="0" w:line="336" w:lineRule="exact"/>
        <w:rPr>
          <w:sz w:val="20"/>
          <w:szCs w:val="20"/>
          <w:color w:val="auto"/>
        </w:rPr>
      </w:pPr>
    </w:p>
    <w:p>
      <w:pPr>
        <w:ind w:left="426" w:hanging="426"/>
        <w:spacing w:after="0"/>
        <w:tabs>
          <w:tab w:leader="none" w:pos="42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Free Shares 2025-8:</w:t>
      </w:r>
    </w:p>
    <w:p>
      <w:pPr>
        <w:spacing w:after="0" w:line="126" w:lineRule="exact"/>
        <w:rPr>
          <w:rFonts w:ascii="Times New Roman" w:cs="Times New Roman" w:eastAsia="Times New Roman" w:hAnsi="Times New Roman"/>
          <w:sz w:val="18"/>
          <w:szCs w:val="18"/>
          <w:color w:val="auto"/>
        </w:rPr>
      </w:pPr>
    </w:p>
    <w:p>
      <w:pPr>
        <w:ind w:left="966" w:hanging="432"/>
        <w:spacing w:after="0"/>
        <w:tabs>
          <w:tab w:leader="none" w:pos="96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Free Shares 2025-8 allocated shall vest two years from the grant (i.e., on November 13, 2027);</w:t>
      </w:r>
    </w:p>
    <w:p>
      <w:pPr>
        <w:spacing w:after="0" w:line="126" w:lineRule="exact"/>
        <w:rPr>
          <w:rFonts w:ascii="Times New Roman" w:cs="Times New Roman" w:eastAsia="Times New Roman" w:hAnsi="Times New Roman"/>
          <w:sz w:val="18"/>
          <w:szCs w:val="18"/>
          <w:color w:val="auto"/>
        </w:rPr>
      </w:pPr>
    </w:p>
    <w:p>
      <w:pPr>
        <w:ind w:left="966" w:hanging="432"/>
        <w:spacing w:after="0"/>
        <w:tabs>
          <w:tab w:leader="none" w:pos="96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Free Shares 2025-8 allocated shall vest three years from the grant (i.e., on November 13, 2028); and</w:t>
      </w:r>
    </w:p>
    <w:p>
      <w:pPr>
        <w:spacing w:after="0" w:line="126" w:lineRule="exact"/>
        <w:rPr>
          <w:rFonts w:ascii="Times New Roman" w:cs="Times New Roman" w:eastAsia="Times New Roman" w:hAnsi="Times New Roman"/>
          <w:sz w:val="18"/>
          <w:szCs w:val="18"/>
          <w:color w:val="auto"/>
        </w:rPr>
      </w:pPr>
    </w:p>
    <w:p>
      <w:pPr>
        <w:ind w:left="966" w:hanging="432"/>
        <w:spacing w:after="0"/>
        <w:tabs>
          <w:tab w:leader="none" w:pos="96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Free Shares 2025-8 allocated shall vest four years from the grant (i.e., on November 13, 2029).</w:t>
      </w:r>
    </w:p>
    <w:p>
      <w:pPr>
        <w:spacing w:after="0" w:line="200" w:lineRule="exact"/>
        <w:rPr>
          <w:sz w:val="20"/>
          <w:szCs w:val="20"/>
          <w:color w:val="auto"/>
        </w:rPr>
      </w:pPr>
    </w:p>
    <w:p>
      <w:pPr>
        <w:spacing w:after="0" w:line="248" w:lineRule="exact"/>
        <w:rPr>
          <w:sz w:val="20"/>
          <w:szCs w:val="20"/>
          <w:color w:val="auto"/>
        </w:rPr>
      </w:pPr>
    </w:p>
    <w:p>
      <w:pPr>
        <w:ind w:left="426" w:hanging="426"/>
        <w:spacing w:after="0"/>
        <w:tabs>
          <w:tab w:leader="none" w:pos="42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Free Shares 2026-1:</w:t>
      </w:r>
    </w:p>
    <w:p>
      <w:pPr>
        <w:spacing w:after="0" w:line="126" w:lineRule="exact"/>
        <w:rPr>
          <w:rFonts w:ascii="Times New Roman" w:cs="Times New Roman" w:eastAsia="Times New Roman" w:hAnsi="Times New Roman"/>
          <w:sz w:val="18"/>
          <w:szCs w:val="18"/>
          <w:color w:val="auto"/>
        </w:rPr>
      </w:pPr>
    </w:p>
    <w:p>
      <w:pPr>
        <w:ind w:left="966" w:hanging="432"/>
        <w:spacing w:after="0"/>
        <w:tabs>
          <w:tab w:leader="none" w:pos="96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Free Shares 2026-1 allocated shall vest two years from the grant (i.e., on February 5, 2028);</w:t>
      </w:r>
    </w:p>
    <w:p>
      <w:pPr>
        <w:spacing w:after="0" w:line="126" w:lineRule="exact"/>
        <w:rPr>
          <w:rFonts w:ascii="Times New Roman" w:cs="Times New Roman" w:eastAsia="Times New Roman" w:hAnsi="Times New Roman"/>
          <w:sz w:val="18"/>
          <w:szCs w:val="18"/>
          <w:color w:val="auto"/>
        </w:rPr>
      </w:pPr>
    </w:p>
    <w:p>
      <w:pPr>
        <w:ind w:left="966" w:hanging="432"/>
        <w:spacing w:after="0"/>
        <w:tabs>
          <w:tab w:leader="none" w:pos="96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Free Shares 2026-1 allocated shall vest three years from the grant (i.e., on February 5, 2029); and</w:t>
      </w:r>
    </w:p>
    <w:p>
      <w:pPr>
        <w:spacing w:after="0" w:line="126" w:lineRule="exact"/>
        <w:rPr>
          <w:rFonts w:ascii="Times New Roman" w:cs="Times New Roman" w:eastAsia="Times New Roman" w:hAnsi="Times New Roman"/>
          <w:sz w:val="18"/>
          <w:szCs w:val="18"/>
          <w:color w:val="auto"/>
        </w:rPr>
      </w:pPr>
    </w:p>
    <w:p>
      <w:pPr>
        <w:ind w:left="966" w:hanging="432"/>
        <w:spacing w:after="0"/>
        <w:tabs>
          <w:tab w:leader="none" w:pos="96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Free Shares 2026-1 allocated shall vest four years from the grant (i.e., on February 5, 2030).</w:t>
      </w:r>
    </w:p>
    <w:p>
      <w:pPr>
        <w:spacing w:after="0" w:line="114"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A condition of presence is applicable to all Free Shares 2026-1.</w:t>
      </w:r>
    </w:p>
    <w:p>
      <w:pPr>
        <w:sectPr>
          <w:pgSz w:w="11900" w:h="16838" w:orient="portrait"/>
          <w:cols w:equalWidth="0" w:num="1">
            <w:col w:w="10906"/>
          </w:cols>
          <w:pgMar w:left="494" w:top="119"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Standard terms</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Pursuant to Article L.225-197-3, if a holder deceases during the vesting period, heirs may request, within six (6) months of the holder’s death, the immediate allocation of the Free Shares for which the condition of presence and/or the applicable performance condition(s), if any, have been met as of the date of the holder’s death.</w:t>
      </w:r>
    </w:p>
    <w:p>
      <w:pPr>
        <w:spacing w:after="0" w:line="177" w:lineRule="exact"/>
        <w:rPr>
          <w:sz w:val="20"/>
          <w:szCs w:val="20"/>
          <w:color w:val="auto"/>
        </w:rPr>
      </w:pPr>
    </w:p>
    <w:p>
      <w:pPr>
        <w:jc w:val="both"/>
        <w:ind w:right="300"/>
        <w:spacing w:after="0" w:line="308" w:lineRule="auto"/>
        <w:rPr>
          <w:sz w:val="20"/>
          <w:szCs w:val="20"/>
          <w:color w:val="auto"/>
        </w:rPr>
      </w:pPr>
      <w:r>
        <w:rPr>
          <w:rFonts w:ascii="Times New Roman" w:cs="Times New Roman" w:eastAsia="Times New Roman" w:hAnsi="Times New Roman"/>
          <w:sz w:val="17"/>
          <w:szCs w:val="17"/>
          <w:color w:val="auto"/>
        </w:rPr>
        <w:t>In the event that the vesting period expires prior to the second anniversary of the grant of the Free Shares, a lock-up period is applicable to the Free Shares until the date of the second anniversary of the grant. Free Shares vesting after the second anniversary of the grant are not subject to lock-up.</w:t>
      </w:r>
    </w:p>
    <w:p>
      <w:pPr>
        <w:spacing w:after="0" w:line="139" w:lineRule="exact"/>
        <w:rPr>
          <w:sz w:val="20"/>
          <w:szCs w:val="20"/>
          <w:color w:val="auto"/>
        </w:rPr>
      </w:pPr>
    </w:p>
    <w:p>
      <w:pPr>
        <w:ind w:right="560"/>
        <w:spacing w:after="0" w:line="277" w:lineRule="auto"/>
        <w:rPr>
          <w:sz w:val="20"/>
          <w:szCs w:val="20"/>
          <w:color w:val="auto"/>
        </w:rPr>
      </w:pPr>
      <w:r>
        <w:rPr>
          <w:rFonts w:ascii="Times New Roman" w:cs="Times New Roman" w:eastAsia="Times New Roman" w:hAnsi="Times New Roman"/>
          <w:sz w:val="18"/>
          <w:szCs w:val="18"/>
          <w:color w:val="auto"/>
        </w:rPr>
        <w:t>Additionally, all Free Shares are subject to a vesting acceleration condition in case of a tender offer on the securities issued by the company and resulting in a change of control of the company.</w:t>
      </w:r>
    </w:p>
    <w:p>
      <w:pPr>
        <w:sectPr>
          <w:pgSz w:w="11900" w:h="16838" w:orient="portrait"/>
          <w:cols w:equalWidth="0" w:num="1">
            <w:col w:w="10780"/>
          </w:cols>
          <w:pgMar w:left="500" w:top="264" w:right="61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1"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22 rue Bayard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55015" cy="6870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755015" cy="687070"/>
                    </a:xfrm>
                    <a:prstGeom prst="rect">
                      <a:avLst/>
                    </a:prstGeom>
                    <a:noFill/>
                  </pic:spPr>
                </pic:pic>
              </a:graphicData>
            </a:graphic>
          </wp:anchor>
        </w:drawing>
      </w:r>
    </w:p>
    <w:p>
      <w:pPr>
        <w:spacing w:after="0" w:line="6"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75008 Paris</w:t>
      </w:r>
    </w:p>
    <w:p>
      <w:pPr>
        <w:spacing w:after="0" w:line="7"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France</w:t>
      </w:r>
    </w:p>
    <w:p>
      <w:pPr>
        <w:spacing w:after="0" w:line="7"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+33 1 57 57 80 80 Main</w:t>
      </w:r>
    </w:p>
    <w:p>
      <w:pPr>
        <w:spacing w:after="0" w:line="7"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+33 1 57 57 80 81 Fax</w:t>
      </w:r>
    </w:p>
    <w:p>
      <w:pPr>
        <w:spacing w:after="0" w:line="7"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Palais J096</w:t>
      </w:r>
    </w:p>
    <w:p>
      <w:pPr>
        <w:spacing w:after="0" w:line="7"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www.dechert.com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4852035</wp:posOffset>
            </wp:positionH>
            <wp:positionV relativeFrom="paragraph">
              <wp:posOffset>139700</wp:posOffset>
            </wp:positionV>
            <wp:extent cx="20694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2069465"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23, 2026</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Abivax S.A.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7-11 Boulevard Haussmann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75009 Paris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France</w:t>
      </w:r>
    </w:p>
    <w:p>
      <w:pPr>
        <w:spacing w:after="0" w:line="22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Registration Statement on Form S-8 filed by Abivax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52705</wp:posOffset>
            </wp:positionV>
            <wp:extent cx="69215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We have acted as special French counsel to Abivax S.A., a French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filing of the Registration Statement on Form S-8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relating to the registration of up to 989,845 ordinary shares of the Company, par value €0.01 per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pursuant to the Company’s BSA-2026-1 Share Warrants Plan, AGA 2025-6 Free Share Plan, AGA 2025-7 Free Share Plan, AGA 2025-8 Free Share Plan, and AGA 2026-1 Free Share Plan (collectively, the “</w:t>
      </w:r>
      <w:r>
        <w:rPr>
          <w:rFonts w:ascii="Times New Roman" w:cs="Times New Roman" w:eastAsia="Times New Roman" w:hAnsi="Times New Roman"/>
          <w:sz w:val="18"/>
          <w:szCs w:val="18"/>
          <w:u w:val="single" w:color="auto"/>
          <w:color w:val="auto"/>
        </w:rPr>
        <w:t>Plans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In connection with the opinion expressed herein, we have examined such documents, records and matters of law as we have deemed relevant or necessary for purposes of such opinion. We have assumed the genuineness and authenticity of all documents submitted to us as originals and the conformity to originals of all documents submitted to us as copies thereof. In rendering this opinion, as to certain factual matters, we have, with your consent, relied upon oral and written representations of officers of the Company with respect to the accuracy of the factual matters addressed in such representations.</w:t>
      </w:r>
    </w:p>
    <w:p>
      <w:pPr>
        <w:spacing w:after="0" w:line="183" w:lineRule="exact"/>
        <w:rPr>
          <w:sz w:val="20"/>
          <w:szCs w:val="20"/>
          <w:color w:val="auto"/>
        </w:rPr>
      </w:pPr>
    </w:p>
    <w:p>
      <w:pPr>
        <w:ind w:right="200"/>
        <w:spacing w:after="0" w:line="308" w:lineRule="auto"/>
        <w:rPr>
          <w:sz w:val="20"/>
          <w:szCs w:val="20"/>
          <w:color w:val="auto"/>
        </w:rPr>
      </w:pPr>
      <w:r>
        <w:rPr>
          <w:rFonts w:ascii="Times New Roman" w:cs="Times New Roman" w:eastAsia="Times New Roman" w:hAnsi="Times New Roman"/>
          <w:sz w:val="17"/>
          <w:szCs w:val="17"/>
          <w:color w:val="auto"/>
        </w:rPr>
        <w:t>In such examination, we have assumed that the entry into the Plans and the issuance of the Shares by the Company are (a) in the Company’s corporate interest and (b) serving the Company’s corporate purpose (</w:t>
      </w:r>
      <w:r>
        <w:rPr>
          <w:rFonts w:ascii="Times New Roman" w:cs="Times New Roman" w:eastAsia="Times New Roman" w:hAnsi="Times New Roman"/>
          <w:sz w:val="17"/>
          <w:szCs w:val="17"/>
          <w:i w:val="1"/>
          <w:iCs w:val="1"/>
          <w:color w:val="auto"/>
        </w:rPr>
        <w:t>objet social</w:t>
      </w:r>
      <w:r>
        <w:rPr>
          <w:rFonts w:ascii="Times New Roman" w:cs="Times New Roman" w:eastAsia="Times New Roman" w:hAnsi="Times New Roman"/>
          <w:sz w:val="17"/>
          <w:szCs w:val="17"/>
          <w:color w:val="auto"/>
        </w:rPr>
        <w:t xml:space="preserve">) as set forth in its </w:t>
      </w:r>
      <w:r>
        <w:rPr>
          <w:rFonts w:ascii="Times New Roman" w:cs="Times New Roman" w:eastAsia="Times New Roman" w:hAnsi="Times New Roman"/>
          <w:sz w:val="17"/>
          <w:szCs w:val="17"/>
          <w:i w:val="1"/>
          <w:iCs w:val="1"/>
          <w:color w:val="auto"/>
        </w:rPr>
        <w:t>statuts</w:t>
      </w:r>
      <w:r>
        <w:rPr>
          <w:rFonts w:ascii="Times New Roman" w:cs="Times New Roman" w:eastAsia="Times New Roman" w:hAnsi="Times New Roman"/>
          <w:sz w:val="17"/>
          <w:szCs w:val="17"/>
          <w:color w:val="auto"/>
        </w:rPr>
        <w:t xml:space="preserve"> (bylaws) or other constitutional documents.</w:t>
      </w:r>
    </w:p>
    <w:p>
      <w:pPr>
        <w:spacing w:after="0" w:line="13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opinion expressed herein is limited to the laws of France as currently in effect, and we express no opinion as to the effect of the laws of any other jurisdiction. We have assumed that the Company will take no action inconsistent with the Plans and the resolutions authorizing the Company to issue the Shares. We have also assumed that (1) the resolutions authorizing the Company to issue the Shares pursuant to the respective Plans as adopted by the extraordinary shareholders’ meetings,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and, the chief executive officer (</w:t>
      </w:r>
      <w:r>
        <w:rPr>
          <w:rFonts w:ascii="Times New Roman" w:cs="Times New Roman" w:eastAsia="Times New Roman" w:hAnsi="Times New Roman"/>
          <w:sz w:val="18"/>
          <w:szCs w:val="18"/>
          <w:i w:val="1"/>
          <w:iCs w:val="1"/>
          <w:color w:val="auto"/>
        </w:rPr>
        <w:t>directeur général</w:t>
      </w:r>
      <w:r>
        <w:rPr>
          <w:rFonts w:ascii="Times New Roman" w:cs="Times New Roman" w:eastAsia="Times New Roman" w:hAnsi="Times New Roman"/>
          <w:sz w:val="18"/>
          <w:szCs w:val="18"/>
          <w:color w:val="auto"/>
        </w:rPr>
        <w:t>) of the Company, if applicable, have not been or will not be amended or superseded, have been or will be duly passed at duly convened and held meetings and, with respect to the Board, of duly appointed members, (2) the resolutions authorizing the Company to issue the Shares pursuant to the respective Plans as adopted by the shareholders’ meeting, the Board and the chief executive officer (</w:t>
      </w:r>
      <w:r>
        <w:rPr>
          <w:rFonts w:ascii="Times New Roman" w:cs="Times New Roman" w:eastAsia="Times New Roman" w:hAnsi="Times New Roman"/>
          <w:sz w:val="18"/>
          <w:szCs w:val="18"/>
          <w:i w:val="1"/>
          <w:iCs w:val="1"/>
          <w:color w:val="auto"/>
        </w:rPr>
        <w:t>directeur général</w:t>
      </w:r>
      <w:r>
        <w:rPr>
          <w:rFonts w:ascii="Times New Roman" w:cs="Times New Roman" w:eastAsia="Times New Roman" w:hAnsi="Times New Roman"/>
          <w:sz w:val="18"/>
          <w:szCs w:val="18"/>
          <w:color w:val="auto"/>
        </w:rPr>
        <w:t>) of the Company, if applicable, and the applicable award agreements have been or will be in full force and effect on the date of such awards, (3) for any future awards under the Plans, such future awards will be approved by the Board and, if applicable, the chief executive officer (</w:t>
      </w:r>
      <w:r>
        <w:rPr>
          <w:rFonts w:ascii="Times New Roman" w:cs="Times New Roman" w:eastAsia="Times New Roman" w:hAnsi="Times New Roman"/>
          <w:sz w:val="18"/>
          <w:szCs w:val="18"/>
          <w:i w:val="1"/>
          <w:iCs w:val="1"/>
          <w:color w:val="auto"/>
        </w:rPr>
        <w:t>directeur général</w:t>
      </w:r>
      <w:r>
        <w:rPr>
          <w:rFonts w:ascii="Times New Roman" w:cs="Times New Roman" w:eastAsia="Times New Roman" w:hAnsi="Times New Roman"/>
          <w:sz w:val="18"/>
          <w:szCs w:val="18"/>
          <w:color w:val="auto"/>
        </w:rPr>
        <w:t>) of the Company in accordance with applicable law, the resolutions of the shareholders’ meeting and with the terms of the relevant Plan, (4) the amount of Shares awarded under the Plans have been and will remain within the limits of the then authorized but unissued amounts of Shares pursuant to the resolutions set forth in (2) above, and (5) all Shares issued under the Plans will be issued in compliance with applicable law and with the relevant terms of the Plans.</w:t>
      </w:r>
    </w:p>
    <w:p>
      <w:pPr>
        <w:spacing w:after="0" w:line="19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Dechert (Paris) LLP est un limited liability partnership immatriculé en Angleterre et au Pays de Galles (No. d’immatriculation OC332363), autorisé et régi par la Solicitors Regulation Authority, inscrit au Barreau de Paris en application de la Directive 98/5/CE. La liste des membres et non-membres de Dechert (Paris) LLP désignés comme associés (qui sont solicitors ou registered foreign lawyers et/ou membres du Barreau de Paris) peut être consultée à l’adresse ci-dessous à notre siège sis: 160 Queen Victoria Street, Londres EC4V 4QQ, Royaume-Uni.</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Membre d’une association agréée, le règlement des honoraires par chèque ou virement bancaire est accepté.</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Dechert exerce en tant que limited liability partnership ou limited liability company hors Dublin et Hong Kong.</w:t>
      </w:r>
    </w:p>
    <w:p>
      <w:pPr>
        <w:sectPr>
          <w:pgSz w:w="11900" w:h="16838" w:orient="portrait"/>
          <w:cols w:equalWidth="0" w:num="1">
            <w:col w:w="10900"/>
          </w:cols>
          <w:pgMar w:left="500" w:top="117" w:right="499" w:bottom="1440" w:gutter="0" w:footer="0" w:header="0"/>
        </w:sectPr>
      </w:pPr>
    </w:p>
    <w:bookmarkStart w:id="10" w:name="page11"/>
    <w:bookmarkEnd w:id="10"/>
    <w:p>
      <w:pPr>
        <w:jc w:val="both"/>
        <w:ind w:left="6" w:right="16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318135</wp:posOffset>
            </wp:positionH>
            <wp:positionV relativeFrom="page">
              <wp:posOffset>182245</wp:posOffset>
            </wp:positionV>
            <wp:extent cx="2094865" cy="262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2094865" cy="262890"/>
                    </a:xfrm>
                    <a:prstGeom prst="rect">
                      <a:avLst/>
                    </a:prstGeom>
                    <a:noFill/>
                  </pic:spPr>
                </pic:pic>
              </a:graphicData>
            </a:graphic>
          </wp:anchor>
        </w:drawing>
        <w:t>Based on the foregoing, and subject to the further limitations, qualifications and assumptions set forth herein, we are of the opinion that the Shares that may be issued pursuant to the Plans have been duly authorized by the Shareholders’ Meeting and, when issued in accordance with the respective Plans and against payment of due consideration therefor (to the extent applicable), will be validly issued, fully paid and non-assessable.</w:t>
      </w:r>
    </w:p>
    <w:p>
      <w:pPr>
        <w:spacing w:after="0" w:line="177" w:lineRule="exact"/>
        <w:rPr>
          <w:sz w:val="20"/>
          <w:szCs w:val="20"/>
          <w:color w:val="auto"/>
        </w:rPr>
      </w:pPr>
    </w:p>
    <w:p>
      <w:pPr>
        <w:ind w:left="6" w:right="120"/>
        <w:spacing w:after="0" w:line="262" w:lineRule="auto"/>
        <w:rPr>
          <w:sz w:val="20"/>
          <w:szCs w:val="20"/>
          <w:color w:val="auto"/>
        </w:rPr>
      </w:pPr>
      <w:r>
        <w:rPr>
          <w:rFonts w:ascii="Times New Roman" w:cs="Times New Roman" w:eastAsia="Times New Roman" w:hAnsi="Times New Roman"/>
          <w:sz w:val="18"/>
          <w:szCs w:val="18"/>
          <w:color w:val="auto"/>
        </w:rPr>
        <w:t>The term “non-assessable”, which has no recognized meaning in French law, for the purposes of this opinion means that no present or future holder of Shares issued under the Plans will be subject to personal liability, by reason of being such a holder, for additional payments or calls for further funds by the Company or any other person after the issuance of the Shares issued under the Plans.</w:t>
      </w:r>
    </w:p>
    <w:p>
      <w:pPr>
        <w:spacing w:after="0" w:line="177" w:lineRule="exact"/>
        <w:rPr>
          <w:sz w:val="20"/>
          <w:szCs w:val="20"/>
          <w:color w:val="auto"/>
        </w:rPr>
      </w:pPr>
    </w:p>
    <w:p>
      <w:pPr>
        <w:ind w:left="6" w:right="120"/>
        <w:spacing w:after="0" w:line="277" w:lineRule="auto"/>
        <w:rPr>
          <w:sz w:val="20"/>
          <w:szCs w:val="20"/>
          <w:color w:val="auto"/>
        </w:rPr>
      </w:pPr>
      <w:r>
        <w:rPr>
          <w:rFonts w:ascii="Times New Roman" w:cs="Times New Roman" w:eastAsia="Times New Roman" w:hAnsi="Times New Roman"/>
          <w:sz w:val="18"/>
          <w:szCs w:val="18"/>
          <w:color w:val="auto"/>
        </w:rPr>
        <w:t>We do not undertake or accept any obligation to update this opinion to reflect subsequent changes in French law or factual matters arising after the date of effectiveness of this Registration Statement.</w:t>
      </w:r>
    </w:p>
    <w:p>
      <w:pPr>
        <w:spacing w:after="0" w:line="16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The opinion set out above is subject to the following qualifications:</w:t>
      </w:r>
    </w:p>
    <w:p>
      <w:pPr>
        <w:spacing w:after="0" w:line="127" w:lineRule="exact"/>
        <w:rPr>
          <w:sz w:val="20"/>
          <w:szCs w:val="20"/>
          <w:color w:val="auto"/>
        </w:rPr>
      </w:pPr>
    </w:p>
    <w:p>
      <w:pPr>
        <w:ind w:left="426" w:right="480" w:hanging="426"/>
        <w:spacing w:after="0" w:line="262" w:lineRule="auto"/>
        <w:tabs>
          <w:tab w:leader="none" w:pos="42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investigated or verified the truth, accuracy or appropriateness of any representations of factual nature made by the parties in the Registration Statement, or of any information, opinion or statement of facts relating to the Company, or the Shares contained in the aforementioned document, nor have we been responsible for ensuring that no material information has been omitted from it; and</w:t>
      </w:r>
    </w:p>
    <w:p>
      <w:pPr>
        <w:spacing w:after="0" w:line="81"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opinion is subject to any limitation arising from ad hoc mandate (</w:t>
      </w:r>
      <w:r>
        <w:rPr>
          <w:rFonts w:ascii="Times New Roman" w:cs="Times New Roman" w:eastAsia="Times New Roman" w:hAnsi="Times New Roman"/>
          <w:sz w:val="18"/>
          <w:szCs w:val="18"/>
          <w:i w:val="1"/>
          <w:iCs w:val="1"/>
          <w:color w:val="auto"/>
        </w:rPr>
        <w:t>mandat ad hoc</w:t>
      </w:r>
      <w:r>
        <w:rPr>
          <w:rFonts w:ascii="Times New Roman" w:cs="Times New Roman" w:eastAsia="Times New Roman" w:hAnsi="Times New Roman"/>
          <w:sz w:val="18"/>
          <w:szCs w:val="18"/>
          <w:color w:val="auto"/>
        </w:rPr>
        <w:t>), conciliation (</w:t>
      </w:r>
      <w:r>
        <w:rPr>
          <w:rFonts w:ascii="Times New Roman" w:cs="Times New Roman" w:eastAsia="Times New Roman" w:hAnsi="Times New Roman"/>
          <w:sz w:val="18"/>
          <w:szCs w:val="18"/>
          <w:i w:val="1"/>
          <w:iCs w:val="1"/>
          <w:color w:val="auto"/>
        </w:rPr>
        <w:t>conciliation</w:t>
      </w:r>
      <w:r>
        <w:rPr>
          <w:rFonts w:ascii="Times New Roman" w:cs="Times New Roman" w:eastAsia="Times New Roman" w:hAnsi="Times New Roman"/>
          <w:sz w:val="18"/>
          <w:szCs w:val="18"/>
          <w:color w:val="auto"/>
        </w:rPr>
        <w:t>), accelerated safeguard</w:t>
      </w:r>
    </w:p>
    <w:p>
      <w:pPr>
        <w:spacing w:after="0" w:line="27" w:lineRule="exact"/>
        <w:rPr>
          <w:rFonts w:ascii="Times New Roman" w:cs="Times New Roman" w:eastAsia="Times New Roman" w:hAnsi="Times New Roman"/>
          <w:sz w:val="18"/>
          <w:szCs w:val="18"/>
          <w:color w:val="auto"/>
        </w:rPr>
      </w:pPr>
    </w:p>
    <w:p>
      <w:pPr>
        <w:ind w:left="426" w:right="60"/>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sauvegarde accélérée</w:t>
      </w:r>
      <w:r>
        <w:rPr>
          <w:rFonts w:ascii="Times New Roman" w:cs="Times New Roman" w:eastAsia="Times New Roman" w:hAnsi="Times New Roman"/>
          <w:sz w:val="18"/>
          <w:szCs w:val="18"/>
          <w:color w:val="auto"/>
        </w:rPr>
        <w:t>), safeguard (</w:t>
      </w:r>
      <w:r>
        <w:rPr>
          <w:rFonts w:ascii="Times New Roman" w:cs="Times New Roman" w:eastAsia="Times New Roman" w:hAnsi="Times New Roman"/>
          <w:sz w:val="18"/>
          <w:szCs w:val="18"/>
          <w:i w:val="1"/>
          <w:iCs w:val="1"/>
          <w:color w:val="auto"/>
        </w:rPr>
        <w:t>sauvegarde</w:t>
      </w:r>
      <w:r>
        <w:rPr>
          <w:rFonts w:ascii="Times New Roman" w:cs="Times New Roman" w:eastAsia="Times New Roman" w:hAnsi="Times New Roman"/>
          <w:sz w:val="18"/>
          <w:szCs w:val="18"/>
          <w:color w:val="auto"/>
        </w:rPr>
        <w:t>), judicial reorganisation (</w:t>
      </w:r>
      <w:r>
        <w:rPr>
          <w:rFonts w:ascii="Times New Roman" w:cs="Times New Roman" w:eastAsia="Times New Roman" w:hAnsi="Times New Roman"/>
          <w:sz w:val="18"/>
          <w:szCs w:val="18"/>
          <w:i w:val="1"/>
          <w:iCs w:val="1"/>
          <w:color w:val="auto"/>
        </w:rPr>
        <w:t>redressement judiciaire</w:t>
      </w:r>
      <w:r>
        <w:rPr>
          <w:rFonts w:ascii="Times New Roman" w:cs="Times New Roman" w:eastAsia="Times New Roman" w:hAnsi="Times New Roman"/>
          <w:sz w:val="18"/>
          <w:szCs w:val="18"/>
          <w:color w:val="auto"/>
        </w:rPr>
        <w:t>), judicial liquidation (</w:t>
      </w:r>
      <w:r>
        <w:rPr>
          <w:rFonts w:ascii="Times New Roman" w:cs="Times New Roman" w:eastAsia="Times New Roman" w:hAnsi="Times New Roman"/>
          <w:sz w:val="18"/>
          <w:szCs w:val="18"/>
          <w:i w:val="1"/>
          <w:iCs w:val="1"/>
          <w:color w:val="auto"/>
        </w:rPr>
        <w:t>liquidation judiciaire</w:t>
      </w:r>
      <w:r>
        <w:rPr>
          <w:rFonts w:ascii="Times New Roman" w:cs="Times New Roman" w:eastAsia="Times New Roman" w:hAnsi="Times New Roman"/>
          <w:sz w:val="18"/>
          <w:szCs w:val="18"/>
          <w:color w:val="auto"/>
        </w:rPr>
        <w:t>) (including a provision that creditors’ proofs of debts denominated in foreign currencies would be converted into euros at the rate applicable on the date of the court decision instituting the accelerated safeguard (</w:t>
      </w:r>
      <w:r>
        <w:rPr>
          <w:rFonts w:ascii="Times New Roman" w:cs="Times New Roman" w:eastAsia="Times New Roman" w:hAnsi="Times New Roman"/>
          <w:sz w:val="18"/>
          <w:szCs w:val="18"/>
          <w:i w:val="1"/>
          <w:iCs w:val="1"/>
          <w:color w:val="auto"/>
        </w:rPr>
        <w:t>sauvegarde accélérée</w:t>
      </w:r>
      <w:r>
        <w:rPr>
          <w:rFonts w:ascii="Times New Roman" w:cs="Times New Roman" w:eastAsia="Times New Roman" w:hAnsi="Times New Roman"/>
          <w:sz w:val="18"/>
          <w:szCs w:val="18"/>
          <w:color w:val="auto"/>
        </w:rPr>
        <w:t>), the safeguard (</w:t>
      </w:r>
      <w:r>
        <w:rPr>
          <w:rFonts w:ascii="Times New Roman" w:cs="Times New Roman" w:eastAsia="Times New Roman" w:hAnsi="Times New Roman"/>
          <w:sz w:val="18"/>
          <w:szCs w:val="18"/>
          <w:i w:val="1"/>
          <w:iCs w:val="1"/>
          <w:color w:val="auto"/>
        </w:rPr>
        <w:t>sauvegarde)</w:t>
      </w:r>
      <w:r>
        <w:rPr>
          <w:rFonts w:ascii="Times New Roman" w:cs="Times New Roman" w:eastAsia="Times New Roman" w:hAnsi="Times New Roman"/>
          <w:sz w:val="18"/>
          <w:szCs w:val="18"/>
          <w:color w:val="auto"/>
        </w:rPr>
        <w:t>, the judicial reorganization (</w:t>
      </w:r>
      <w:r>
        <w:rPr>
          <w:rFonts w:ascii="Times New Roman" w:cs="Times New Roman" w:eastAsia="Times New Roman" w:hAnsi="Times New Roman"/>
          <w:sz w:val="18"/>
          <w:szCs w:val="18"/>
          <w:i w:val="1"/>
          <w:iCs w:val="1"/>
          <w:color w:val="auto"/>
        </w:rPr>
        <w:t>redressement judiciaire</w:t>
      </w:r>
      <w:r>
        <w:rPr>
          <w:rFonts w:ascii="Times New Roman" w:cs="Times New Roman" w:eastAsia="Times New Roman" w:hAnsi="Times New Roman"/>
          <w:sz w:val="18"/>
          <w:szCs w:val="18"/>
          <w:color w:val="auto"/>
        </w:rPr>
        <w:t>), and the judicial liquidation (</w:t>
      </w:r>
      <w:r>
        <w:rPr>
          <w:rFonts w:ascii="Times New Roman" w:cs="Times New Roman" w:eastAsia="Times New Roman" w:hAnsi="Times New Roman"/>
          <w:sz w:val="18"/>
          <w:szCs w:val="18"/>
          <w:i w:val="1"/>
          <w:iCs w:val="1"/>
          <w:color w:val="auto"/>
        </w:rPr>
        <w:t>liquidation judiciaire</w:t>
      </w:r>
      <w:r>
        <w:rPr>
          <w:rFonts w:ascii="Times New Roman" w:cs="Times New Roman" w:eastAsia="Times New Roman" w:hAnsi="Times New Roman"/>
          <w:sz w:val="18"/>
          <w:szCs w:val="18"/>
          <w:color w:val="auto"/>
        </w:rPr>
        <w:t>) proceedings), insolvency, moratorium and other laws of general application affecting the rights of creditors.</w:t>
      </w:r>
    </w:p>
    <w:p>
      <w:pPr>
        <w:spacing w:after="0" w:line="190" w:lineRule="exact"/>
        <w:rPr>
          <w:sz w:val="20"/>
          <w:szCs w:val="20"/>
          <w:color w:val="auto"/>
        </w:rPr>
      </w:pPr>
    </w:p>
    <w:p>
      <w:pPr>
        <w:ind w:left="6" w:right="180"/>
        <w:spacing w:after="0" w:line="262" w:lineRule="auto"/>
        <w:rPr>
          <w:sz w:val="20"/>
          <w:szCs w:val="20"/>
          <w:color w:val="auto"/>
        </w:rPr>
      </w:pPr>
      <w:r>
        <w:rPr>
          <w:rFonts w:ascii="Times New Roman" w:cs="Times New Roman" w:eastAsia="Times New Roman" w:hAnsi="Times New Roman"/>
          <w:sz w:val="18"/>
          <w:szCs w:val="18"/>
          <w:color w:val="auto"/>
        </w:rPr>
        <w:t>We are members of the Paris bar and this opinion is limited to the laws of the Republic of France. This opinion is subject to the sovereign power of the French courts to interpret agreements and assess the facts and circumstances of any adjudication. This opinion is given on the basis that it is to be governed by, and construed in accordance with the laws of the Republic of France.</w:t>
      </w:r>
    </w:p>
    <w:p>
      <w:pPr>
        <w:spacing w:after="0" w:line="177" w:lineRule="exact"/>
        <w:rPr>
          <w:sz w:val="20"/>
          <w:szCs w:val="20"/>
          <w:color w:val="auto"/>
        </w:rPr>
      </w:pPr>
    </w:p>
    <w:p>
      <w:pPr>
        <w:ind w:left="6"/>
        <w:spacing w:after="0" w:line="257" w:lineRule="auto"/>
        <w:rPr>
          <w:sz w:val="20"/>
          <w:szCs w:val="20"/>
          <w:color w:val="auto"/>
        </w:rPr>
      </w:pPr>
      <w:r>
        <w:rPr>
          <w:rFonts w:ascii="Times New Roman" w:cs="Times New Roman" w:eastAsia="Times New Roman" w:hAnsi="Times New Roman"/>
          <w:sz w:val="18"/>
          <w:szCs w:val="18"/>
          <w:color w:val="auto"/>
        </w:rPr>
        <w:t>We hereby consent to the filing of this opinion as Exhibit 5.1 to the Registration Statement filed by the Company to effect registration of the Shares to be issued and sold pursuant to each Plan under the Securities Act of 1933, as amended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In giving such consent, we do not thereby admit that we are included in the category of persons whose consent is required under Section 7 of the Act or the rules and regulations of the U.S. Securities and Exchange Commission promulgated thereunder.</w:t>
      </w:r>
    </w:p>
    <w:p>
      <w:pPr>
        <w:spacing w:after="0" w:line="20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/s/ Dechert (Paris) LLP</w:t>
      </w:r>
    </w:p>
    <w:p>
      <w:pPr>
        <w:spacing w:after="0" w:line="15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6"/>
          </w:cols>
          <w:pgMar w:left="494" w:top="829" w:right="49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0" w:lineRule="exact"/>
        <w:rPr>
          <w:sz w:val="20"/>
          <w:szCs w:val="20"/>
          <w:color w:val="auto"/>
        </w:rPr>
      </w:pPr>
    </w:p>
    <w:p>
      <w:pPr>
        <w:ind w:right="440"/>
        <w:spacing w:after="0" w:line="277"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Abivax SA of our report dated March 23, 2026, relating to the financial statements, which appears in Abivax SA’s Annual Report on Form 20-F for the year ended December 31, 2025.</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Audit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Neuilly-sur-Seine, France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23, 2026</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00"/>
          </w:cols>
          <w:pgMar w:left="500" w:top="117" w:right="499" w:bottom="1440" w:gutter="0" w:footer="0" w:header="0"/>
        </w:sectPr>
      </w:pPr>
    </w:p>
    <w:bookmarkStart w:id="12" w:name="page13"/>
    <w:bookmarkEnd w:id="12"/>
    <w:p>
      <w:pPr>
        <w:ind w:left="2280"/>
        <w:spacing w:after="0"/>
        <w:rPr>
          <w:sz w:val="20"/>
          <w:szCs w:val="20"/>
          <w:color w:val="auto"/>
        </w:rPr>
      </w:pPr>
      <w:r>
        <w:rPr>
          <w:rFonts w:ascii="Arial" w:cs="Arial" w:eastAsia="Arial" w:hAnsi="Arial"/>
          <w:sz w:val="35"/>
          <w:szCs w:val="35"/>
          <w:b w:val="1"/>
          <w:bCs w:val="1"/>
          <w:color w:val="auto"/>
        </w:rPr>
        <w:t>Calculation of Filing Fee Tables</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160"/>
        <w:spacing w:after="0"/>
        <w:rPr>
          <w:sz w:val="20"/>
          <w:szCs w:val="20"/>
          <w:color w:val="auto"/>
        </w:rPr>
      </w:pPr>
      <w:r>
        <w:rPr>
          <w:rFonts w:ascii="Arial" w:cs="Arial" w:eastAsia="Arial" w:hAnsi="Arial"/>
          <w:sz w:val="36"/>
          <w:szCs w:val="36"/>
          <w:b w:val="1"/>
          <w:bCs w:val="1"/>
          <w:color w:val="auto"/>
        </w:rPr>
        <w:t>Abivax S.A.</w:t>
      </w:r>
    </w:p>
    <w:p>
      <w:pPr>
        <w:spacing w:after="0" w:line="156"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Table 1: Newly Registered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40640</wp:posOffset>
            </wp:positionV>
            <wp:extent cx="6416675" cy="92202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6416675" cy="9220200"/>
                    </a:xfrm>
                    <a:prstGeom prst="rect">
                      <a:avLst/>
                    </a:prstGeom>
                    <a:noFill/>
                  </pic:spPr>
                </pic:pic>
              </a:graphicData>
            </a:graphic>
          </wp:anchor>
        </w:drawing>
      </w:r>
    </w:p>
    <w:p>
      <w:pPr>
        <w:sectPr>
          <w:pgSz w:w="11900" w:h="16838" w:orient="portrait"/>
          <w:cols w:equalWidth="0" w:num="1">
            <w:col w:w="10020"/>
          </w:cols>
          <w:pgMar w:left="940" w:top="142" w:right="939" w:bottom="0" w:gutter="0" w:footer="0" w:header="0"/>
        </w:sectPr>
      </w:pP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561"/>
        </w:trPr>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ind w:left="60"/>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4"/>
                <w:szCs w:val="24"/>
                <w:color w:val="auto"/>
              </w:rPr>
            </w:pPr>
          </w:p>
        </w:tc>
        <w:tc>
          <w:tcPr>
            <w:tcW w:w="1120" w:type="dxa"/>
            <w:vAlign w:val="bottom"/>
            <w:shd w:val="clear" w:color="auto" w:fill="9ADAF6"/>
          </w:tcPr>
          <w:p>
            <w:pPr>
              <w:jc w:val="right"/>
              <w:ind w:right="53"/>
              <w:spacing w:after="0"/>
              <w:rPr>
                <w:sz w:val="20"/>
                <w:szCs w:val="20"/>
                <w:color w:val="auto"/>
              </w:rPr>
            </w:pPr>
            <w:r>
              <w:rPr>
                <w:rFonts w:ascii="Arial" w:cs="Arial" w:eastAsia="Arial" w:hAnsi="Arial"/>
                <w:sz w:val="21"/>
                <w:szCs w:val="21"/>
                <w:b w:val="1"/>
                <w:bCs w:val="1"/>
                <w:color w:val="auto"/>
              </w:rPr>
              <w:t>Amount</w:t>
            </w:r>
          </w:p>
        </w:tc>
      </w:tr>
      <w:tr>
        <w:trPr>
          <w:trHeight w:val="240"/>
        </w:trPr>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ind w:left="240"/>
              <w:spacing w:after="0" w:line="240" w:lineRule="exact"/>
              <w:rPr>
                <w:sz w:val="20"/>
                <w:szCs w:val="20"/>
                <w:color w:val="auto"/>
              </w:rPr>
            </w:pPr>
            <w:r>
              <w:rPr>
                <w:rFonts w:ascii="Arial" w:cs="Arial" w:eastAsia="Arial" w:hAnsi="Arial"/>
                <w:sz w:val="21"/>
                <w:szCs w:val="21"/>
                <w:b w:val="1"/>
                <w:bCs w:val="1"/>
                <w:color w:val="auto"/>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Class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40" w:type="dxa"/>
            <w:vAlign w:val="bottom"/>
          </w:tcPr>
          <w:p>
            <w:pPr>
              <w:spacing w:after="0"/>
              <w:rPr>
                <w:sz w:val="20"/>
                <w:szCs w:val="20"/>
                <w:color w:val="auto"/>
              </w:rPr>
            </w:pPr>
          </w:p>
        </w:tc>
        <w:tc>
          <w:tcPr>
            <w:tcW w:w="112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w w:val="99"/>
              </w:rPr>
              <w:t>Registered</w:t>
            </w:r>
          </w:p>
        </w:tc>
      </w:tr>
      <w:tr>
        <w:trPr>
          <w:trHeight w:val="295"/>
        </w:trPr>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Title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Rule</w:t>
            </w:r>
          </w:p>
        </w:tc>
        <w:tc>
          <w:tcPr>
            <w:tcW w:w="40" w:type="dxa"/>
            <w:vAlign w:val="bottom"/>
          </w:tcPr>
          <w:p>
            <w:pPr>
              <w:spacing w:after="0"/>
              <w:rPr>
                <w:sz w:val="24"/>
                <w:szCs w:val="24"/>
                <w:color w:val="auto"/>
              </w:rPr>
            </w:pPr>
          </w:p>
        </w:tc>
        <w:tc>
          <w:tcPr>
            <w:tcW w:w="1120" w:type="dxa"/>
            <w:vAlign w:val="bottom"/>
            <w:shd w:val="clear" w:color="auto" w:fill="9ADAF6"/>
          </w:tcPr>
          <w:p>
            <w:pPr>
              <w:spacing w:after="0"/>
              <w:rPr>
                <w:sz w:val="24"/>
                <w:szCs w:val="24"/>
                <w:color w:val="auto"/>
              </w:rPr>
            </w:pPr>
          </w:p>
        </w:tc>
      </w:tr>
      <w:tr>
        <w:trPr>
          <w:trHeight w:val="132"/>
        </w:trPr>
        <w:tc>
          <w:tcPr>
            <w:tcW w:w="1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shd w:val="clear" w:color="auto" w:fill="9ADAF6"/>
          </w:tcPr>
          <w:p>
            <w:pPr>
              <w:spacing w:after="0"/>
              <w:rPr>
                <w:sz w:val="11"/>
                <w:szCs w:val="11"/>
                <w:color w:val="auto"/>
              </w:rPr>
            </w:pPr>
          </w:p>
        </w:tc>
      </w:tr>
      <w:tr>
        <w:trPr>
          <w:trHeight w:val="27"/>
        </w:trPr>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7"/>
        </w:trPr>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Ordinary</w:t>
            </w: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r>
      <w:tr>
        <w:trPr>
          <w:trHeight w:val="240"/>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Shares,</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r>
      <w:tr>
        <w:trPr>
          <w:trHeight w:val="240"/>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par value</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r>
      <w:tr>
        <w:trPr>
          <w:trHeight w:val="240"/>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euro 0.01</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r>
      <w:tr>
        <w:trPr>
          <w:trHeight w:val="240"/>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per</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r>
      <w:tr>
        <w:trPr>
          <w:trHeight w:val="240"/>
        </w:trPr>
        <w:tc>
          <w:tcPr>
            <w:tcW w:w="1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1</w:t>
            </w: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share,</w:t>
            </w:r>
          </w:p>
        </w:tc>
        <w:tc>
          <w:tcPr>
            <w:tcW w:w="20" w:type="dxa"/>
            <w:vAlign w:val="bottom"/>
          </w:tcPr>
          <w:p>
            <w:pPr>
              <w:spacing w:after="0"/>
              <w:rPr>
                <w:sz w:val="20"/>
                <w:szCs w:val="20"/>
                <w:color w:val="auto"/>
              </w:rPr>
            </w:pPr>
          </w:p>
        </w:tc>
        <w:tc>
          <w:tcPr>
            <w:tcW w:w="1180" w:type="dxa"/>
            <w:vAlign w:val="bottom"/>
            <w:shd w:val="clear" w:color="auto" w:fill="E7E7E2"/>
          </w:tcPr>
          <w:p>
            <w:pPr>
              <w:jc w:val="center"/>
              <w:spacing w:after="0" w:line="240" w:lineRule="exact"/>
              <w:rPr>
                <w:sz w:val="20"/>
                <w:szCs w:val="20"/>
                <w:color w:val="auto"/>
              </w:rPr>
            </w:pPr>
            <w:r>
              <w:rPr>
                <w:rFonts w:ascii="Arial" w:cs="Arial" w:eastAsia="Arial" w:hAnsi="Arial"/>
                <w:sz w:val="21"/>
                <w:szCs w:val="21"/>
                <w:color w:val="auto"/>
              </w:rPr>
              <w:t>457(a)</w:t>
            </w:r>
          </w:p>
        </w:tc>
        <w:tc>
          <w:tcPr>
            <w:tcW w:w="40" w:type="dxa"/>
            <w:vAlign w:val="bottom"/>
          </w:tcPr>
          <w:p>
            <w:pPr>
              <w:spacing w:after="0"/>
              <w:rPr>
                <w:sz w:val="20"/>
                <w:szCs w:val="20"/>
                <w:color w:val="auto"/>
              </w:rPr>
            </w:pPr>
          </w:p>
        </w:tc>
        <w:tc>
          <w:tcPr>
            <w:tcW w:w="112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25,000</w:t>
            </w:r>
          </w:p>
        </w:tc>
      </w:tr>
      <w:tr>
        <w:trPr>
          <w:trHeight w:val="240"/>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Free</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r>
      <w:tr>
        <w:trPr>
          <w:trHeight w:val="240"/>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Share</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r>
      <w:tr>
        <w:trPr>
          <w:trHeight w:val="240"/>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Plan</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r>
      <w:tr>
        <w:trPr>
          <w:trHeight w:val="240"/>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AGA</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r>
      <w:tr>
        <w:trPr>
          <w:trHeight w:val="280"/>
        </w:trPr>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2025-6</w:t>
            </w:r>
          </w:p>
        </w:tc>
        <w:tc>
          <w:tcPr>
            <w:tcW w:w="2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shd w:val="clear" w:color="auto" w:fill="E7E7E2"/>
          </w:tcPr>
          <w:p>
            <w:pPr>
              <w:spacing w:after="0"/>
              <w:rPr>
                <w:sz w:val="24"/>
                <w:szCs w:val="24"/>
                <w:color w:val="auto"/>
              </w:rPr>
            </w:pPr>
          </w:p>
        </w:tc>
      </w:tr>
      <w:tr>
        <w:trPr>
          <w:trHeight w:val="27"/>
        </w:trPr>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7"/>
        </w:trPr>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Ordinary</w:t>
            </w: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r>
      <w:tr>
        <w:trPr>
          <w:trHeight w:val="240"/>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Shares,</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r>
      <w:tr>
        <w:trPr>
          <w:trHeight w:val="240"/>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par value</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r>
      <w:tr>
        <w:trPr>
          <w:trHeight w:val="240"/>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euro 0.01</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r>
      <w:tr>
        <w:trPr>
          <w:trHeight w:val="240"/>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per</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r>
      <w:tr>
        <w:trPr>
          <w:trHeight w:val="240"/>
        </w:trPr>
        <w:tc>
          <w:tcPr>
            <w:tcW w:w="1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2</w:t>
            </w: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share,</w:t>
            </w:r>
          </w:p>
        </w:tc>
        <w:tc>
          <w:tcPr>
            <w:tcW w:w="20" w:type="dxa"/>
            <w:vAlign w:val="bottom"/>
          </w:tcPr>
          <w:p>
            <w:pPr>
              <w:spacing w:after="0"/>
              <w:rPr>
                <w:sz w:val="20"/>
                <w:szCs w:val="20"/>
                <w:color w:val="auto"/>
              </w:rPr>
            </w:pPr>
          </w:p>
        </w:tc>
        <w:tc>
          <w:tcPr>
            <w:tcW w:w="1180" w:type="dxa"/>
            <w:vAlign w:val="bottom"/>
            <w:shd w:val="clear" w:color="auto" w:fill="E7E7E2"/>
          </w:tcPr>
          <w:p>
            <w:pPr>
              <w:jc w:val="center"/>
              <w:spacing w:after="0" w:line="240" w:lineRule="exact"/>
              <w:rPr>
                <w:sz w:val="20"/>
                <w:szCs w:val="20"/>
                <w:color w:val="auto"/>
              </w:rPr>
            </w:pPr>
            <w:r>
              <w:rPr>
                <w:rFonts w:ascii="Arial" w:cs="Arial" w:eastAsia="Arial" w:hAnsi="Arial"/>
                <w:sz w:val="21"/>
                <w:szCs w:val="21"/>
                <w:color w:val="auto"/>
              </w:rPr>
              <w:t>457(a)</w:t>
            </w:r>
          </w:p>
        </w:tc>
        <w:tc>
          <w:tcPr>
            <w:tcW w:w="40" w:type="dxa"/>
            <w:vAlign w:val="bottom"/>
          </w:tcPr>
          <w:p>
            <w:pPr>
              <w:spacing w:after="0"/>
              <w:rPr>
                <w:sz w:val="20"/>
                <w:szCs w:val="20"/>
                <w:color w:val="auto"/>
              </w:rPr>
            </w:pPr>
          </w:p>
        </w:tc>
        <w:tc>
          <w:tcPr>
            <w:tcW w:w="112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925,000</w:t>
            </w:r>
          </w:p>
        </w:tc>
      </w:tr>
      <w:tr>
        <w:trPr>
          <w:trHeight w:val="240"/>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Free</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r>
      <w:tr>
        <w:trPr>
          <w:trHeight w:val="240"/>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Share</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r>
      <w:tr>
        <w:trPr>
          <w:trHeight w:val="240"/>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Plan</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r>
      <w:tr>
        <w:trPr>
          <w:trHeight w:val="240"/>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AGA</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r>
      <w:tr>
        <w:trPr>
          <w:trHeight w:val="280"/>
        </w:trPr>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2025-7</w:t>
            </w:r>
          </w:p>
        </w:tc>
        <w:tc>
          <w:tcPr>
            <w:tcW w:w="2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shd w:val="clear" w:color="auto" w:fill="E7E7E2"/>
          </w:tcPr>
          <w:p>
            <w:pPr>
              <w:spacing w:after="0"/>
              <w:rPr>
                <w:sz w:val="24"/>
                <w:szCs w:val="24"/>
                <w:color w:val="auto"/>
              </w:rPr>
            </w:pPr>
          </w:p>
        </w:tc>
      </w:tr>
      <w:tr>
        <w:trPr>
          <w:trHeight w:val="27"/>
        </w:trPr>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7"/>
        </w:trPr>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Ordinary</w:t>
            </w: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r>
      <w:tr>
        <w:trPr>
          <w:trHeight w:val="240"/>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Shares,</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r>
      <w:tr>
        <w:trPr>
          <w:trHeight w:val="240"/>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par value</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r>
      <w:tr>
        <w:trPr>
          <w:trHeight w:val="240"/>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euro 0.01</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r>
      <w:tr>
        <w:trPr>
          <w:trHeight w:val="240"/>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per</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r>
      <w:tr>
        <w:trPr>
          <w:trHeight w:val="240"/>
        </w:trPr>
        <w:tc>
          <w:tcPr>
            <w:tcW w:w="1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3</w:t>
            </w: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share,</w:t>
            </w:r>
          </w:p>
        </w:tc>
        <w:tc>
          <w:tcPr>
            <w:tcW w:w="20" w:type="dxa"/>
            <w:vAlign w:val="bottom"/>
          </w:tcPr>
          <w:p>
            <w:pPr>
              <w:spacing w:after="0"/>
              <w:rPr>
                <w:sz w:val="20"/>
                <w:szCs w:val="20"/>
                <w:color w:val="auto"/>
              </w:rPr>
            </w:pPr>
          </w:p>
        </w:tc>
        <w:tc>
          <w:tcPr>
            <w:tcW w:w="1180" w:type="dxa"/>
            <w:vAlign w:val="bottom"/>
            <w:shd w:val="clear" w:color="auto" w:fill="E7E7E2"/>
          </w:tcPr>
          <w:p>
            <w:pPr>
              <w:jc w:val="center"/>
              <w:spacing w:after="0" w:line="240" w:lineRule="exact"/>
              <w:rPr>
                <w:sz w:val="20"/>
                <w:szCs w:val="20"/>
                <w:color w:val="auto"/>
              </w:rPr>
            </w:pPr>
            <w:r>
              <w:rPr>
                <w:rFonts w:ascii="Arial" w:cs="Arial" w:eastAsia="Arial" w:hAnsi="Arial"/>
                <w:sz w:val="21"/>
                <w:szCs w:val="21"/>
                <w:color w:val="auto"/>
              </w:rPr>
              <w:t>457(a)</w:t>
            </w:r>
          </w:p>
        </w:tc>
        <w:tc>
          <w:tcPr>
            <w:tcW w:w="40" w:type="dxa"/>
            <w:vAlign w:val="bottom"/>
          </w:tcPr>
          <w:p>
            <w:pPr>
              <w:spacing w:after="0"/>
              <w:rPr>
                <w:sz w:val="20"/>
                <w:szCs w:val="20"/>
                <w:color w:val="auto"/>
              </w:rPr>
            </w:pPr>
          </w:p>
        </w:tc>
        <w:tc>
          <w:tcPr>
            <w:tcW w:w="112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4,000</w:t>
            </w:r>
          </w:p>
        </w:tc>
      </w:tr>
      <w:tr>
        <w:trPr>
          <w:trHeight w:val="240"/>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Free</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r>
      <w:tr>
        <w:trPr>
          <w:trHeight w:val="240"/>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Share</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r>
      <w:tr>
        <w:trPr>
          <w:trHeight w:val="240"/>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Plan</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r>
      <w:tr>
        <w:trPr>
          <w:trHeight w:val="240"/>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AGA</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r>
      <w:tr>
        <w:trPr>
          <w:trHeight w:val="280"/>
        </w:trPr>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2025-8</w:t>
            </w:r>
          </w:p>
        </w:tc>
        <w:tc>
          <w:tcPr>
            <w:tcW w:w="2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shd w:val="clear" w:color="auto" w:fill="E7E7E2"/>
          </w:tcPr>
          <w:p>
            <w:pPr>
              <w:spacing w:after="0"/>
              <w:rPr>
                <w:sz w:val="24"/>
                <w:szCs w:val="24"/>
                <w:color w:val="auto"/>
              </w:rPr>
            </w:pPr>
          </w:p>
        </w:tc>
      </w:tr>
      <w:tr>
        <w:trPr>
          <w:trHeight w:val="27"/>
        </w:trPr>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7"/>
        </w:trPr>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Ordinary</w:t>
            </w: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r>
      <w:tr>
        <w:trPr>
          <w:trHeight w:val="240"/>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Shares,</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r>
      <w:tr>
        <w:trPr>
          <w:trHeight w:val="240"/>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par value</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r>
      <w:tr>
        <w:trPr>
          <w:trHeight w:val="240"/>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euro 0.01</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r>
      <w:tr>
        <w:trPr>
          <w:trHeight w:val="240"/>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per</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r>
      <w:tr>
        <w:trPr>
          <w:trHeight w:val="240"/>
        </w:trPr>
        <w:tc>
          <w:tcPr>
            <w:tcW w:w="1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4</w:t>
            </w: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share,</w:t>
            </w:r>
          </w:p>
        </w:tc>
        <w:tc>
          <w:tcPr>
            <w:tcW w:w="20" w:type="dxa"/>
            <w:vAlign w:val="bottom"/>
          </w:tcPr>
          <w:p>
            <w:pPr>
              <w:spacing w:after="0"/>
              <w:rPr>
                <w:sz w:val="20"/>
                <w:szCs w:val="20"/>
                <w:color w:val="auto"/>
              </w:rPr>
            </w:pPr>
          </w:p>
        </w:tc>
        <w:tc>
          <w:tcPr>
            <w:tcW w:w="1180" w:type="dxa"/>
            <w:vAlign w:val="bottom"/>
            <w:shd w:val="clear" w:color="auto" w:fill="E7E7E2"/>
          </w:tcPr>
          <w:p>
            <w:pPr>
              <w:jc w:val="center"/>
              <w:spacing w:after="0" w:line="240" w:lineRule="exact"/>
              <w:rPr>
                <w:sz w:val="20"/>
                <w:szCs w:val="20"/>
                <w:color w:val="auto"/>
              </w:rPr>
            </w:pPr>
            <w:r>
              <w:rPr>
                <w:rFonts w:ascii="Arial" w:cs="Arial" w:eastAsia="Arial" w:hAnsi="Arial"/>
                <w:sz w:val="21"/>
                <w:szCs w:val="21"/>
                <w:color w:val="auto"/>
              </w:rPr>
              <w:t>457(a)</w:t>
            </w:r>
          </w:p>
        </w:tc>
        <w:tc>
          <w:tcPr>
            <w:tcW w:w="40" w:type="dxa"/>
            <w:vAlign w:val="bottom"/>
          </w:tcPr>
          <w:p>
            <w:pPr>
              <w:spacing w:after="0"/>
              <w:rPr>
                <w:sz w:val="20"/>
                <w:szCs w:val="20"/>
                <w:color w:val="auto"/>
              </w:rPr>
            </w:pPr>
          </w:p>
        </w:tc>
        <w:tc>
          <w:tcPr>
            <w:tcW w:w="112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22,500</w:t>
            </w:r>
          </w:p>
        </w:tc>
      </w:tr>
      <w:tr>
        <w:trPr>
          <w:trHeight w:val="240"/>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Free</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r>
      <w:tr>
        <w:trPr>
          <w:trHeight w:val="240"/>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Share</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r>
      <w:tr>
        <w:trPr>
          <w:trHeight w:val="240"/>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Plan</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r>
      <w:tr>
        <w:trPr>
          <w:trHeight w:val="240"/>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AGA</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r>
      <w:tr>
        <w:trPr>
          <w:trHeight w:val="280"/>
        </w:trPr>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2026-1</w:t>
            </w:r>
          </w:p>
        </w:tc>
        <w:tc>
          <w:tcPr>
            <w:tcW w:w="2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shd w:val="clear" w:color="auto" w:fill="E7E7E2"/>
          </w:tcPr>
          <w:p>
            <w:pPr>
              <w:spacing w:after="0"/>
              <w:rPr>
                <w:sz w:val="24"/>
                <w:szCs w:val="24"/>
                <w:color w:val="auto"/>
              </w:rPr>
            </w:pPr>
          </w:p>
        </w:tc>
      </w:tr>
      <w:tr>
        <w:trPr>
          <w:trHeight w:val="254"/>
        </w:trPr>
        <w:tc>
          <w:tcPr>
            <w:tcW w:w="1140" w:type="dxa"/>
            <w:vAlign w:val="bottom"/>
            <w:gridSpan w:val="3"/>
          </w:tcPr>
          <w:p>
            <w:pPr>
              <w:ind w:left="20"/>
              <w:spacing w:after="0"/>
              <w:rPr>
                <w:sz w:val="20"/>
                <w:szCs w:val="20"/>
                <w:color w:val="auto"/>
              </w:rPr>
            </w:pPr>
            <w:r>
              <w:rPr>
                <w:rFonts w:ascii="Arial" w:cs="Arial" w:eastAsia="Arial" w:hAnsi="Arial"/>
                <w:sz w:val="21"/>
                <w:szCs w:val="21"/>
                <w:color w:val="auto"/>
              </w:rPr>
              <w:t>5 Equity</w:t>
            </w:r>
          </w:p>
        </w:tc>
        <w:tc>
          <w:tcPr>
            <w:tcW w:w="20" w:type="dxa"/>
            <w:vAlign w:val="bottom"/>
          </w:tcPr>
          <w:p>
            <w:pPr>
              <w:spacing w:after="0"/>
              <w:rPr>
                <w:sz w:val="22"/>
                <w:szCs w:val="22"/>
                <w:color w:val="auto"/>
              </w:rPr>
            </w:pPr>
          </w:p>
        </w:tc>
        <w:tc>
          <w:tcPr>
            <w:tcW w:w="960" w:type="dxa"/>
            <w:vAlign w:val="bottom"/>
          </w:tcPr>
          <w:p>
            <w:pPr>
              <w:ind w:left="20"/>
              <w:spacing w:after="0"/>
              <w:rPr>
                <w:sz w:val="20"/>
                <w:szCs w:val="20"/>
                <w:color w:val="auto"/>
              </w:rPr>
            </w:pPr>
            <w:r>
              <w:rPr>
                <w:rFonts w:ascii="Arial" w:cs="Arial" w:eastAsia="Arial" w:hAnsi="Arial"/>
                <w:sz w:val="21"/>
                <w:szCs w:val="21"/>
                <w:color w:val="auto"/>
              </w:rPr>
              <w:t>Ordinary</w:t>
            </w:r>
          </w:p>
        </w:tc>
        <w:tc>
          <w:tcPr>
            <w:tcW w:w="20" w:type="dxa"/>
            <w:vAlign w:val="bottom"/>
          </w:tcPr>
          <w:p>
            <w:pPr>
              <w:spacing w:after="0"/>
              <w:rPr>
                <w:sz w:val="22"/>
                <w:szCs w:val="22"/>
                <w:color w:val="auto"/>
              </w:rPr>
            </w:pPr>
          </w:p>
        </w:tc>
        <w:tc>
          <w:tcPr>
            <w:tcW w:w="1180" w:type="dxa"/>
            <w:vAlign w:val="bottom"/>
          </w:tcPr>
          <w:p>
            <w:pPr>
              <w:jc w:val="center"/>
              <w:spacing w:after="0"/>
              <w:rPr>
                <w:sz w:val="20"/>
                <w:szCs w:val="20"/>
                <w:color w:val="auto"/>
              </w:rPr>
            </w:pPr>
            <w:r>
              <w:rPr>
                <w:rFonts w:ascii="Arial" w:cs="Arial" w:eastAsia="Arial" w:hAnsi="Arial"/>
                <w:sz w:val="21"/>
                <w:szCs w:val="21"/>
                <w:color w:val="auto"/>
              </w:rPr>
              <w:t>457(a)</w:t>
            </w:r>
          </w:p>
        </w:tc>
        <w:tc>
          <w:tcPr>
            <w:tcW w:w="1160" w:type="dxa"/>
            <w:vAlign w:val="bottom"/>
            <w:gridSpan w:val="2"/>
          </w:tcPr>
          <w:p>
            <w:pPr>
              <w:jc w:val="right"/>
              <w:spacing w:after="0"/>
              <w:rPr>
                <w:sz w:val="20"/>
                <w:szCs w:val="20"/>
                <w:color w:val="auto"/>
              </w:rPr>
            </w:pPr>
            <w:r>
              <w:rPr>
                <w:rFonts w:ascii="Arial" w:cs="Arial" w:eastAsia="Arial" w:hAnsi="Arial"/>
                <w:sz w:val="21"/>
                <w:szCs w:val="21"/>
                <w:color w:val="auto"/>
              </w:rPr>
              <w:t>13,345</w:t>
            </w:r>
          </w:p>
        </w:tc>
      </w:tr>
      <w:tr>
        <w:trPr>
          <w:trHeight w:val="240"/>
        </w:trPr>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ind w:left="20"/>
              <w:spacing w:after="0" w:line="240" w:lineRule="exact"/>
              <w:rPr>
                <w:sz w:val="20"/>
                <w:szCs w:val="20"/>
                <w:color w:val="auto"/>
              </w:rPr>
            </w:pPr>
            <w:r>
              <w:rPr>
                <w:rFonts w:ascii="Arial" w:cs="Arial" w:eastAsia="Arial" w:hAnsi="Arial"/>
                <w:sz w:val="21"/>
                <w:szCs w:val="21"/>
                <w:color w:val="auto"/>
              </w:rPr>
              <w:t>Shares,</w:t>
            </w: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0"/>
        </w:trPr>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ind w:left="20"/>
              <w:spacing w:after="0" w:line="240" w:lineRule="exact"/>
              <w:rPr>
                <w:sz w:val="20"/>
                <w:szCs w:val="20"/>
                <w:color w:val="auto"/>
              </w:rPr>
            </w:pPr>
            <w:r>
              <w:rPr>
                <w:rFonts w:ascii="Arial" w:cs="Arial" w:eastAsia="Arial" w:hAnsi="Arial"/>
                <w:sz w:val="21"/>
                <w:szCs w:val="21"/>
                <w:color w:val="auto"/>
              </w:rPr>
              <w:t>par value</w:t>
            </w: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60"/>
        </w:trPr>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ind w:left="20"/>
              <w:spacing w:after="0"/>
              <w:rPr>
                <w:sz w:val="20"/>
                <w:szCs w:val="20"/>
                <w:color w:val="auto"/>
              </w:rPr>
            </w:pPr>
            <w:r>
              <w:rPr>
                <w:rFonts w:ascii="Arial" w:cs="Arial" w:eastAsia="Arial" w:hAnsi="Arial"/>
                <w:sz w:val="21"/>
                <w:szCs w:val="21"/>
                <w:color w:val="auto"/>
              </w:rPr>
              <w:t>euro 0.01</w:t>
            </w: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tcPr>
          <w:p>
            <w:pPr>
              <w:spacing w:after="0"/>
              <w:rPr>
                <w:sz w:val="22"/>
                <w:szCs w:val="22"/>
                <w:color w:val="auto"/>
              </w:rPr>
            </w:pPr>
          </w:p>
        </w:tc>
      </w:tr>
    </w:tbl>
    <w:p>
      <w:pPr>
        <w:ind w:left="1180"/>
        <w:spacing w:after="0" w:line="238" w:lineRule="auto"/>
        <w:rPr>
          <w:sz w:val="20"/>
          <w:szCs w:val="20"/>
          <w:color w:val="auto"/>
        </w:rPr>
      </w:pPr>
      <w:r>
        <w:rPr>
          <w:rFonts w:ascii="Arial" w:cs="Arial" w:eastAsia="Arial" w:hAnsi="Arial"/>
          <w:sz w:val="21"/>
          <w:szCs w:val="21"/>
          <w:color w:val="auto"/>
        </w:rPr>
        <w:t>per</w:t>
      </w:r>
    </w:p>
    <w:p>
      <w:pPr>
        <w:ind w:left="1180"/>
        <w:spacing w:after="0"/>
        <w:rPr>
          <w:sz w:val="20"/>
          <w:szCs w:val="20"/>
          <w:color w:val="auto"/>
        </w:rPr>
      </w:pPr>
      <w:r>
        <w:rPr>
          <w:rFonts w:ascii="Arial" w:cs="Arial" w:eastAsia="Arial" w:hAnsi="Arial"/>
          <w:sz w:val="21"/>
          <w:szCs w:val="21"/>
          <w:color w:val="auto"/>
        </w:rPr>
        <w:t>share,</w:t>
      </w:r>
    </w:p>
    <w:p>
      <w:pPr>
        <w:ind w:left="1180"/>
        <w:spacing w:after="0" w:line="238" w:lineRule="auto"/>
        <w:rPr>
          <w:sz w:val="20"/>
          <w:szCs w:val="20"/>
          <w:color w:val="auto"/>
        </w:rPr>
      </w:pPr>
      <w:r>
        <w:rPr>
          <w:rFonts w:ascii="Arial" w:cs="Arial" w:eastAsia="Arial" w:hAnsi="Arial"/>
          <w:sz w:val="21"/>
          <w:szCs w:val="21"/>
          <w:color w:val="auto"/>
        </w:rPr>
        <w:t>Share</w:t>
      </w:r>
    </w:p>
    <w:p>
      <w:pPr>
        <w:ind w:left="1180"/>
        <w:spacing w:after="0"/>
        <w:rPr>
          <w:sz w:val="20"/>
          <w:szCs w:val="20"/>
          <w:color w:val="auto"/>
        </w:rPr>
      </w:pPr>
      <w:r>
        <w:rPr>
          <w:rFonts w:ascii="Arial" w:cs="Arial" w:eastAsia="Arial" w:hAnsi="Arial"/>
          <w:sz w:val="21"/>
          <w:szCs w:val="21"/>
          <w:color w:val="auto"/>
        </w:rPr>
        <w:t>Warrants</w:t>
      </w:r>
    </w:p>
    <w:p>
      <w:pPr>
        <w:ind w:left="1180"/>
        <w:spacing w:after="0"/>
        <w:rPr>
          <w:sz w:val="20"/>
          <w:szCs w:val="20"/>
          <w:color w:val="auto"/>
        </w:rPr>
      </w:pPr>
      <w:r>
        <w:rPr>
          <w:rFonts w:ascii="Arial" w:cs="Arial" w:eastAsia="Arial" w:hAnsi="Arial"/>
          <w:sz w:val="21"/>
          <w:szCs w:val="21"/>
          <w:color w:val="auto"/>
        </w:rPr>
        <w:t>Plan</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13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21"/>
                <w:szCs w:val="21"/>
                <w:color w:val="auto"/>
              </w:rPr>
            </w:pPr>
          </w:p>
        </w:tc>
        <w:tc>
          <w:tcPr>
            <w:tcW w:w="156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480" w:type="dxa"/>
            <w:vAlign w:val="bottom"/>
            <w:shd w:val="clear" w:color="auto" w:fill="9ADAF6"/>
          </w:tcPr>
          <w:p>
            <w:pPr>
              <w:spacing w:after="0"/>
              <w:rPr>
                <w:sz w:val="21"/>
                <w:szCs w:val="21"/>
                <w:color w:val="auto"/>
              </w:rPr>
            </w:pPr>
          </w:p>
        </w:tc>
      </w:tr>
      <w:tr>
        <w:trPr>
          <w:trHeight w:val="240"/>
        </w:trPr>
        <w:tc>
          <w:tcPr>
            <w:tcW w:w="13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0"/>
                <w:szCs w:val="20"/>
                <w:color w:val="auto"/>
              </w:rPr>
            </w:pPr>
          </w:p>
        </w:tc>
        <w:tc>
          <w:tcPr>
            <w:tcW w:w="15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Amount of</w:t>
            </w:r>
          </w:p>
        </w:tc>
      </w:tr>
      <w:tr>
        <w:trPr>
          <w:trHeight w:val="240"/>
        </w:trPr>
        <w:tc>
          <w:tcPr>
            <w:tcW w:w="13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15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1060" w:type="dxa"/>
            <w:vAlign w:val="bottom"/>
            <w:shd w:val="clear" w:color="auto" w:fill="9ADAF6"/>
          </w:tcPr>
          <w:p>
            <w:pPr>
              <w:ind w:left="80"/>
              <w:spacing w:after="0" w:line="240"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14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r>
      <w:tr>
        <w:trPr>
          <w:trHeight w:val="240"/>
        </w:trPr>
        <w:tc>
          <w:tcPr>
            <w:tcW w:w="13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Price Per</w:t>
            </w:r>
          </w:p>
        </w:tc>
        <w:tc>
          <w:tcPr>
            <w:tcW w:w="20" w:type="dxa"/>
            <w:vAlign w:val="bottom"/>
          </w:tcPr>
          <w:p>
            <w:pPr>
              <w:spacing w:after="0"/>
              <w:rPr>
                <w:sz w:val="20"/>
                <w:szCs w:val="20"/>
                <w:color w:val="auto"/>
              </w:rPr>
            </w:pPr>
          </w:p>
        </w:tc>
        <w:tc>
          <w:tcPr>
            <w:tcW w:w="15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 Price</w:t>
            </w: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w:t>
            </w:r>
          </w:p>
        </w:tc>
      </w:tr>
      <w:tr>
        <w:trPr>
          <w:trHeight w:val="282"/>
        </w:trPr>
        <w:tc>
          <w:tcPr>
            <w:tcW w:w="13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20" w:type="dxa"/>
            <w:vAlign w:val="bottom"/>
          </w:tcPr>
          <w:p>
            <w:pPr>
              <w:spacing w:after="0"/>
              <w:rPr>
                <w:sz w:val="24"/>
                <w:szCs w:val="24"/>
                <w:color w:val="auto"/>
              </w:rPr>
            </w:pPr>
          </w:p>
        </w:tc>
        <w:tc>
          <w:tcPr>
            <w:tcW w:w="15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9ADAF6"/>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80"/>
        <w:spacing w:after="0"/>
        <w:tabs>
          <w:tab w:leader="none" w:pos="4620" w:val="left"/>
        </w:tabs>
        <w:rPr>
          <w:sz w:val="20"/>
          <w:szCs w:val="20"/>
          <w:color w:val="auto"/>
        </w:rPr>
      </w:pPr>
      <w:r>
        <w:rPr>
          <w:rFonts w:ascii="Arial" w:cs="Arial" w:eastAsia="Arial" w:hAnsi="Arial"/>
          <w:sz w:val="21"/>
          <w:szCs w:val="21"/>
          <w:color w:val="auto"/>
        </w:rPr>
        <w:t>$ 122.73  $ 3,068,250.00 0.0001381</w:t>
      </w:r>
      <w:r>
        <w:rPr>
          <w:sz w:val="20"/>
          <w:szCs w:val="20"/>
          <w:color w:val="auto"/>
        </w:rPr>
        <w:tab/>
      </w:r>
      <w:r>
        <w:rPr>
          <w:rFonts w:ascii="Arial" w:cs="Arial" w:eastAsia="Arial" w:hAnsi="Arial"/>
          <w:sz w:val="21"/>
          <w:szCs w:val="21"/>
          <w:color w:val="auto"/>
        </w:rPr>
        <w:t>$ 423.73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480" w:type="dxa"/>
        <w:tblCellMar>
          <w:top w:w="0" w:type="dxa"/>
          <w:left w:w="0" w:type="dxa"/>
          <w:bottom w:w="0" w:type="dxa"/>
          <w:right w:w="0" w:type="dxa"/>
        </w:tblCellMar>
      </w:tblPr>
      <w:tr>
        <w:trPr>
          <w:trHeight w:val="241"/>
        </w:trPr>
        <w:tc>
          <w:tcPr>
            <w:tcW w:w="900" w:type="dxa"/>
            <w:vAlign w:val="bottom"/>
            <w:vMerge w:val="restart"/>
          </w:tcPr>
          <w:p>
            <w:pPr>
              <w:jc w:val="right"/>
              <w:spacing w:after="0"/>
              <w:rPr>
                <w:sz w:val="20"/>
                <w:szCs w:val="20"/>
                <w:color w:val="auto"/>
              </w:rPr>
            </w:pPr>
            <w:r>
              <w:rPr>
                <w:rFonts w:ascii="Arial" w:cs="Arial" w:eastAsia="Arial" w:hAnsi="Arial"/>
                <w:sz w:val="21"/>
                <w:szCs w:val="21"/>
                <w:color w:val="auto"/>
              </w:rPr>
              <w:t>$ 122.73</w:t>
            </w:r>
          </w:p>
        </w:tc>
        <w:tc>
          <w:tcPr>
            <w:tcW w:w="1560" w:type="dxa"/>
            <w:vAlign w:val="bottom"/>
          </w:tcPr>
          <w:p>
            <w:pPr>
              <w:jc w:val="right"/>
              <w:spacing w:after="0"/>
              <w:rPr>
                <w:sz w:val="20"/>
                <w:szCs w:val="20"/>
                <w:color w:val="auto"/>
              </w:rPr>
            </w:pPr>
            <w:r>
              <w:rPr>
                <w:rFonts w:ascii="Arial" w:cs="Arial" w:eastAsia="Arial" w:hAnsi="Arial"/>
                <w:sz w:val="21"/>
                <w:szCs w:val="21"/>
                <w:color w:val="auto"/>
              </w:rPr>
              <w:t>$</w:t>
            </w:r>
          </w:p>
        </w:tc>
        <w:tc>
          <w:tcPr>
            <w:tcW w:w="1220" w:type="dxa"/>
            <w:vAlign w:val="bottom"/>
            <w:vMerge w:val="restart"/>
          </w:tcPr>
          <w:p>
            <w:pPr>
              <w:jc w:val="right"/>
              <w:ind w:right="73"/>
              <w:spacing w:after="0"/>
              <w:rPr>
                <w:sz w:val="20"/>
                <w:szCs w:val="20"/>
                <w:color w:val="auto"/>
              </w:rPr>
            </w:pPr>
            <w:r>
              <w:rPr>
                <w:rFonts w:ascii="Arial" w:cs="Arial" w:eastAsia="Arial" w:hAnsi="Arial"/>
                <w:sz w:val="21"/>
                <w:szCs w:val="21"/>
                <w:color w:val="auto"/>
              </w:rPr>
              <w:t>0.0001381</w:t>
            </w:r>
          </w:p>
        </w:tc>
        <w:tc>
          <w:tcPr>
            <w:tcW w:w="1320" w:type="dxa"/>
            <w:vAlign w:val="bottom"/>
            <w:vMerge w:val="restart"/>
          </w:tcPr>
          <w:p>
            <w:pPr>
              <w:jc w:val="right"/>
              <w:spacing w:after="0"/>
              <w:rPr>
                <w:sz w:val="20"/>
                <w:szCs w:val="20"/>
                <w:color w:val="auto"/>
              </w:rPr>
            </w:pPr>
            <w:r>
              <w:rPr>
                <w:rFonts w:ascii="Arial" w:cs="Arial" w:eastAsia="Arial" w:hAnsi="Arial"/>
                <w:sz w:val="21"/>
                <w:szCs w:val="21"/>
                <w:color w:val="auto"/>
              </w:rPr>
              <w:t>$ 15,677.84</w:t>
            </w:r>
          </w:p>
        </w:tc>
        <w:tc>
          <w:tcPr>
            <w:tcW w:w="0" w:type="dxa"/>
            <w:vAlign w:val="bottom"/>
          </w:tcPr>
          <w:p>
            <w:pPr>
              <w:spacing w:after="0"/>
              <w:rPr>
                <w:sz w:val="1"/>
                <w:szCs w:val="1"/>
                <w:color w:val="auto"/>
              </w:rPr>
            </w:pPr>
          </w:p>
        </w:tc>
      </w:tr>
      <w:tr>
        <w:trPr>
          <w:trHeight w:val="281"/>
        </w:trPr>
        <w:tc>
          <w:tcPr>
            <w:tcW w:w="900" w:type="dxa"/>
            <w:vAlign w:val="bottom"/>
            <w:vMerge w:val="continue"/>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21"/>
                <w:szCs w:val="21"/>
                <w:color w:val="auto"/>
              </w:rPr>
              <w:t>113,525,250.00</w:t>
            </w:r>
          </w:p>
        </w:tc>
        <w:tc>
          <w:tcPr>
            <w:tcW w:w="1220" w:type="dxa"/>
            <w:vAlign w:val="bottom"/>
            <w:vMerge w:val="continue"/>
          </w:tcPr>
          <w:p>
            <w:pPr>
              <w:spacing w:after="0"/>
              <w:rPr>
                <w:sz w:val="24"/>
                <w:szCs w:val="24"/>
                <w:color w:val="auto"/>
              </w:rPr>
            </w:pP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80"/>
        <w:spacing w:after="0"/>
        <w:tabs>
          <w:tab w:leader="none" w:pos="1640" w:val="left"/>
          <w:tab w:leader="none" w:pos="4740" w:val="left"/>
        </w:tabs>
        <w:rPr>
          <w:sz w:val="20"/>
          <w:szCs w:val="20"/>
          <w:color w:val="auto"/>
        </w:rPr>
      </w:pPr>
      <w:r>
        <w:rPr>
          <w:rFonts w:ascii="Arial" w:cs="Arial" w:eastAsia="Arial" w:hAnsi="Arial"/>
          <w:sz w:val="21"/>
          <w:szCs w:val="21"/>
          <w:color w:val="auto"/>
        </w:rPr>
        <w:t>$ 122.73</w:t>
        <w:tab/>
        <w:t>$ 490,920.00 0.0001381</w:t>
      </w:r>
      <w:r>
        <w:rPr>
          <w:sz w:val="20"/>
          <w:szCs w:val="20"/>
          <w:color w:val="auto"/>
        </w:rPr>
        <w:tab/>
      </w:r>
      <w:r>
        <w:rPr>
          <w:rFonts w:ascii="Arial" w:cs="Arial" w:eastAsia="Arial" w:hAnsi="Arial"/>
          <w:sz w:val="21"/>
          <w:szCs w:val="21"/>
          <w:color w:val="auto"/>
        </w:rPr>
        <w:t>$ 67.80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80"/>
        <w:spacing w:after="0"/>
        <w:tabs>
          <w:tab w:leader="none" w:pos="4620" w:val="left"/>
        </w:tabs>
        <w:rPr>
          <w:sz w:val="20"/>
          <w:szCs w:val="20"/>
          <w:color w:val="auto"/>
        </w:rPr>
      </w:pPr>
      <w:r>
        <w:rPr>
          <w:rFonts w:ascii="Arial" w:cs="Arial" w:eastAsia="Arial" w:hAnsi="Arial"/>
          <w:sz w:val="21"/>
          <w:szCs w:val="21"/>
          <w:color w:val="auto"/>
        </w:rPr>
        <w:t>$ 122.73  $ 2,761,425.00 0.0001381</w:t>
      </w:r>
      <w:r>
        <w:rPr>
          <w:sz w:val="20"/>
          <w:szCs w:val="20"/>
          <w:color w:val="auto"/>
        </w:rPr>
        <w:tab/>
      </w:r>
      <w:r>
        <w:rPr>
          <w:rFonts w:ascii="Arial" w:cs="Arial" w:eastAsia="Arial" w:hAnsi="Arial"/>
          <w:sz w:val="21"/>
          <w:szCs w:val="21"/>
          <w:color w:val="auto"/>
        </w:rPr>
        <w:t>$ 381.35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00"/>
        <w:spacing w:after="0"/>
        <w:tabs>
          <w:tab w:leader="none" w:pos="4620" w:val="left"/>
        </w:tabs>
        <w:rPr>
          <w:sz w:val="20"/>
          <w:szCs w:val="20"/>
          <w:color w:val="auto"/>
        </w:rPr>
      </w:pPr>
      <w:r>
        <w:rPr>
          <w:rFonts w:ascii="Arial" w:cs="Arial" w:eastAsia="Arial" w:hAnsi="Arial"/>
          <w:sz w:val="21"/>
          <w:szCs w:val="21"/>
          <w:color w:val="auto"/>
        </w:rPr>
        <w:t>$ 114.46  $ 1,527,468.70 0.0001381</w:t>
      </w:r>
      <w:r>
        <w:rPr>
          <w:sz w:val="20"/>
          <w:szCs w:val="20"/>
          <w:color w:val="auto"/>
        </w:rPr>
        <w:tab/>
      </w:r>
      <w:r>
        <w:rPr>
          <w:rFonts w:ascii="Arial" w:cs="Arial" w:eastAsia="Arial" w:hAnsi="Arial"/>
          <w:sz w:val="21"/>
          <w:szCs w:val="21"/>
          <w:color w:val="auto"/>
        </w:rPr>
        <w:t>$ 210.94</w:t>
      </w:r>
    </w:p>
    <w:p>
      <w:pPr>
        <w:sectPr>
          <w:pgSz w:w="11900" w:h="16838" w:orient="portrait"/>
          <w:cols w:equalWidth="0" w:num="2">
            <w:col w:w="4480" w:space="40"/>
            <w:col w:w="5500"/>
          </w:cols>
          <w:pgMar w:left="940" w:top="142" w:right="939" w:bottom="0" w:gutter="0" w:footer="0" w:header="0"/>
          <w:type w:val="continuous"/>
        </w:sectPr>
      </w:pPr>
    </w:p>
    <w:bookmarkStart w:id="13" w:name="page14"/>
    <w:bookmarkEnd w:id="13"/>
    <w:p>
      <w:pPr>
        <w:ind w:left="1185"/>
        <w:spacing w:after="0"/>
        <w:rPr>
          <w:sz w:val="20"/>
          <w:szCs w:val="20"/>
          <w:color w:val="auto"/>
        </w:rPr>
      </w:pPr>
      <w:r>
        <w:rPr>
          <w:rFonts w:ascii="Arial" w:cs="Arial" w:eastAsia="Arial" w:hAnsi="Arial"/>
          <w:sz w:val="21"/>
          <w:szCs w:val="21"/>
          <w:color w:val="auto"/>
        </w:rPr>
        <w:t>BSA-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-134620</wp:posOffset>
            </wp:positionV>
            <wp:extent cx="6416675" cy="1054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6416675" cy="1054100"/>
                    </a:xfrm>
                    <a:prstGeom prst="rect">
                      <a:avLst/>
                    </a:prstGeom>
                    <a:noFill/>
                  </pic:spPr>
                </pic:pic>
              </a:graphicData>
            </a:graphic>
          </wp:anchor>
        </w:drawing>
      </w:r>
    </w:p>
    <w:p>
      <w:pPr>
        <w:spacing w:after="0" w:line="1" w:lineRule="exact"/>
        <w:rPr>
          <w:sz w:val="20"/>
          <w:szCs w:val="20"/>
          <w:color w:val="auto"/>
        </w:rPr>
      </w:pPr>
    </w:p>
    <w:p>
      <w:pPr>
        <w:ind w:left="1185"/>
        <w:spacing w:after="0"/>
        <w:rPr>
          <w:sz w:val="20"/>
          <w:szCs w:val="20"/>
          <w:color w:val="auto"/>
        </w:rPr>
      </w:pPr>
      <w:r>
        <w:rPr>
          <w:rFonts w:ascii="Arial" w:cs="Arial" w:eastAsia="Arial" w:hAnsi="Arial"/>
          <w:sz w:val="21"/>
          <w:szCs w:val="21"/>
          <w:color w:val="auto"/>
        </w:rPr>
        <w:t>2026-1</w:t>
      </w:r>
    </w:p>
    <w:p>
      <w:pPr>
        <w:spacing w:after="0" w:line="31" w:lineRule="exact"/>
        <w:rPr>
          <w:sz w:val="20"/>
          <w:szCs w:val="20"/>
          <w:color w:val="auto"/>
        </w:rPr>
      </w:pPr>
    </w:p>
    <w:tbl>
      <w:tblPr>
        <w:tblLayout w:type="fixed"/>
        <w:tblInd w:w="2245" w:type="dxa"/>
        <w:tblCellMar>
          <w:top w:w="0" w:type="dxa"/>
          <w:left w:w="0" w:type="dxa"/>
          <w:bottom w:w="0" w:type="dxa"/>
          <w:right w:w="0" w:type="dxa"/>
        </w:tblCellMar>
      </w:tblPr>
      <w:tr>
        <w:trPr>
          <w:trHeight w:val="241"/>
        </w:trPr>
        <w:tc>
          <w:tcPr>
            <w:tcW w:w="2960" w:type="dxa"/>
            <w:vAlign w:val="bottom"/>
          </w:tcPr>
          <w:p>
            <w:pPr>
              <w:jc w:val="right"/>
              <w:ind w:right="633"/>
              <w:spacing w:after="0"/>
              <w:rPr>
                <w:sz w:val="20"/>
                <w:szCs w:val="20"/>
                <w:color w:val="auto"/>
              </w:rPr>
            </w:pPr>
            <w:r>
              <w:rPr>
                <w:rFonts w:ascii="Arial" w:cs="Arial" w:eastAsia="Arial" w:hAnsi="Arial"/>
                <w:sz w:val="21"/>
                <w:szCs w:val="21"/>
                <w:color w:val="auto"/>
                <w:w w:val="99"/>
              </w:rPr>
              <w:t>Total Offering Amounts:</w:t>
            </w:r>
          </w:p>
        </w:tc>
        <w:tc>
          <w:tcPr>
            <w:tcW w:w="2940" w:type="dxa"/>
            <w:vAlign w:val="bottom"/>
          </w:tcPr>
          <w:p>
            <w:pPr>
              <w:jc w:val="right"/>
              <w:ind w:right="613"/>
              <w:spacing w:after="0"/>
              <w:rPr>
                <w:sz w:val="20"/>
                <w:szCs w:val="20"/>
                <w:color w:val="auto"/>
              </w:rPr>
            </w:pPr>
            <w:r>
              <w:rPr>
                <w:rFonts w:ascii="Arial" w:cs="Arial" w:eastAsia="Arial" w:hAnsi="Arial"/>
                <w:sz w:val="21"/>
                <w:szCs w:val="21"/>
                <w:color w:val="auto"/>
              </w:rPr>
              <w:t>$</w:t>
            </w:r>
          </w:p>
        </w:tc>
        <w:tc>
          <w:tcPr>
            <w:tcW w:w="1860" w:type="dxa"/>
            <w:vAlign w:val="bottom"/>
          </w:tcPr>
          <w:p>
            <w:pPr>
              <w:jc w:val="right"/>
              <w:spacing w:after="0"/>
              <w:rPr>
                <w:sz w:val="20"/>
                <w:szCs w:val="20"/>
                <w:color w:val="auto"/>
              </w:rPr>
            </w:pPr>
            <w:r>
              <w:rPr>
                <w:rFonts w:ascii="Arial" w:cs="Arial" w:eastAsia="Arial" w:hAnsi="Arial"/>
                <w:sz w:val="21"/>
                <w:szCs w:val="21"/>
                <w:color w:val="auto"/>
              </w:rPr>
              <w:t>$ 16,761.66</w:t>
            </w:r>
          </w:p>
        </w:tc>
      </w:tr>
      <w:tr>
        <w:trPr>
          <w:trHeight w:val="281"/>
        </w:trPr>
        <w:tc>
          <w:tcPr>
            <w:tcW w:w="2960" w:type="dxa"/>
            <w:vAlign w:val="bottom"/>
          </w:tcPr>
          <w:p>
            <w:pPr>
              <w:spacing w:after="0"/>
              <w:rPr>
                <w:sz w:val="24"/>
                <w:szCs w:val="24"/>
                <w:color w:val="auto"/>
              </w:rPr>
            </w:pPr>
          </w:p>
        </w:tc>
        <w:tc>
          <w:tcPr>
            <w:tcW w:w="2940" w:type="dxa"/>
            <w:vAlign w:val="bottom"/>
          </w:tcPr>
          <w:p>
            <w:pPr>
              <w:jc w:val="right"/>
              <w:ind w:right="613"/>
              <w:spacing w:after="0"/>
              <w:rPr>
                <w:sz w:val="20"/>
                <w:szCs w:val="20"/>
                <w:color w:val="auto"/>
              </w:rPr>
            </w:pPr>
            <w:r>
              <w:rPr>
                <w:rFonts w:ascii="Arial" w:cs="Arial" w:eastAsia="Arial" w:hAnsi="Arial"/>
                <w:sz w:val="21"/>
                <w:szCs w:val="21"/>
                <w:color w:val="auto"/>
              </w:rPr>
              <w:t>121,373,313.70</w:t>
            </w:r>
          </w:p>
        </w:tc>
        <w:tc>
          <w:tcPr>
            <w:tcW w:w="1860" w:type="dxa"/>
            <w:vAlign w:val="bottom"/>
          </w:tcPr>
          <w:p>
            <w:pPr>
              <w:spacing w:after="0"/>
              <w:rPr>
                <w:sz w:val="24"/>
                <w:szCs w:val="24"/>
                <w:color w:val="auto"/>
              </w:rPr>
            </w:pPr>
          </w:p>
        </w:tc>
      </w:tr>
      <w:tr>
        <w:trPr>
          <w:trHeight w:val="294"/>
        </w:trPr>
        <w:tc>
          <w:tcPr>
            <w:tcW w:w="2960" w:type="dxa"/>
            <w:vAlign w:val="bottom"/>
          </w:tcPr>
          <w:p>
            <w:pPr>
              <w:jc w:val="right"/>
              <w:ind w:right="633"/>
              <w:spacing w:after="0"/>
              <w:rPr>
                <w:sz w:val="20"/>
                <w:szCs w:val="20"/>
                <w:color w:val="auto"/>
              </w:rPr>
            </w:pPr>
            <w:r>
              <w:rPr>
                <w:rFonts w:ascii="Arial" w:cs="Arial" w:eastAsia="Arial" w:hAnsi="Arial"/>
                <w:sz w:val="21"/>
                <w:szCs w:val="21"/>
                <w:color w:val="auto"/>
              </w:rPr>
              <w:t>Total Fee Offsets:</w:t>
            </w:r>
          </w:p>
        </w:tc>
        <w:tc>
          <w:tcPr>
            <w:tcW w:w="29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21"/>
                <w:szCs w:val="21"/>
                <w:color w:val="auto"/>
              </w:rPr>
              <w:t>$ 0.00</w:t>
            </w:r>
          </w:p>
        </w:tc>
      </w:tr>
      <w:tr>
        <w:trPr>
          <w:trHeight w:val="294"/>
        </w:trPr>
        <w:tc>
          <w:tcPr>
            <w:tcW w:w="2960" w:type="dxa"/>
            <w:vAlign w:val="bottom"/>
          </w:tcPr>
          <w:p>
            <w:pPr>
              <w:jc w:val="right"/>
              <w:ind w:right="633"/>
              <w:spacing w:after="0"/>
              <w:rPr>
                <w:sz w:val="20"/>
                <w:szCs w:val="20"/>
                <w:color w:val="auto"/>
              </w:rPr>
            </w:pPr>
            <w:r>
              <w:rPr>
                <w:rFonts w:ascii="Arial" w:cs="Arial" w:eastAsia="Arial" w:hAnsi="Arial"/>
                <w:sz w:val="21"/>
                <w:szCs w:val="21"/>
                <w:color w:val="auto"/>
              </w:rPr>
              <w:t>Net Fee Due:</w:t>
            </w:r>
          </w:p>
        </w:tc>
        <w:tc>
          <w:tcPr>
            <w:tcW w:w="29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21"/>
                <w:szCs w:val="21"/>
                <w:color w:val="auto"/>
              </w:rPr>
              <w:t>$ 16,761.66</w:t>
            </w:r>
          </w:p>
        </w:tc>
      </w:tr>
    </w:tbl>
    <w:p>
      <w:pPr>
        <w:spacing w:after="0" w:line="318" w:lineRule="exact"/>
        <w:rPr>
          <w:sz w:val="20"/>
          <w:szCs w:val="20"/>
          <w:color w:val="auto"/>
        </w:rPr>
      </w:pPr>
    </w:p>
    <w:p>
      <w:pPr>
        <w:ind w:left="5"/>
        <w:spacing w:after="0"/>
        <w:rPr>
          <w:sz w:val="20"/>
          <w:szCs w:val="20"/>
          <w:color w:val="auto"/>
        </w:rPr>
      </w:pPr>
      <w:r>
        <w:rPr>
          <w:rFonts w:ascii="Arial" w:cs="Arial" w:eastAsia="Arial" w:hAnsi="Arial"/>
          <w:sz w:val="21"/>
          <w:szCs w:val="21"/>
          <w:b w:val="1"/>
          <w:bCs w:val="1"/>
          <w:color w:val="auto"/>
        </w:rPr>
        <w:t>Offering Note</w:t>
      </w:r>
    </w:p>
    <w:p>
      <w:pPr>
        <w:spacing w:after="0" w:line="148" w:lineRule="exact"/>
        <w:rPr>
          <w:sz w:val="20"/>
          <w:szCs w:val="20"/>
          <w:color w:val="auto"/>
        </w:rPr>
      </w:pPr>
    </w:p>
    <w:p>
      <w:pPr>
        <w:ind w:left="225" w:right="60" w:hanging="225"/>
        <w:spacing w:after="0" w:line="236" w:lineRule="auto"/>
        <w:tabs>
          <w:tab w:leader="none" w:pos="225" w:val="left"/>
        </w:tabs>
        <w:numPr>
          <w:ilvl w:val="0"/>
          <w:numId w:val="11"/>
        </w:numPr>
        <w:rPr>
          <w:rFonts w:ascii="Arial" w:cs="Arial" w:eastAsia="Arial" w:hAnsi="Arial"/>
          <w:sz w:val="27"/>
          <w:szCs w:val="27"/>
          <w:color w:val="auto"/>
          <w:vertAlign w:val="superscript"/>
        </w:rPr>
      </w:pPr>
      <w:r>
        <w:rPr>
          <w:rFonts w:ascii="Arial" w:cs="Arial" w:eastAsia="Arial" w:hAnsi="Arial"/>
          <w:sz w:val="21"/>
          <w:szCs w:val="21"/>
          <w:color w:val="auto"/>
        </w:rPr>
        <w:t>These shares may be represented by the ADSs of the Registrant. Each ADS represents the right to receive one Ordinary Share of the Registrant. ADSs issuable upon deposit of the Ordinary Shares registered hereby were registered pursuant to the Registrant's Registration Statement on Form F-6 (File No. 333-274845). Pursuant to Rule 416(a) promulgated under the Securities Act, this Registration Statement shall also cover any additional Ordinary Shares that become issuable under the Registrant's Free Share Plan AGA 2025-6 by reason of any stock dividend, stock split, recapitalization, or other similar transaction. The proposed maximum offering price per share is estimated in accordance with Rule 457(c) and Rule 457(h) promulgated under the Securities Act solely for the purpose of calculating the registration fee and is based on a price of $122.73 per ADS, which is the average of the high and low prices per ADS on March 19, 2026, as reported on The Nasdaq Global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81915</wp:posOffset>
            </wp:positionV>
            <wp:extent cx="63874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89" w:lineRule="exact"/>
        <w:rPr>
          <w:sz w:val="20"/>
          <w:szCs w:val="20"/>
          <w:color w:val="auto"/>
        </w:rPr>
      </w:pPr>
    </w:p>
    <w:p>
      <w:pPr>
        <w:ind w:left="225" w:right="60" w:hanging="225"/>
        <w:spacing w:after="0" w:line="236" w:lineRule="auto"/>
        <w:tabs>
          <w:tab w:leader="none" w:pos="225" w:val="left"/>
        </w:tabs>
        <w:numPr>
          <w:ilvl w:val="0"/>
          <w:numId w:val="12"/>
        </w:numPr>
        <w:rPr>
          <w:rFonts w:ascii="Arial" w:cs="Arial" w:eastAsia="Arial" w:hAnsi="Arial"/>
          <w:sz w:val="27"/>
          <w:szCs w:val="27"/>
          <w:color w:val="auto"/>
          <w:vertAlign w:val="superscript"/>
        </w:rPr>
      </w:pPr>
      <w:r>
        <w:rPr>
          <w:rFonts w:ascii="Arial" w:cs="Arial" w:eastAsia="Arial" w:hAnsi="Arial"/>
          <w:sz w:val="21"/>
          <w:szCs w:val="21"/>
          <w:color w:val="auto"/>
        </w:rPr>
        <w:t>These shares may be represented by the ADSs of the Registrant. Each ADS represents the right to receive one Ordinary Share of the Registrant. ADSs issuable upon deposit of the Ordinary Shares registered hereby were registered pursuant to the Registrant's Registration Statement on Form F-6 (File No. 333-274845). Pursuant to Rule 416(a) promulgated under the Securities Act, this Registration Statement shall also cover any additional Ordinary Shares that become issuable under the Registrant's Free Share Plan AGA 2025-7 by reason of any stock dividend, stock split, recapitalization, or other similar transaction. The proposed maximum offering price per share is estimated in accordance with Rule 457(c) and Rule 457(h) promulgated under the Securities Act solely for the purpose of calculating the registration fee and is based on a price of $122.73 per ADS, which is the average of the high and low prices per ADS on March 19, 2026, as reported on The Nasdaq Global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81915</wp:posOffset>
            </wp:positionV>
            <wp:extent cx="63874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89" w:lineRule="exact"/>
        <w:rPr>
          <w:sz w:val="20"/>
          <w:szCs w:val="20"/>
          <w:color w:val="auto"/>
        </w:rPr>
      </w:pPr>
    </w:p>
    <w:p>
      <w:pPr>
        <w:ind w:left="225" w:right="60" w:hanging="225"/>
        <w:spacing w:after="0" w:line="236" w:lineRule="auto"/>
        <w:tabs>
          <w:tab w:leader="none" w:pos="225" w:val="left"/>
        </w:tabs>
        <w:numPr>
          <w:ilvl w:val="0"/>
          <w:numId w:val="13"/>
        </w:numPr>
        <w:rPr>
          <w:rFonts w:ascii="Arial" w:cs="Arial" w:eastAsia="Arial" w:hAnsi="Arial"/>
          <w:sz w:val="27"/>
          <w:szCs w:val="27"/>
          <w:color w:val="auto"/>
          <w:vertAlign w:val="superscript"/>
        </w:rPr>
      </w:pPr>
      <w:r>
        <w:rPr>
          <w:rFonts w:ascii="Arial" w:cs="Arial" w:eastAsia="Arial" w:hAnsi="Arial"/>
          <w:sz w:val="21"/>
          <w:szCs w:val="21"/>
          <w:color w:val="auto"/>
        </w:rPr>
        <w:t>These shares may be represented by the ADSs of the Registrant. Each ADS represents the right to receive one Ordinary Share of the Registrant. ADSs issuable upon deposit of the Ordinary Shares registered hereby were registered pursuant to the Registrant's Registration Statement on Form F-6 (File No. 333-274845). Pursuant to Rule 416(a) promulgated under the Securities Act, this Registration Statement shall also cover any additional Ordinary Shares that become issuable under the Registrant's Free Share Plan AGA 2025-8 by reason of any stock dividend, stock split, recapitalization, or other similar transaction. The proposed maximum offering price per share is estimated in accordance with Rule 457(c) and Rule 457(h) promulgated under the Securities Act solely for the purpose of calculating the registration fee and is based on a price of $122.73 per ADS, which is the average of the high and low prices per ADS on March 19, 2026, as reported on The Nasdaq Global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81915</wp:posOffset>
            </wp:positionV>
            <wp:extent cx="63874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89" w:lineRule="exact"/>
        <w:rPr>
          <w:sz w:val="20"/>
          <w:szCs w:val="20"/>
          <w:color w:val="auto"/>
        </w:rPr>
      </w:pPr>
    </w:p>
    <w:p>
      <w:pPr>
        <w:ind w:left="225" w:right="60" w:hanging="225"/>
        <w:spacing w:after="0" w:line="236" w:lineRule="auto"/>
        <w:tabs>
          <w:tab w:leader="none" w:pos="225" w:val="left"/>
        </w:tabs>
        <w:numPr>
          <w:ilvl w:val="0"/>
          <w:numId w:val="14"/>
        </w:numPr>
        <w:rPr>
          <w:rFonts w:ascii="Arial" w:cs="Arial" w:eastAsia="Arial" w:hAnsi="Arial"/>
          <w:sz w:val="27"/>
          <w:szCs w:val="27"/>
          <w:color w:val="auto"/>
          <w:vertAlign w:val="superscript"/>
        </w:rPr>
      </w:pPr>
      <w:r>
        <w:rPr>
          <w:rFonts w:ascii="Arial" w:cs="Arial" w:eastAsia="Arial" w:hAnsi="Arial"/>
          <w:sz w:val="21"/>
          <w:szCs w:val="21"/>
          <w:color w:val="auto"/>
        </w:rPr>
        <w:t>These shares may be represented by the ADSs of the Registrant. Each ADS represents the right to receive one Ordinary Share of the Registrant. ADSs issuable upon deposit of the Ordinary Shares registered hereby were registered pursuant to the Registrant's Registration Statement on Form F-6 (File No. 333-274845). Pursuant to Rule 416(a) promulgated under the Securities Act, this Registration Statement shall also cover any additional Ordinary Shares that become issuable under the Registrant's Free Share Plan AGA 2026-1 by reason of any stock dividend, stock split, recapitalization, or other similar transaction. The proposed maximum offering price per share is estimated in accordance with Rule 457(c) and Rule 457(h) promulgated under the Securities Act solely for the purpose of calculating the registration fee and is based on a price of $122.73 per ADS, which is the average of the high and low prices per ADS on March 19, 2026, as reported on The Nasdaq Global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81915</wp:posOffset>
            </wp:positionV>
            <wp:extent cx="63874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89" w:lineRule="exact"/>
        <w:rPr>
          <w:sz w:val="20"/>
          <w:szCs w:val="20"/>
          <w:color w:val="auto"/>
        </w:rPr>
      </w:pPr>
    </w:p>
    <w:p>
      <w:pPr>
        <w:ind w:left="225" w:right="60" w:hanging="225"/>
        <w:spacing w:after="0" w:line="236" w:lineRule="auto"/>
        <w:tabs>
          <w:tab w:leader="none" w:pos="225" w:val="left"/>
        </w:tabs>
        <w:numPr>
          <w:ilvl w:val="0"/>
          <w:numId w:val="15"/>
        </w:numPr>
        <w:rPr>
          <w:rFonts w:ascii="Arial" w:cs="Arial" w:eastAsia="Arial" w:hAnsi="Arial"/>
          <w:sz w:val="27"/>
          <w:szCs w:val="27"/>
          <w:color w:val="auto"/>
          <w:vertAlign w:val="superscript"/>
        </w:rPr>
      </w:pPr>
      <w:r>
        <w:rPr>
          <w:rFonts w:ascii="Arial" w:cs="Arial" w:eastAsia="Arial" w:hAnsi="Arial"/>
          <w:sz w:val="21"/>
          <w:szCs w:val="21"/>
          <w:color w:val="auto"/>
        </w:rPr>
        <w:t>These shares may be represented by the ADSs of the Registrant. Each ADS represents the right to receive one Ordinary Share of the Registrant. ADSs issuable upon deposit of the Ordinary Shares registered hereby were registered pursuant to the Registrant's Registration Statement on Form F-6 (File No. 333-274845). Pursuant to Rule 416(a) promulgated under the Securities Act, this Registration Statement shall also cover any additional Ordinary Shares that become issuable under the Registrant's Share Warrants Plan BSA-2026-1 by reason of any stock dividend, stock split, recapitalization, or other similar transaction. The proposed maximum offering price per share is estimated in accordance with Rule 457(h) promulgated under the Securities Act solely for the purpose of calculating the registration fee and is based upon an exercise price of euro 99.63 per Ordinary Share and an exchange rate of $1.1489 per euro 1.00, the foreign exchange reference rate on March 19, 2026, as reported by the European Central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83820</wp:posOffset>
            </wp:positionV>
            <wp:extent cx="63874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ectPr>
          <w:pgSz w:w="11900" w:h="16838" w:orient="portrait"/>
          <w:cols w:equalWidth="0" w:num="1">
            <w:col w:w="10005"/>
          </w:cols>
          <w:pgMar w:left="935" w:top="112" w:right="959" w:bottom="122" w:gutter="0" w:footer="0" w:header="0"/>
        </w:sectPr>
      </w:pPr>
    </w:p>
    <w:bookmarkStart w:id="14" w:name="page15"/>
    <w:bookmarkEnd w:id="14"/>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4"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1"/>
                <w:szCs w:val="21"/>
                <w:color w:val="auto"/>
              </w:rPr>
            </w:pPr>
          </w:p>
        </w:tc>
        <w:tc>
          <w:tcPr>
            <w:tcW w:w="760" w:type="dxa"/>
            <w:vAlign w:val="bottom"/>
            <w:shd w:val="clear" w:color="auto" w:fill="9ADAF6"/>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4"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lowerLetter"/>
      <w:start w:val="1"/>
    </w:lvl>
  </w:abstractNum>
  <w:abstractNum w:abstractNumId="1">
    <w:nsid w:val="515F007C"/>
    <w:multiLevelType w:val="hybridMultilevel"/>
    <w:lvl w:ilvl="0">
      <w:lvlJc w:val="left"/>
      <w:lvlText w:val="(%1)"/>
      <w:numFmt w:val="decimal"/>
      <w:start w:val="1"/>
    </w:lvl>
    <w:lvl w:ilvl="1">
      <w:lvlJc w:val="left"/>
      <w:lvlText w:val="(%2)"/>
      <w:numFmt w:val="lowerRoman"/>
      <w:start w:val="1"/>
    </w:lvl>
  </w:abstractNum>
  <w:abstractNum w:abstractNumId="2">
    <w:nsid w:val="5BD062C2"/>
    <w:multiLevelType w:val="hybridMultilevel"/>
    <w:lvl w:ilvl="0">
      <w:lvlJc w:val="left"/>
      <w:lvlText w:val="(%1)"/>
      <w:numFmt w:val="decimal"/>
      <w:start w:val="2"/>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lowerLetter"/>
      <w:start w:val="1"/>
    </w:lvl>
  </w:abstractNum>
  <w:abstractNum w:abstractNumId="5">
    <w:nsid w:val="216231B"/>
    <w:multiLevelType w:val="hybridMultilevel"/>
    <w:lvl w:ilvl="0">
      <w:lvlJc w:val="left"/>
      <w:lvlText w:val="%1)"/>
      <w:numFmt w:val="lowerLetter"/>
      <w:start w:val="1"/>
    </w:lvl>
    <w:lvl w:ilvl="1">
      <w:lvlJc w:val="left"/>
      <w:lvlText w:val="•"/>
      <w:numFmt w:val="bullet"/>
      <w:start w:val="1"/>
    </w:lvl>
  </w:abstractNum>
  <w:abstractNum w:abstractNumId="6">
    <w:nsid w:val="1F16E9E8"/>
    <w:multiLevelType w:val="hybridMultilevel"/>
    <w:lvl w:ilvl="0">
      <w:lvlJc w:val="left"/>
      <w:lvlText w:val="%1)"/>
      <w:numFmt w:val="lowerLetter"/>
      <w:start w:val="2"/>
    </w:lvl>
    <w:lvl w:ilvl="1">
      <w:lvlJc w:val="left"/>
      <w:lvlText w:val="•"/>
      <w:numFmt w:val="bullet"/>
      <w:start w:val="1"/>
    </w:lvl>
  </w:abstractNum>
  <w:abstractNum w:abstractNumId="7">
    <w:nsid w:val="1190CDE7"/>
    <w:multiLevelType w:val="hybridMultilevel"/>
    <w:lvl w:ilvl="0">
      <w:lvlJc w:val="left"/>
      <w:lvlText w:val="%1)"/>
      <w:numFmt w:val="lowerLetter"/>
      <w:start w:val="3"/>
    </w:lvl>
    <w:lvl w:ilvl="1">
      <w:lvlJc w:val="left"/>
      <w:lvlText w:val="•"/>
      <w:numFmt w:val="bullet"/>
      <w:start w:val="1"/>
    </w:lvl>
  </w:abstractNum>
  <w:abstractNum w:abstractNumId="8">
    <w:nsid w:val="66EF438D"/>
    <w:multiLevelType w:val="hybridMultilevel"/>
    <w:lvl w:ilvl="0">
      <w:lvlJc w:val="left"/>
      <w:lvlText w:val="%1)"/>
      <w:numFmt w:val="lowerLetter"/>
      <w:start w:val="4"/>
    </w:lvl>
    <w:lvl w:ilvl="1">
      <w:lvlJc w:val="left"/>
      <w:lvlText w:val="•"/>
      <w:numFmt w:val="bullet"/>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bullet"/>
      <w:start w:val="1"/>
    </w:lvl>
  </w:abstractNum>
  <w:abstractNum w:abstractNumId="11">
    <w:nsid w:val="109CF92E"/>
    <w:multiLevelType w:val="hybridMultilevel"/>
    <w:lvl w:ilvl="0">
      <w:lvlJc w:val="left"/>
      <w:lvlText w:val="2"/>
      <w:numFmt w:val="bullet"/>
      <w:start w:val="1"/>
    </w:lvl>
  </w:abstractNum>
  <w:abstractNum w:abstractNumId="12">
    <w:nsid w:val="DED7263"/>
    <w:multiLevelType w:val="hybridMultilevel"/>
    <w:lvl w:ilvl="0">
      <w:lvlJc w:val="left"/>
      <w:lvlText w:val="3"/>
      <w:numFmt w:val="bullet"/>
      <w:start w:val="1"/>
    </w:lvl>
  </w:abstractNum>
  <w:abstractNum w:abstractNumId="13">
    <w:nsid w:val="7FDCC233"/>
    <w:multiLevelType w:val="hybridMultilevel"/>
    <w:lvl w:ilvl="0">
      <w:lvlJc w:val="left"/>
      <w:lvlText w:val="4"/>
      <w:numFmt w:val="bullet"/>
      <w:start w:val="1"/>
    </w:lvl>
  </w:abstractNum>
  <w:abstractNum w:abstractNumId="14">
    <w:nsid w:val="1BEFD79F"/>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jpe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jpe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17" Type="http://schemas.openxmlformats.org/officeDocument/2006/relationships/hyperlink" Target="http://www.sec.gov/ix?doc=/Archives/edgar/data/1956827/000195682726000012/abvx-20251231.htm" TargetMode="External"/><Relationship Id="rId18" Type="http://schemas.openxmlformats.org/officeDocument/2006/relationships/hyperlink" Target="http://www.sec.gov/Archives/edgar/data/1956827/000195682726000003/a6-kxeccopr.htm" TargetMode="External"/><Relationship Id="rId19" Type="http://schemas.openxmlformats.org/officeDocument/2006/relationships/hyperlink" Target="http://www.sec.gov/Archives/edgar/data/a6-kxeccopr.htm/000195682726000003/0001956827-26-000003-index.html" TargetMode="External"/><Relationship Id="rId20" Type="http://schemas.openxmlformats.org/officeDocument/2006/relationships/hyperlink" Target="http://www.sec.gov/Archives/edgar/data/1956827/000195682726000012/abivax-20xfxex21descriptio.htm" TargetMode="External"/><Relationship Id="rId23" Type="http://schemas.openxmlformats.org/officeDocument/2006/relationships/hyperlink" Target="http://www.sec.gov/Archives/edgar/data/1956827/000195682726000012/abivax-20xfxex11bylaws6feb.htm" TargetMode="External"/><Relationship Id="rId24" Type="http://schemas.openxmlformats.org/officeDocument/2006/relationships/hyperlink" Target="http://www.sec.gov/Archives/edgar/data/1472033/000119380523001353/e618972_ex99-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2026-03-23T16:32:35Z</dcterms:created>
  <dcterms:modified xsi:type="dcterms:W3CDTF">2026-03-23T16:32:35Z</dcterms:modified>
</cp:coreProperties>
</file>