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 of the Securities Act of 1933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July 1,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333-288884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Abivax Announces Pricing of Highly Oversubscribed and Upsized $800M (€702M) Public Offering of American Depositary Shares</w:t>
      </w:r>
    </w:p>
    <w:p>
      <w:pPr>
        <w:spacing w:after="0" w:line="127" w:lineRule="exact"/>
        <w:rPr>
          <w:sz w:val="24"/>
          <w:szCs w:val="24"/>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Upsized offering increased from the previously announced </w:t>
      </w:r>
      <w:r>
        <w:rPr>
          <w:rFonts w:ascii="Times New Roman" w:cs="Times New Roman" w:eastAsia="Times New Roman" w:hAnsi="Times New Roman"/>
          <w:sz w:val="18"/>
          <w:szCs w:val="18"/>
          <w:b w:val="1"/>
          <w:bCs w:val="1"/>
          <w:color w:val="auto"/>
        </w:rPr>
        <w:t>$600M to $800M</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$125.00 per ADS</w:t>
      </w:r>
      <w:r>
        <w:rPr>
          <w:rFonts w:ascii="Times New Roman" w:cs="Times New Roman" w:eastAsia="Times New Roman" w:hAnsi="Times New Roman"/>
          <w:sz w:val="18"/>
          <w:szCs w:val="18"/>
          <w:color w:val="auto"/>
        </w:rPr>
        <w:t xml:space="preserve">, priced at a </w:t>
      </w:r>
      <w:r>
        <w:rPr>
          <w:rFonts w:ascii="Times New Roman" w:cs="Times New Roman" w:eastAsia="Times New Roman" w:hAnsi="Times New Roman"/>
          <w:sz w:val="18"/>
          <w:szCs w:val="18"/>
          <w:b w:val="1"/>
          <w:bCs w:val="1"/>
          <w:color w:val="auto"/>
        </w:rPr>
        <w:t>2.39% premium</w:t>
      </w:r>
      <w:r>
        <w:rPr>
          <w:rFonts w:ascii="Times New Roman" w:cs="Times New Roman" w:eastAsia="Times New Roman" w:hAnsi="Times New Roman"/>
          <w:sz w:val="18"/>
          <w:szCs w:val="18"/>
          <w:color w:val="auto"/>
        </w:rPr>
        <w:t xml:space="preserve"> to the three-day</w:t>
      </w:r>
    </w:p>
    <w:p>
      <w:pPr>
        <w:spacing w:after="0" w:line="3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VWAP</w:t>
      </w:r>
    </w:p>
    <w:p>
      <w:pPr>
        <w:spacing w:after="0" w:line="108" w:lineRule="exact"/>
        <w:rPr>
          <w:rFonts w:ascii="Times New Roman" w:cs="Times New Roman" w:eastAsia="Times New Roman" w:hAnsi="Times New Roman"/>
          <w:sz w:val="18"/>
          <w:szCs w:val="18"/>
          <w:color w:val="auto"/>
        </w:rPr>
      </w:pPr>
    </w:p>
    <w:p>
      <w:pPr>
        <w:ind w:left="420" w:right="240" w:hanging="316"/>
        <w:spacing w:after="0" w:line="28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gross proceeds of approximately </w:t>
      </w:r>
      <w:r>
        <w:rPr>
          <w:rFonts w:ascii="Times New Roman" w:cs="Times New Roman" w:eastAsia="Times New Roman" w:hAnsi="Times New Roman"/>
          <w:sz w:val="18"/>
          <w:szCs w:val="18"/>
          <w:b w:val="1"/>
          <w:bCs w:val="1"/>
          <w:color w:val="auto"/>
        </w:rPr>
        <w:t>$800M (€702M)</w:t>
      </w:r>
      <w:r>
        <w:rPr>
          <w:rFonts w:ascii="Times New Roman" w:cs="Times New Roman" w:eastAsia="Times New Roman" w:hAnsi="Times New Roman"/>
          <w:sz w:val="18"/>
          <w:szCs w:val="18"/>
          <w:color w:val="auto"/>
        </w:rPr>
        <w:t xml:space="preserve">, before potential exercise of the Underwriters’ Option, are anticipated to extend the Company’s cash runway into </w:t>
      </w:r>
      <w:r>
        <w:rPr>
          <w:rFonts w:ascii="Times New Roman" w:cs="Times New Roman" w:eastAsia="Times New Roman" w:hAnsi="Times New Roman"/>
          <w:sz w:val="18"/>
          <w:szCs w:val="18"/>
          <w:b w:val="1"/>
          <w:bCs w:val="1"/>
          <w:color w:val="auto"/>
        </w:rPr>
        <w:t>Q2 2029</w:t>
      </w:r>
      <w:r>
        <w:rPr>
          <w:rFonts w:ascii="Times New Roman" w:cs="Times New Roman" w:eastAsia="Times New Roman" w:hAnsi="Times New Roman"/>
          <w:sz w:val="18"/>
          <w:szCs w:val="18"/>
          <w:color w:val="auto"/>
        </w:rPr>
        <w:t>, supporting potential commercialization of obefazimod and continued clinical development</w:t>
      </w:r>
    </w:p>
    <w:p>
      <w:pPr>
        <w:spacing w:after="0" w:line="47"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PARIS, France, July 1, 2026 – 2:45 p.m. (CEST) </w:t>
      </w:r>
      <w:r>
        <w:rPr>
          <w:rFonts w:ascii="Times New Roman" w:cs="Times New Roman" w:eastAsia="Times New Roman" w:hAnsi="Times New Roman"/>
          <w:sz w:val="18"/>
          <w:szCs w:val="18"/>
          <w:color w:val="auto"/>
        </w:rPr>
        <w:t>– Abivax SA (Euronext Paris: FR0012333284 – ABVX) (“</w:t>
      </w:r>
      <w:r>
        <w:rPr>
          <w:rFonts w:ascii="Times New Roman" w:cs="Times New Roman" w:eastAsia="Times New Roman" w:hAnsi="Times New Roman"/>
          <w:sz w:val="18"/>
          <w:szCs w:val="18"/>
          <w:b w:val="1"/>
          <w:bCs w:val="1"/>
          <w:color w:val="auto"/>
        </w:rPr>
        <w:t>Abivax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clinical-stage biotechnology company focused on developing therapeutics that harness the body’s natural regulatory mechanisms to stabilize the immune response in patients with chronic inflammatory diseases, today announces the pricing of its previously announced underwritten public offering of 6,400,000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one ordinary share, €0.01 nominal value per share (each an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 of the Company, in the United States at an offering price of $125.00 per ADS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The size of the ADS Offering was increased from the previously announced offering size of $600.0 million ADSs.</w:t>
      </w:r>
    </w:p>
    <w:p>
      <w:pPr>
        <w:spacing w:after="0" w:line="186"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offering price of $125.00 per ADS (corresponding to €109.71 per Ordinary Share, based on the exchange rate of €1.00 = $1.1394 as published by the European Central Bank on June 30, 2026), is equal to the volume-weighted average price of the Ordinary Shares on the regulated market of Euronext in Paris (“</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over the last three trading sessions preceding the pricing of the Offering (i.e., June 26 to June 30, 2026), plus a premium of 2.39% and has been determined by the Chief Executive Officer upon subdelegation from the Board of Directors pursuant to the 18th and 27th resolutions of the Company’s combined shareholders’ meeting held on May 11, 2026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Leerink Partners, Morgan Stanley, Piper Sandler and Guggenheim Securities are acting as joint bookrunning managers for the Offering. LifeSci Capital is acting as a passive bookrunning manager for the Offering. Van Lanschot Kempen is acting as lead manager for the Offering.</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Offering is subject to an underwriting agreement. The underwriting agreement was entered into on June 30, 2026 in connection with the determination of the offering price. The underwriting agreement does not constitute a performance guarantee (</w:t>
      </w:r>
      <w:r>
        <w:rPr>
          <w:rFonts w:ascii="Times New Roman" w:cs="Times New Roman" w:eastAsia="Times New Roman" w:hAnsi="Times New Roman"/>
          <w:sz w:val="18"/>
          <w:szCs w:val="18"/>
          <w:i w:val="1"/>
          <w:iCs w:val="1"/>
          <w:color w:val="auto"/>
        </w:rPr>
        <w:t>garantie de bonne fin</w:t>
      </w:r>
      <w:r>
        <w:rPr>
          <w:rFonts w:ascii="Times New Roman" w:cs="Times New Roman" w:eastAsia="Times New Roman" w:hAnsi="Times New Roman"/>
          <w:sz w:val="18"/>
          <w:szCs w:val="18"/>
          <w:color w:val="auto"/>
        </w:rPr>
        <w:t>) within the meaning of Article L. 225-145 of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Offering</w:t>
      </w:r>
    </w:p>
    <w:p>
      <w:pPr>
        <w:spacing w:after="0" w:line="121" w:lineRule="exact"/>
        <w:rPr>
          <w:sz w:val="24"/>
          <w:szCs w:val="24"/>
          <w:color w:val="auto"/>
        </w:rPr>
      </w:pPr>
    </w:p>
    <w:p>
      <w:pPr>
        <w:jc w:val="both"/>
        <w:ind w:right="120"/>
        <w:spacing w:after="0" w:line="277" w:lineRule="auto"/>
        <w:rPr>
          <w:sz w:val="20"/>
          <w:szCs w:val="20"/>
          <w:color w:val="auto"/>
        </w:rPr>
      </w:pPr>
      <w:r>
        <w:rPr>
          <w:rFonts w:ascii="Times New Roman" w:cs="Times New Roman" w:eastAsia="Times New Roman" w:hAnsi="Times New Roman"/>
          <w:sz w:val="18"/>
          <w:szCs w:val="18"/>
          <w:color w:val="auto"/>
        </w:rPr>
        <w:t>The Ordinary Shares (in the form of ADSs) being issued in the Offering are being issued by way of a capital increase without shareholders’ preferential subscription rights through a public offering (with the exception of public offerings defined in Article L.411-2 1°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in accordance with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resolutions of the General Meeting.</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Closing</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July 6, 2026, subject to the satisfaction of customary closing conditions.</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to Purchase Additional Shares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Company has granted the underwriters an option exercisable on or before July 6, 2026 to purchase up to an additional 960,000 ADSs, representing 15% of the Offering size, on the same terms and conditions as in the Offering, in accordance with the delegation granted by the General Meeting in its 23rd and 27th resolutions (the “</w:t>
      </w:r>
      <w:r>
        <w:rPr>
          <w:rFonts w:ascii="Times New Roman" w:cs="Times New Roman" w:eastAsia="Times New Roman" w:hAnsi="Times New Roman"/>
          <w:sz w:val="18"/>
          <w:szCs w:val="18"/>
          <w:b w:val="1"/>
          <w:bCs w:val="1"/>
          <w:color w:val="auto"/>
        </w:rPr>
        <w:t>Underwriters’ Option</w:t>
      </w:r>
      <w:r>
        <w:rPr>
          <w:rFonts w:ascii="Times New Roman" w:cs="Times New Roman" w:eastAsia="Times New Roman" w:hAnsi="Times New Roman"/>
          <w:sz w:val="18"/>
          <w:szCs w:val="18"/>
          <w:color w:val="auto"/>
        </w:rPr>
        <w:t>”). The Company will announce the exercise of the Underwriters’ Option and the number of ADSs to be issued in connection therewith, if any, as soon as practicable thereafter in a subsequent press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Offering, Leerink Partners, acting as stabilization agent, may effect transactions with a view to supporting, stabilizing, or maintaining the market price of such securities at a level higher than which might otherwise prevail in the Company’s ADS market. However, there is no assurance that the stabilization agent will take any stabilization action and, if begun, such stabilization action may be ended at any time without prior notice. Any stabilization action or over-allotment shall be carried out in accordance with all applicable rules and regulations and may be undertaken on the Nasdaq Global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Proceeds from the Offering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aggregate gross proceeds from the Offering are expected to be approximately $800.0 million, equivalent to approximately €702.1 million, before deducting underwriting commissions and other offering expenses payable by the Company, assuming no exercise of the Underwriters’ Option in connection with the Offering. If the Company issues additional ADSs pursuant to the exercise in full of the Underwriters’ Option in connection with the Offering, the estimated gross proceeds received by the Company from the Offering would be expected to be approximately $920.0 million, equivalent to approximately €807.4 million, before deducting underwriting commissions and other offering expenses payable by the Company.</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cash, cash equivalents and short-term investments of €491.6 million, providing a cash runway into Q4 2027 based on current operating assumptions. The Company intends to use the net proceeds from the Offering for expenses relating to potential commercialization of its lead drug candidate, obefazimod, in the United States; clinical research and development expenses, primarily related to ulcerative colitis and Crohn’s disease; and the remainder, if any, for general corporate purposes.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believes that the anticipated net proceeds from the Offering (assuming the Underwriters’ Option is not exercised), together with its current cash and cash equivalents, will allow it to finance its operations into the second quarter of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Company’s board members and executive officers are subject to a contractual lock-up for a period of 60 days after the date of the final prospectus supplement, subject to customary exceptions. The Company has also agreed to be bound by a contractual lock-up for a period of 60 days after the date of the final prospectus supplement, subject to customary exceptions.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Dilution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6,400,000 Ordinary Shares (in the form of ADSs) issued in the Offering will result in a dilution of approximately 8.0% of the share capital of the Company (on a non-diluted basis and excluding the exercise of the Underwriters’ Option) and 9.2%, if the Underwriters’ Option is exercised in full (on a non-diluted basis). On an illustrative basis, a shareholder holding 1% of the Company’s share capital before the Offering would hold a stake of 0.93% after completion of the Offering and 0.92% if the Underwriters’ Option is exercised in full.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and Delivery – Documentation</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Company’s ADSs are listed on the Nasdaq Global Market under the ticker symbol “ABVX.” The Company’s Ordinary Shares are listed on Euronext under the symbol “ABVX.”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issued in the Offering are expected to be admitted to trading on Euronext on July 6, 2026.</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Ordinary Shares underlying the ADSs issued in the Offering will be subject to an application for admission to trading on Euronext on the same trading line as the existing Ordinary Shares of the Company currently listed on Euronext, under the same ISIN code FR0012333284. The trading of the Ordinary Shares on Euronext is suspended on July 1, 2026, until the opening of trading of the ADSs on the Nasdaq Global Market at approximately 3:30 p.m. (Paris time) / 9:30 a.m. (New York time) today (July 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automatic shelf registration statement on Form F-3 (including a prospectus) relating to the Company’s securities was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July 23, 2025, became effective upon filing, and was amended on June 30, 2026. The Company has also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SEC a preliminary prospectus supplement (and accompanying prospectus) relating to and describing the terms of the Offering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and will file a final prospectus supplement with the SEC. Before purchasing ADSs in the Offering,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should read the Preliminary Prospectus Supplement (and accompanying prospectus) together with the documents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These documents may be obtained free of charge by visiting EDGAR on the SEC’s website at www.sec.gov. Alternatively, a copy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Supplement (and accompanying prospectus) may be obtained from Leerink Partners LLC, Attention: Syndicate Department, 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Street, 40th Floor, Boston, MA 02109, by telephone at (800) 808-7525, ext. 6105, or by email at syndicate@leerink.com; Morgan Stanley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Attention: Prospectus Department, 180 Varick Street, 2nd Floor, New York, NY 10014, or by email at prospectus@morganstanley.com; Piper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Sandler &amp; Co., 350 North 5th Street, Suite 1300, Minneapolis, MN 55402, Attention: Prospectus Department, by telephone at (800) 747-3924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at prospectus@psc.com; or Guggenheim Securities, LLC, Attention: Equity Syndicate Department, 330 Madison Avenue, 8th Floor,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10017, by telephone at (212) 518-9544 or by email at GSEquityProspectusDelivery@guggenheimpartners.com.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 w:name="page4"/>
    <w:bookmarkEnd w:id="3"/>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Article 1(5)(a) of the Regulation (EU) 2017/1129 of the European Parliament and of the Council of 14 June 2017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the Offering is not subject to a prospectus requiring an approval of the French Financial Markets Authority (</w:t>
      </w:r>
      <w:r>
        <w:rPr>
          <w:rFonts w:ascii="Times New Roman" w:cs="Times New Roman" w:eastAsia="Times New Roman" w:hAnsi="Times New Roman"/>
          <w:sz w:val="18"/>
          <w:szCs w:val="18"/>
          <w:i w:val="1"/>
          <w:iCs w:val="1"/>
          <w:color w:val="auto"/>
        </w:rPr>
        <w:t>Autorité des Marchés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nor to issuance of the information document referred to in Annex IX to the Prospectus Regulation.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Potential investors should carefully consider the risks described under “Risk Factors” in the Preliminary Prospectus Supplement, including the following risks:</w:t>
      </w:r>
    </w:p>
    <w:p>
      <w:pPr>
        <w:spacing w:after="0" w:line="67" w:lineRule="exact"/>
        <w:rPr>
          <w:sz w:val="20"/>
          <w:szCs w:val="20"/>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proceeds from this Offering and may apply these proceeds in ways that may not increase the value of your investment;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ADSs in the Offering, you will experience substantial and immediate dilution;</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or future sales of Ordinary Shares or ADSs by existing shareholders could depress the market price of the ADSs and Ordinary Shares; and</w:t>
      </w:r>
    </w:p>
    <w:p>
      <w:pPr>
        <w:spacing w:after="0" w:line="67" w:lineRule="exact"/>
        <w:rPr>
          <w:rFonts w:ascii="Times New Roman" w:cs="Times New Roman" w:eastAsia="Times New Roman" w:hAnsi="Times New Roman"/>
          <w:sz w:val="18"/>
          <w:szCs w:val="18"/>
          <w:color w:val="auto"/>
        </w:rPr>
      </w:pPr>
    </w:p>
    <w:p>
      <w:pPr>
        <w:ind w:left="960" w:right="5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including as a result of this Offering or of further offerings to finance the clinical programs or the commercialization of the Company’s candidate drugs, may cause dilution to our shareholders, restrict our operations or require us to relinquish rights to our product candidates.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Company draws attention to the risk factors related to the Company and its activities described under the caption “Risk Factors” in the Preliminary Prospectus Supplement and in the documents incorporated by reference therein and presented in Chapter 2 of the 2025 universal registration document filed with the AMF under number D.26-0133 on March 23, 2026, which is available free of charge on the Company’s website at https://ir.abivax.com/fr, as well as on the AMF’s website at www.amf-france.org.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Abivax</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Abivax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Malloy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patrick.malloy@abivax.com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+1 847 987 4878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forecasts and estimates, including those relating to the Company’s business and financial objectives. Words such as “design,” “intend,” “expect,” “forward,” “future,” “can,” “could,” “may,” “might,” “potential,” “plan,” “project,” “should,” “will” and variations of such words and similar expressions are intended to identify forward-looking statements. These forward-looking statements include statements regarding the expected closing of the Offering, the anticipated use of net proceeds therefrom, any announcement of the exercise of the Underwriters’ Option, the period of time through which the Company anticipates its financial resources will be adequate to support its operations, as well as statements concerning or implying the therapeutic potential of Abivax’s drug candidates,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AMF pursuant to its legal obligations, including its universal registration document (</w:t>
      </w:r>
      <w:r>
        <w:rPr>
          <w:rFonts w:ascii="Times New Roman" w:cs="Times New Roman" w:eastAsia="Times New Roman" w:hAnsi="Times New Roman"/>
          <w:sz w:val="18"/>
          <w:szCs w:val="18"/>
          <w:i w:val="1"/>
          <w:iCs w:val="1"/>
          <w:color w:val="auto"/>
        </w:rPr>
        <w:t>Document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d’Enregistrement Universel</w:t>
      </w:r>
      <w:r>
        <w:rPr>
          <w:rFonts w:ascii="Times New Roman" w:cs="Times New Roman" w:eastAsia="Times New Roman" w:hAnsi="Times New Roman"/>
          <w:sz w:val="18"/>
          <w:szCs w:val="18"/>
          <w:color w:val="auto"/>
        </w:rPr>
        <w:t>), and in the Company’s Annual Report on Form 20-F filed with the U.S. Securities and Exchange Commission on March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Among those risks and uncertainties are market conditions, including market interest rates and the trading price and volatility of the Ordinary Shares and the ADSs.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The Company cannot provide any assurances regarding its ability to effectively apply the net proceeds as described above. Information about pharmaceutical products (including products currently in development) that is included in this press release is not intended to constitute an advertisement. This press release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Disclaimers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distribution of this press release may be subject to legal or regulatory restrictions in certain jurisdictions. Any person who comes into possession of this press release must inform him or herself of and comply with any such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not a prospectus within the meaning of the Prospectus Regulation.</w:t>
      </w:r>
    </w:p>
    <w:p>
      <w:pPr>
        <w:spacing w:after="0" w:line="22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This document is distributed and addressed only to legal entities which are qualified investors as defined in the Prospectus Regulation. No offer to the public of the securities referred to herein requiring the Company to publish a prospectus pursuant to Article 3 of the Prospectus Regulation is being made or will be made in any member state of the European Economic Area (each, a “</w:t>
      </w:r>
      <w:r>
        <w:rPr>
          <w:rFonts w:ascii="Times New Roman" w:cs="Times New Roman" w:eastAsia="Times New Roman" w:hAnsi="Times New Roman"/>
          <w:sz w:val="17"/>
          <w:szCs w:val="17"/>
          <w:b w:val="1"/>
          <w:bCs w:val="1"/>
          <w:color w:val="auto"/>
        </w:rPr>
        <w:t>Relevant Member State</w:t>
      </w:r>
      <w:r>
        <w:rPr>
          <w:rFonts w:ascii="Times New Roman" w:cs="Times New Roman" w:eastAsia="Times New Roman" w:hAnsi="Times New Roman"/>
          <w:sz w:val="17"/>
          <w:szCs w:val="17"/>
          <w:color w:val="auto"/>
        </w:rPr>
        <w:t>”). For the purposes of the above, the expression an “offer to the public” in any Relevant Member State shall have the meaning ascribed to it in Article 2(d) of the Prospectus Regulation.</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is being distributed only to, and is directed only at (a) persons outside the United Kingdom, (b) “qualified investors” (as defined in paragraph 15 of Schedule 1 to the Public Offers and Admissions to Trading Regulations 2024 (the “</w:t>
      </w:r>
      <w:r>
        <w:rPr>
          <w:rFonts w:ascii="Times New Roman" w:cs="Times New Roman" w:eastAsia="Times New Roman" w:hAnsi="Times New Roman"/>
          <w:sz w:val="18"/>
          <w:szCs w:val="18"/>
          <w:b w:val="1"/>
          <w:bCs w:val="1"/>
          <w:color w:val="auto"/>
        </w:rPr>
        <w:t>POAT Regulations</w:t>
      </w:r>
      <w:r>
        <w:rPr>
          <w:rFonts w:ascii="Times New Roman" w:cs="Times New Roman" w:eastAsia="Times New Roman" w:hAnsi="Times New Roman"/>
          <w:sz w:val="18"/>
          <w:szCs w:val="18"/>
          <w:color w:val="auto"/>
        </w:rPr>
        <w:t>”))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(c) high net worth entities, and other persons to whom it may otherwise lawfully be communicated, falling within Article 49(2) of the Order (all such persons together being referred to as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In the United Kingdom, any offering of securities described herein will be made pursuant to an exemption under the POAT Regulations from the requirement to publish a prospectus.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securities offered in the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cs="Times New Roman" w:eastAsia="Times New Roman" w:hAnsi="Times New Roman"/>
          <w:sz w:val="18"/>
          <w:szCs w:val="18"/>
          <w:b w:val="1"/>
          <w:bCs w:val="1"/>
          <w:color w:val="auto"/>
        </w:rPr>
        <w:t>MiFID II</w:t>
      </w:r>
      <w:r>
        <w:rPr>
          <w:rFonts w:ascii="Times New Roman" w:cs="Times New Roman" w:eastAsia="Times New Roman" w:hAnsi="Times New Roman"/>
          <w:sz w:val="18"/>
          <w:szCs w:val="18"/>
          <w:color w:val="auto"/>
        </w:rPr>
        <w:t>”); and (ii) all channels for distribution of the securities offered in the Offering to eligible counterparties and professional clients are appropriate. Any person subsequently offering, selling or recommending the securities (a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should take into consideration the manufacturers’ type of clients assessment; however, a distributor subject to MiFID II is responsible for undertaking its own target market assessment in respect of the securities offered in the Offering (by either adopting or refining the manufacturers’ type of clients assessment) and determining appropriate distribution channels.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has been prepared in both French and English. In the event of any discrepancies between the two versions of the press release, the French language version shall prevail.</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660"/>
      </w:cols>
      <w:pgMar w:left="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2026-07-01T08:17:44Z</dcterms:created>
  <dcterms:modified xsi:type="dcterms:W3CDTF">2026-07-01T08:17:44Z</dcterms:modified>
</cp:coreProperties>
</file>