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6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300" w:right="659" w:hanging="8"/>
        <w:spacing w:after="0" w:line="251" w:lineRule="auto"/>
        <w:tabs>
          <w:tab w:leader="none" w:pos="7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jc w:val="center"/>
        <w:ind w:right="19"/>
        <w:spacing w:after="0" w:line="220" w:lineRule="auto"/>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ind w:left="300" w:right="619" w:hanging="8"/>
        <w:spacing w:after="0" w:line="251" w:lineRule="auto"/>
        <w:tabs>
          <w:tab w:leader="none" w:pos="738"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300" w:right="1279" w:hanging="8"/>
        <w:spacing w:after="0" w:line="244" w:lineRule="auto"/>
        <w:tabs>
          <w:tab w:leader="none" w:pos="783" w:val="left"/>
        </w:tabs>
        <w:numPr>
          <w:ilvl w:val="0"/>
          <w:numId w:val="3"/>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8" w:lineRule="exact"/>
        <w:rPr>
          <w:sz w:val="24"/>
          <w:szCs w:val="24"/>
          <w:color w:val="auto"/>
        </w:rPr>
      </w:pPr>
    </w:p>
    <w:p>
      <w:pPr>
        <w:ind w:left="300" w:right="859" w:hanging="8"/>
        <w:spacing w:after="0" w:line="278" w:lineRule="auto"/>
        <w:tabs>
          <w:tab w:leader="none" w:pos="783" w:val="left"/>
        </w:tabs>
        <w:numPr>
          <w:ilvl w:val="0"/>
          <w:numId w:val="4"/>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Abivax SA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 and translation of Registrant’s name into English)</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 de Garidel</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7-11 boulevard Haussmann</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Tel: +33 (0) 1 53 83 09 63</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info@abivax.com</w:t>
      </w:r>
    </w:p>
    <w:p>
      <w:pPr>
        <w:jc w:val="center"/>
        <w:ind w:right="19"/>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16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83" w:lineRule="exact"/>
        <w:rPr>
          <w:sz w:val="24"/>
          <w:szCs w:val="24"/>
          <w:color w:val="auto"/>
        </w:rPr>
      </w:pPr>
    </w:p>
    <w:tbl>
      <w:tblPr>
        <w:tblLayout w:type="fixed"/>
        <w:tblInd w:w="400" w:type="dxa"/>
        <w:tblCellMar>
          <w:top w:w="0" w:type="dxa"/>
          <w:left w:w="0" w:type="dxa"/>
          <w:bottom w:w="0" w:type="dxa"/>
          <w:right w:w="0" w:type="dxa"/>
        </w:tblCellMar>
      </w:tblPr>
      <w:tr>
        <w:trPr>
          <w:trHeight w:val="205"/>
        </w:trPr>
        <w:tc>
          <w:tcPr>
            <w:tcW w:w="34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1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6"/>
        </w:trPr>
        <w:tc>
          <w:tcPr>
            <w:tcW w:w="34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color w:val="auto"/>
              </w:rPr>
              <w:t>American Depositary Shares, each representing</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ABVX</w:t>
            </w:r>
          </w:p>
        </w:tc>
        <w:tc>
          <w:tcPr>
            <w:tcW w:w="3160" w:type="dxa"/>
            <w:vAlign w:val="bottom"/>
          </w:tcPr>
          <w:p>
            <w:pPr>
              <w:jc w:val="center"/>
              <w:ind w:left="79"/>
              <w:spacing w:after="0" w:line="175" w:lineRule="exact"/>
              <w:rPr>
                <w:sz w:val="20"/>
                <w:szCs w:val="20"/>
                <w:color w:val="auto"/>
              </w:rPr>
            </w:pPr>
            <w:r>
              <w:rPr>
                <w:rFonts w:ascii="Times New Roman" w:cs="Times New Roman" w:eastAsia="Times New Roman" w:hAnsi="Times New Roman"/>
                <w:sz w:val="16"/>
                <w:szCs w:val="16"/>
                <w:color w:val="auto"/>
              </w:rPr>
              <w:t>The Nasdaq Global Market</w:t>
            </w:r>
          </w:p>
        </w:tc>
      </w:tr>
      <w:tr>
        <w:trPr>
          <w:trHeight w:val="210"/>
        </w:trPr>
        <w:tc>
          <w:tcPr>
            <w:tcW w:w="34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one ordinary share, nominal value €0.01 per share</w:t>
            </w:r>
          </w:p>
        </w:tc>
        <w:tc>
          <w:tcPr>
            <w:tcW w:w="16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43"/>
        </w:trPr>
        <w:tc>
          <w:tcPr>
            <w:tcW w:w="3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Ordinary shares, nominal value €0.01 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1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5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 for trading, but only in connection with the registration of the American Depositary Shares.</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9019"/>
          </w:cols>
          <w:pgMar w:left="1440" w:top="1440" w:right="1440" w:bottom="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t>Ordinary shares: 78,536,412 shares outstanding as of December 31, 2025</w:t>
      </w:r>
    </w:p>
    <w:p>
      <w:pPr>
        <w:spacing w:after="0" w:line="202" w:lineRule="exact"/>
        <w:rPr>
          <w:sz w:val="20"/>
          <w:szCs w:val="20"/>
          <w:color w:val="auto"/>
        </w:rPr>
      </w:pPr>
    </w:p>
    <w:p>
      <w:pPr>
        <w:ind w:left="300" w:right="63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4" w:lineRule="exact"/>
        <w:rPr>
          <w:sz w:val="20"/>
          <w:szCs w:val="20"/>
          <w:color w:val="auto"/>
        </w:rPr>
      </w:pPr>
    </w:p>
    <w:p>
      <w:pPr>
        <w:ind w:left="300" w:right="519"/>
        <w:spacing w:after="0" w:line="232"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4" w:lineRule="exact"/>
        <w:rPr>
          <w:sz w:val="20"/>
          <w:szCs w:val="20"/>
          <w:color w:val="auto"/>
        </w:rPr>
      </w:pPr>
    </w:p>
    <w:p>
      <w:pPr>
        <w:ind w:left="300" w:right="339"/>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both"/>
        <w:ind w:left="300" w:right="35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5" w:lineRule="exact"/>
        <w:rPr>
          <w:sz w:val="20"/>
          <w:szCs w:val="20"/>
          <w:color w:val="auto"/>
        </w:rPr>
      </w:pPr>
    </w:p>
    <w:p>
      <w:pPr>
        <w:ind w:left="300" w:right="35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77" w:lineRule="exact"/>
        <w:rPr>
          <w:sz w:val="20"/>
          <w:szCs w:val="20"/>
          <w:color w:val="auto"/>
        </w:rPr>
      </w:pPr>
    </w:p>
    <w:p>
      <w:pPr>
        <w:ind w:left="360"/>
        <w:spacing w:after="0" w:line="207" w:lineRule="exact"/>
        <w:tabs>
          <w:tab w:leader="none" w:pos="2420" w:val="left"/>
          <w:tab w:leader="none" w:pos="4320" w:val="left"/>
          <w:tab w:leader="none" w:pos="6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7" w:lineRule="exact"/>
        <w:rPr>
          <w:sz w:val="20"/>
          <w:szCs w:val="20"/>
          <w:color w:val="auto"/>
        </w:rPr>
      </w:pPr>
    </w:p>
    <w:p>
      <w:pPr>
        <w:ind w:left="300" w:right="579"/>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5" w:lineRule="exact"/>
        <w:rPr>
          <w:sz w:val="20"/>
          <w:szCs w:val="20"/>
          <w:color w:val="auto"/>
        </w:rPr>
      </w:pPr>
    </w:p>
    <w:p>
      <w:pPr>
        <w:ind w:left="300" w:right="459" w:hanging="8"/>
        <w:spacing w:after="0" w:line="266"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49" w:lineRule="exact"/>
        <w:rPr>
          <w:sz w:val="20"/>
          <w:szCs w:val="20"/>
          <w:color w:val="auto"/>
        </w:rPr>
      </w:pPr>
    </w:p>
    <w:p>
      <w:pPr>
        <w:jc w:val="both"/>
        <w:ind w:left="300" w:right="33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5" w:lineRule="exact"/>
        <w:rPr>
          <w:sz w:val="20"/>
          <w:szCs w:val="20"/>
          <w:color w:val="auto"/>
        </w:rPr>
      </w:pPr>
    </w:p>
    <w:p>
      <w:pPr>
        <w:ind w:left="300" w:right="719"/>
        <w:spacing w:after="0" w:line="22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32" w:lineRule="exact"/>
        <w:rPr>
          <w:sz w:val="20"/>
          <w:szCs w:val="20"/>
          <w:color w:val="auto"/>
        </w:rPr>
      </w:pPr>
    </w:p>
    <w:p>
      <w:pPr>
        <w:ind w:left="300" w:right="45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45" w:lineRule="exact"/>
        <w:rPr>
          <w:sz w:val="20"/>
          <w:szCs w:val="20"/>
          <w:color w:val="auto"/>
        </w:rPr>
      </w:pPr>
    </w:p>
    <w:p>
      <w:pPr>
        <w:ind w:left="300" w:right="959"/>
        <w:spacing w:after="0" w:line="242" w:lineRule="auto"/>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ind w:left="300"/>
        <w:spacing w:after="0" w:line="203" w:lineRule="exact"/>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p>
    <w:p>
      <w:pPr>
        <w:spacing w:after="0" w:line="1" w:lineRule="exact"/>
        <w:rPr>
          <w:sz w:val="20"/>
          <w:szCs w:val="20"/>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t>
      </w:r>
      <w:r>
        <w:rPr>
          <w:rFonts w:ascii="MS PGothic" w:cs="MS PGothic" w:eastAsia="MS PGothic" w:hAnsi="MS PGothic"/>
          <w:sz w:val="18"/>
          <w:szCs w:val="18"/>
          <w:color w:val="auto"/>
        </w:rPr>
        <w:t>☐</w:t>
      </w:r>
    </w:p>
    <w:p>
      <w:pPr>
        <w:spacing w:after="0" w:line="185" w:lineRule="exact"/>
        <w:rPr>
          <w:sz w:val="20"/>
          <w:szCs w:val="20"/>
          <w:color w:val="auto"/>
        </w:rPr>
      </w:pPr>
    </w:p>
    <w:p>
      <w:pPr>
        <w:ind w:left="300" w:right="399"/>
        <w:spacing w:after="0" w:line="232"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44" w:lineRule="exact"/>
        <w:rPr>
          <w:sz w:val="20"/>
          <w:szCs w:val="20"/>
          <w:color w:val="auto"/>
        </w:rPr>
      </w:pPr>
    </w:p>
    <w:p>
      <w:pPr>
        <w:ind w:left="300" w:right="759"/>
        <w:spacing w:after="0" w:line="232"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360"/>
        <w:spacing w:after="0"/>
        <w:tabs>
          <w:tab w:leader="dot" w:pos="8560" w:val="left"/>
        </w:tabs>
        <w:rPr>
          <w:sz w:val="20"/>
          <w:szCs w:val="20"/>
          <w:color w:val="auto"/>
        </w:rPr>
      </w:pPr>
      <w:r>
        <w:rPr>
          <w:rFonts w:ascii="Times New Roman" w:cs="Times New Roman" w:eastAsia="Times New Roman" w:hAnsi="Times New Roman"/>
          <w:sz w:val="18"/>
          <w:szCs w:val="18"/>
          <w:color w:val="auto"/>
        </w:rPr>
        <w:t>INTRODUCTION</w:t>
      </w:r>
      <w:r>
        <w:rPr>
          <w:sz w:val="20"/>
          <w:szCs w:val="20"/>
          <w:color w:val="auto"/>
        </w:rPr>
        <w:tab/>
      </w:r>
      <w:r>
        <w:rPr>
          <w:rFonts w:ascii="Times New Roman" w:cs="Times New Roman" w:eastAsia="Times New Roman" w:hAnsi="Times New Roman"/>
          <w:sz w:val="16"/>
          <w:szCs w:val="16"/>
          <w:color w:val="auto"/>
        </w:rPr>
        <w:t>4</w:t>
      </w:r>
    </w:p>
    <w:p>
      <w:pPr>
        <w:spacing w:after="0" w:line="36" w:lineRule="exact"/>
        <w:rPr>
          <w:sz w:val="20"/>
          <w:szCs w:val="20"/>
          <w:color w:val="auto"/>
        </w:rPr>
      </w:pPr>
    </w:p>
    <w:p>
      <w:pPr>
        <w:ind w:left="360"/>
        <w:spacing w:after="0"/>
        <w:tabs>
          <w:tab w:leader="dot" w:pos="8560" w:val="left"/>
        </w:tabs>
        <w:rPr>
          <w:sz w:val="20"/>
          <w:szCs w:val="20"/>
          <w:color w:val="auto"/>
        </w:rPr>
      </w:pPr>
      <w:r>
        <w:rPr>
          <w:rFonts w:ascii="Times New Roman" w:cs="Times New Roman" w:eastAsia="Times New Roman" w:hAnsi="Times New Roman"/>
          <w:sz w:val="18"/>
          <w:szCs w:val="18"/>
          <w:color w:val="auto"/>
        </w:rPr>
        <w:t>SPECIAL NOTE REGARDING FORWARD-LOOKING STATEMENTS</w:t>
      </w:r>
      <w:r>
        <w:rPr>
          <w:sz w:val="20"/>
          <w:szCs w:val="20"/>
          <w:color w:val="auto"/>
        </w:rPr>
        <w:tab/>
      </w:r>
      <w:r>
        <w:rPr>
          <w:rFonts w:ascii="Times New Roman" w:cs="Times New Roman" w:eastAsia="Times New Roman" w:hAnsi="Times New Roman"/>
          <w:sz w:val="16"/>
          <w:szCs w:val="16"/>
          <w:color w:val="auto"/>
        </w:rPr>
        <w:t>4</w:t>
      </w:r>
    </w:p>
    <w:p>
      <w:pPr>
        <w:spacing w:after="0" w:line="27" w:lineRule="exact"/>
        <w:rPr>
          <w:sz w:val="20"/>
          <w:szCs w:val="20"/>
          <w:color w:val="auto"/>
        </w:rPr>
      </w:pPr>
    </w:p>
    <w:p>
      <w:pPr>
        <w:ind w:left="360"/>
        <w:spacing w:after="0"/>
        <w:tabs>
          <w:tab w:leader="dot" w:pos="8560" w:val="left"/>
        </w:tabs>
        <w:rPr>
          <w:sz w:val="20"/>
          <w:szCs w:val="20"/>
          <w:color w:val="auto"/>
        </w:rPr>
      </w:pPr>
      <w:r>
        <w:rPr>
          <w:rFonts w:ascii="Times New Roman" w:cs="Times New Roman" w:eastAsia="Times New Roman" w:hAnsi="Times New Roman"/>
          <w:sz w:val="18"/>
          <w:szCs w:val="18"/>
          <w:color w:val="auto"/>
        </w:rPr>
        <w:t>PART I</w:t>
      </w:r>
      <w:r>
        <w:rPr>
          <w:sz w:val="20"/>
          <w:szCs w:val="20"/>
          <w:color w:val="auto"/>
        </w:rPr>
        <w:tab/>
      </w:r>
      <w:r>
        <w:rPr>
          <w:rFonts w:ascii="Times New Roman" w:cs="Times New Roman" w:eastAsia="Times New Roman" w:hAnsi="Times New Roman"/>
          <w:sz w:val="16"/>
          <w:szCs w:val="16"/>
          <w:color w:val="auto"/>
        </w:rPr>
        <w:t>6</w:t>
      </w:r>
    </w:p>
    <w:p>
      <w:pPr>
        <w:spacing w:after="0" w:line="31" w:lineRule="exact"/>
        <w:rPr>
          <w:sz w:val="20"/>
          <w:szCs w:val="20"/>
          <w:color w:val="auto"/>
        </w:rPr>
      </w:pPr>
    </w:p>
    <w:p>
      <w:pPr>
        <w:ind w:left="360"/>
        <w:spacing w:after="0"/>
        <w:tabs>
          <w:tab w:leader="none" w:pos="1620" w:val="left"/>
          <w:tab w:leader="dot" w:pos="85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Identity of Directors, Senior Management and Advisers</w:t>
      </w:r>
      <w:r>
        <w:rPr>
          <w:sz w:val="20"/>
          <w:szCs w:val="20"/>
          <w:color w:val="auto"/>
        </w:rPr>
        <w:tab/>
      </w:r>
      <w:r>
        <w:rPr>
          <w:rFonts w:ascii="Times New Roman" w:cs="Times New Roman" w:eastAsia="Times New Roman" w:hAnsi="Times New Roman"/>
          <w:sz w:val="16"/>
          <w:szCs w:val="16"/>
          <w:color w:val="auto"/>
        </w:rPr>
        <w:t>6</w:t>
      </w:r>
    </w:p>
    <w:p>
      <w:pPr>
        <w:spacing w:after="0" w:line="36" w:lineRule="exact"/>
        <w:rPr>
          <w:sz w:val="20"/>
          <w:szCs w:val="20"/>
          <w:color w:val="auto"/>
        </w:rPr>
      </w:pPr>
    </w:p>
    <w:p>
      <w:pPr>
        <w:ind w:left="360"/>
        <w:spacing w:after="0"/>
        <w:tabs>
          <w:tab w:leader="none" w:pos="1620" w:val="left"/>
          <w:tab w:leader="dot" w:pos="85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Offer Statistics and Expected Timetable</w:t>
      </w:r>
      <w:r>
        <w:rPr>
          <w:sz w:val="20"/>
          <w:szCs w:val="20"/>
          <w:color w:val="auto"/>
        </w:rPr>
        <w:tab/>
      </w:r>
      <w:r>
        <w:rPr>
          <w:rFonts w:ascii="Times New Roman" w:cs="Times New Roman" w:eastAsia="Times New Roman" w:hAnsi="Times New Roman"/>
          <w:sz w:val="16"/>
          <w:szCs w:val="16"/>
          <w:color w:val="auto"/>
        </w:rPr>
        <w:t>7</w:t>
      </w:r>
    </w:p>
    <w:p>
      <w:pPr>
        <w:spacing w:after="0" w:line="27" w:lineRule="exact"/>
        <w:rPr>
          <w:sz w:val="20"/>
          <w:szCs w:val="20"/>
          <w:color w:val="auto"/>
        </w:rPr>
      </w:pPr>
    </w:p>
    <w:p>
      <w:pPr>
        <w:ind w:left="360"/>
        <w:spacing w:after="0"/>
        <w:tabs>
          <w:tab w:leader="none" w:pos="1620" w:val="left"/>
          <w:tab w:leader="dot" w:pos="8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Key Information</w:t>
      </w:r>
      <w:r>
        <w:rPr>
          <w:sz w:val="20"/>
          <w:szCs w:val="20"/>
          <w:color w:val="auto"/>
        </w:rPr>
        <w:tab/>
      </w:r>
      <w:r>
        <w:rPr>
          <w:rFonts w:ascii="Times New Roman" w:cs="Times New Roman" w:eastAsia="Times New Roman" w:hAnsi="Times New Roman"/>
          <w:sz w:val="16"/>
          <w:szCs w:val="16"/>
          <w:color w:val="auto"/>
        </w:rPr>
        <w:t>8</w:t>
      </w:r>
    </w:p>
    <w:p>
      <w:pPr>
        <w:spacing w:after="0" w:line="31" w:lineRule="exact"/>
        <w:rPr>
          <w:sz w:val="20"/>
          <w:szCs w:val="20"/>
          <w:color w:val="auto"/>
        </w:rPr>
      </w:pPr>
    </w:p>
    <w:p>
      <w:pPr>
        <w:ind w:left="360"/>
        <w:spacing w:after="0"/>
        <w:tabs>
          <w:tab w:leader="none" w:pos="1620" w:val="left"/>
          <w:tab w:leader="dot" w:pos="84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Information on the Company.</w:t>
      </w:r>
      <w:r>
        <w:rPr>
          <w:sz w:val="20"/>
          <w:szCs w:val="20"/>
          <w:color w:val="auto"/>
        </w:rPr>
        <w:tab/>
      </w:r>
      <w:r>
        <w:rPr>
          <w:rFonts w:ascii="Times New Roman" w:cs="Times New Roman" w:eastAsia="Times New Roman" w:hAnsi="Times New Roman"/>
          <w:sz w:val="18"/>
          <w:szCs w:val="18"/>
          <w:color w:val="auto"/>
        </w:rPr>
        <w:t>54</w:t>
      </w:r>
    </w:p>
    <w:p>
      <w:pPr>
        <w:spacing w:after="0" w:line="27" w:lineRule="exact"/>
        <w:rPr>
          <w:sz w:val="20"/>
          <w:szCs w:val="20"/>
          <w:color w:val="auto"/>
        </w:rPr>
      </w:pPr>
    </w:p>
    <w:p>
      <w:pPr>
        <w:ind w:left="360"/>
        <w:spacing w:after="0"/>
        <w:tabs>
          <w:tab w:leader="none" w:pos="1620" w:val="left"/>
          <w:tab w:leader="dot" w:pos="8460" w:val="left"/>
        </w:tabs>
        <w:rPr>
          <w:sz w:val="20"/>
          <w:szCs w:val="20"/>
          <w:color w:val="auto"/>
        </w:rPr>
      </w:pPr>
      <w:r>
        <w:rPr>
          <w:rFonts w:ascii="Times New Roman" w:cs="Times New Roman" w:eastAsia="Times New Roman" w:hAnsi="Times New Roman"/>
          <w:sz w:val="18"/>
          <w:szCs w:val="18"/>
          <w:color w:val="auto"/>
        </w:rPr>
        <w:t>Item 4A.</w:t>
      </w:r>
      <w:r>
        <w:rPr>
          <w:sz w:val="20"/>
          <w:szCs w:val="20"/>
          <w:color w:val="auto"/>
        </w:rPr>
        <w:tab/>
      </w:r>
      <w:r>
        <w:rPr>
          <w:rFonts w:ascii="Times New Roman" w:cs="Times New Roman" w:eastAsia="Times New Roman" w:hAnsi="Times New Roman"/>
          <w:sz w:val="18"/>
          <w:szCs w:val="18"/>
          <w:color w:val="auto"/>
        </w:rPr>
        <w:t>Unresolved Staff Comments.</w:t>
      </w:r>
      <w:r>
        <w:rPr>
          <w:sz w:val="20"/>
          <w:szCs w:val="20"/>
          <w:color w:val="auto"/>
        </w:rPr>
        <w:tab/>
      </w:r>
      <w:r>
        <w:rPr>
          <w:rFonts w:ascii="Times New Roman" w:cs="Times New Roman" w:eastAsia="Times New Roman" w:hAnsi="Times New Roman"/>
          <w:sz w:val="18"/>
          <w:szCs w:val="18"/>
          <w:color w:val="auto"/>
        </w:rPr>
        <w:t>84</w:t>
      </w:r>
    </w:p>
    <w:p>
      <w:pPr>
        <w:spacing w:after="0" w:line="31" w:lineRule="exact"/>
        <w:rPr>
          <w:sz w:val="20"/>
          <w:szCs w:val="20"/>
          <w:color w:val="auto"/>
        </w:rPr>
      </w:pPr>
    </w:p>
    <w:p>
      <w:pPr>
        <w:ind w:left="360"/>
        <w:spacing w:after="0"/>
        <w:tabs>
          <w:tab w:leader="none" w:pos="1620" w:val="left"/>
          <w:tab w:leader="dot" w:pos="84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Operating and Financial Review and Prospects</w:t>
      </w:r>
      <w:r>
        <w:rPr>
          <w:sz w:val="20"/>
          <w:szCs w:val="20"/>
          <w:color w:val="auto"/>
        </w:rPr>
        <w:tab/>
      </w:r>
      <w:r>
        <w:rPr>
          <w:rFonts w:ascii="Times New Roman" w:cs="Times New Roman" w:eastAsia="Times New Roman" w:hAnsi="Times New Roman"/>
          <w:sz w:val="18"/>
          <w:szCs w:val="18"/>
          <w:color w:val="auto"/>
        </w:rPr>
        <w:t>85</w:t>
      </w:r>
    </w:p>
    <w:p>
      <w:pPr>
        <w:sectPr>
          <w:pgSz w:w="11900" w:h="16838" w:orient="portrait"/>
          <w:cols w:equalWidth="0" w:num="1">
            <w:col w:w="9019"/>
          </w:cols>
          <w:pgMar w:left="1440" w:top="198" w:right="1440" w:bottom="0" w:gutter="0" w:footer="0" w:header="0"/>
        </w:sectPr>
      </w:pPr>
    </w:p>
    <w:bookmarkStart w:id="2" w:name="page3"/>
    <w:bookmarkEnd w:id="2"/>
    <w:p>
      <w:pPr>
        <w:spacing w:after="0" w:line="93"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Directors, Senior Management and Employees</w:t>
      </w:r>
      <w:r>
        <w:rPr>
          <w:sz w:val="20"/>
          <w:szCs w:val="20"/>
          <w:color w:val="auto"/>
        </w:rPr>
        <w:tab/>
      </w: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-34925</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left="8140"/>
        <w:spacing w:after="0" w:line="182" w:lineRule="auto"/>
        <w:rPr>
          <w:sz w:val="20"/>
          <w:szCs w:val="20"/>
          <w:color w:val="auto"/>
        </w:rPr>
      </w:pPr>
      <w:r>
        <w:rPr>
          <w:rFonts w:ascii="Times New Roman" w:cs="Times New Roman" w:eastAsia="Times New Roman" w:hAnsi="Times New Roman"/>
          <w:sz w:val="17"/>
          <w:szCs w:val="17"/>
          <w:color w:val="auto"/>
        </w:rPr>
        <w:t>Page</w:t>
      </w: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Major Shareholders and Related Party Transactions</w:t>
      </w:r>
      <w:r>
        <w:rPr>
          <w:sz w:val="20"/>
          <w:szCs w:val="20"/>
          <w:color w:val="auto"/>
        </w:rPr>
        <w:tab/>
      </w:r>
      <w:r>
        <w:rPr>
          <w:rFonts w:ascii="Times New Roman" w:cs="Times New Roman" w:eastAsia="Times New Roman" w:hAnsi="Times New Roman"/>
          <w:sz w:val="17"/>
          <w:szCs w:val="17"/>
          <w:color w:val="auto"/>
        </w:rPr>
        <w:t>132</w:t>
      </w:r>
    </w:p>
    <w:p>
      <w:pPr>
        <w:spacing w:after="0" w:line="1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Financial Information</w:t>
      </w:r>
      <w:r>
        <w:rPr>
          <w:sz w:val="20"/>
          <w:szCs w:val="20"/>
          <w:color w:val="auto"/>
        </w:rPr>
        <w:tab/>
      </w:r>
      <w:r>
        <w:rPr>
          <w:rFonts w:ascii="Times New Roman" w:cs="Times New Roman" w:eastAsia="Times New Roman" w:hAnsi="Times New Roman"/>
          <w:sz w:val="17"/>
          <w:szCs w:val="17"/>
          <w:color w:val="auto"/>
        </w:rPr>
        <w:t>135</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The Offer and Listing</w:t>
      </w:r>
      <w:r>
        <w:rPr>
          <w:sz w:val="20"/>
          <w:szCs w:val="20"/>
          <w:color w:val="auto"/>
        </w:rPr>
        <w:tab/>
      </w:r>
      <w:r>
        <w:rPr>
          <w:rFonts w:ascii="Times New Roman" w:cs="Times New Roman" w:eastAsia="Times New Roman" w:hAnsi="Times New Roman"/>
          <w:sz w:val="17"/>
          <w:szCs w:val="17"/>
          <w:color w:val="auto"/>
        </w:rPr>
        <w:t>136</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Additional Information.</w:t>
      </w:r>
      <w:r>
        <w:rPr>
          <w:sz w:val="20"/>
          <w:szCs w:val="20"/>
          <w:color w:val="auto"/>
        </w:rPr>
        <w:tab/>
      </w:r>
      <w:r>
        <w:rPr>
          <w:rFonts w:ascii="Times New Roman" w:cs="Times New Roman" w:eastAsia="Times New Roman" w:hAnsi="Times New Roman"/>
          <w:sz w:val="17"/>
          <w:szCs w:val="17"/>
          <w:color w:val="auto"/>
        </w:rPr>
        <w:t>137</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color w:val="auto"/>
        </w:rPr>
        <w:t>Quantitative and Qualitative Disclosures About Market Risk</w:t>
      </w:r>
      <w:r>
        <w:rPr>
          <w:sz w:val="20"/>
          <w:szCs w:val="20"/>
          <w:color w:val="auto"/>
        </w:rPr>
        <w:tab/>
      </w:r>
      <w:r>
        <w:rPr>
          <w:rFonts w:ascii="Times New Roman" w:cs="Times New Roman" w:eastAsia="Times New Roman" w:hAnsi="Times New Roman"/>
          <w:sz w:val="17"/>
          <w:szCs w:val="17"/>
          <w:color w:val="auto"/>
        </w:rPr>
        <w:t>147</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auto"/>
        </w:rPr>
        <w:t>Description of Securities Other than Equity Securities</w:t>
      </w:r>
      <w:r>
        <w:rPr>
          <w:sz w:val="20"/>
          <w:szCs w:val="20"/>
          <w:color w:val="auto"/>
        </w:rPr>
        <w:tab/>
      </w:r>
      <w:r>
        <w:rPr>
          <w:rFonts w:ascii="Times New Roman" w:cs="Times New Roman" w:eastAsia="Times New Roman" w:hAnsi="Times New Roman"/>
          <w:sz w:val="17"/>
          <w:szCs w:val="17"/>
          <w:color w:val="auto"/>
        </w:rPr>
        <w:t>149</w:t>
      </w:r>
    </w:p>
    <w:p>
      <w:pPr>
        <w:spacing w:after="0" w:line="31" w:lineRule="exact"/>
        <w:rPr>
          <w:sz w:val="20"/>
          <w:szCs w:val="20"/>
          <w:color w:val="auto"/>
        </w:rPr>
      </w:pPr>
    </w:p>
    <w:p>
      <w:pPr>
        <w:ind w:left="360"/>
        <w:spacing w:after="0"/>
        <w:tabs>
          <w:tab w:leader="dot" w:pos="8380" w:val="left"/>
        </w:tabs>
        <w:rPr>
          <w:sz w:val="20"/>
          <w:szCs w:val="20"/>
          <w:color w:val="auto"/>
        </w:rPr>
      </w:pPr>
      <w:r>
        <w:rPr>
          <w:rFonts w:ascii="Times New Roman" w:cs="Times New Roman" w:eastAsia="Times New Roman" w:hAnsi="Times New Roman"/>
          <w:sz w:val="18"/>
          <w:szCs w:val="18"/>
          <w:color w:val="auto"/>
        </w:rPr>
        <w:t>PART II</w:t>
      </w:r>
      <w:r>
        <w:rPr>
          <w:sz w:val="20"/>
          <w:szCs w:val="20"/>
          <w:color w:val="auto"/>
        </w:rPr>
        <w:tab/>
      </w:r>
      <w:r>
        <w:rPr>
          <w:rFonts w:ascii="Times New Roman" w:cs="Times New Roman" w:eastAsia="Times New Roman" w:hAnsi="Times New Roman"/>
          <w:sz w:val="17"/>
          <w:szCs w:val="17"/>
          <w:color w:val="auto"/>
        </w:rPr>
        <w:t>151</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8"/>
          <w:szCs w:val="18"/>
          <w:color w:val="auto"/>
        </w:rPr>
        <w:t>Defaults, Dividend Arrearages and Delinquencies</w:t>
      </w:r>
      <w:r>
        <w:rPr>
          <w:sz w:val="20"/>
          <w:szCs w:val="20"/>
          <w:color w:val="auto"/>
        </w:rPr>
        <w:tab/>
      </w:r>
      <w:r>
        <w:rPr>
          <w:rFonts w:ascii="Times New Roman" w:cs="Times New Roman" w:eastAsia="Times New Roman" w:hAnsi="Times New Roman"/>
          <w:sz w:val="17"/>
          <w:szCs w:val="17"/>
          <w:color w:val="auto"/>
        </w:rPr>
        <w:t>151</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8"/>
          <w:szCs w:val="18"/>
          <w:color w:val="auto"/>
        </w:rPr>
        <w:t>Material Modifications to the Rights of Security Holders and Use of Proceeds</w:t>
      </w:r>
      <w:r>
        <w:rPr>
          <w:sz w:val="20"/>
          <w:szCs w:val="20"/>
          <w:color w:val="auto"/>
        </w:rPr>
        <w:tab/>
      </w:r>
      <w:r>
        <w:rPr>
          <w:rFonts w:ascii="Times New Roman" w:cs="Times New Roman" w:eastAsia="Times New Roman" w:hAnsi="Times New Roman"/>
          <w:sz w:val="17"/>
          <w:szCs w:val="17"/>
          <w:color w:val="auto"/>
        </w:rPr>
        <w:t>152</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8"/>
          <w:szCs w:val="18"/>
          <w:color w:val="auto"/>
        </w:rPr>
        <w:t>Controls and Procedures</w:t>
      </w:r>
      <w:r>
        <w:rPr>
          <w:sz w:val="20"/>
          <w:szCs w:val="20"/>
          <w:color w:val="auto"/>
        </w:rPr>
        <w:tab/>
      </w:r>
      <w:r>
        <w:rPr>
          <w:rFonts w:ascii="Times New Roman" w:cs="Times New Roman" w:eastAsia="Times New Roman" w:hAnsi="Times New Roman"/>
          <w:sz w:val="17"/>
          <w:szCs w:val="17"/>
          <w:color w:val="auto"/>
        </w:rPr>
        <w:t>153</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8"/>
          <w:szCs w:val="18"/>
          <w:color w:val="auto"/>
        </w:rPr>
        <w:t>[Reserved]</w:t>
      </w:r>
      <w:r>
        <w:rPr>
          <w:sz w:val="20"/>
          <w:szCs w:val="20"/>
          <w:color w:val="auto"/>
        </w:rPr>
        <w:tab/>
      </w:r>
      <w:r>
        <w:rPr>
          <w:rFonts w:ascii="Times New Roman" w:cs="Times New Roman" w:eastAsia="Times New Roman" w:hAnsi="Times New Roman"/>
          <w:sz w:val="17"/>
          <w:szCs w:val="17"/>
          <w:color w:val="auto"/>
        </w:rPr>
        <w:t>155</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16A.</w:t>
      </w:r>
      <w:r>
        <w:rPr>
          <w:sz w:val="20"/>
          <w:szCs w:val="20"/>
          <w:color w:val="auto"/>
        </w:rPr>
        <w:tab/>
      </w:r>
      <w:r>
        <w:rPr>
          <w:rFonts w:ascii="Times New Roman" w:cs="Times New Roman" w:eastAsia="Times New Roman" w:hAnsi="Times New Roman"/>
          <w:sz w:val="18"/>
          <w:szCs w:val="18"/>
          <w:color w:val="auto"/>
        </w:rPr>
        <w:t>Audit Committee Financial Expert</w:t>
      </w:r>
      <w:r>
        <w:rPr>
          <w:sz w:val="20"/>
          <w:szCs w:val="20"/>
          <w:color w:val="auto"/>
        </w:rPr>
        <w:tab/>
      </w:r>
      <w:r>
        <w:rPr>
          <w:rFonts w:ascii="Times New Roman" w:cs="Times New Roman" w:eastAsia="Times New Roman" w:hAnsi="Times New Roman"/>
          <w:sz w:val="17"/>
          <w:szCs w:val="17"/>
          <w:color w:val="auto"/>
        </w:rPr>
        <w:t>155</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16B.</w:t>
      </w:r>
      <w:r>
        <w:rPr>
          <w:sz w:val="20"/>
          <w:szCs w:val="20"/>
          <w:color w:val="auto"/>
        </w:rPr>
        <w:tab/>
      </w:r>
      <w:r>
        <w:rPr>
          <w:rFonts w:ascii="Times New Roman" w:cs="Times New Roman" w:eastAsia="Times New Roman" w:hAnsi="Times New Roman"/>
          <w:sz w:val="18"/>
          <w:szCs w:val="18"/>
          <w:color w:val="auto"/>
        </w:rPr>
        <w:t>Code of Ethics</w:t>
      </w:r>
      <w:r>
        <w:rPr>
          <w:sz w:val="20"/>
          <w:szCs w:val="20"/>
          <w:color w:val="auto"/>
        </w:rPr>
        <w:tab/>
      </w:r>
      <w:r>
        <w:rPr>
          <w:rFonts w:ascii="Times New Roman" w:cs="Times New Roman" w:eastAsia="Times New Roman" w:hAnsi="Times New Roman"/>
          <w:sz w:val="17"/>
          <w:szCs w:val="17"/>
          <w:color w:val="auto"/>
        </w:rPr>
        <w:t>155</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16C.</w:t>
      </w:r>
      <w:r>
        <w:rPr>
          <w:sz w:val="20"/>
          <w:szCs w:val="20"/>
          <w:color w:val="auto"/>
        </w:rPr>
        <w:tab/>
      </w:r>
      <w:r>
        <w:rPr>
          <w:rFonts w:ascii="Times New Roman" w:cs="Times New Roman" w:eastAsia="Times New Roman" w:hAnsi="Times New Roman"/>
          <w:sz w:val="18"/>
          <w:szCs w:val="18"/>
          <w:color w:val="auto"/>
        </w:rPr>
        <w:t>Principal Accountant Fees and Services</w:t>
      </w:r>
      <w:r>
        <w:rPr>
          <w:sz w:val="20"/>
          <w:szCs w:val="20"/>
          <w:color w:val="auto"/>
        </w:rPr>
        <w:tab/>
      </w:r>
      <w:r>
        <w:rPr>
          <w:rFonts w:ascii="Times New Roman" w:cs="Times New Roman" w:eastAsia="Times New Roman" w:hAnsi="Times New Roman"/>
          <w:sz w:val="17"/>
          <w:szCs w:val="17"/>
          <w:color w:val="auto"/>
        </w:rPr>
        <w:t>155</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16D.</w:t>
      </w:r>
      <w:r>
        <w:rPr>
          <w:sz w:val="20"/>
          <w:szCs w:val="20"/>
          <w:color w:val="auto"/>
        </w:rPr>
        <w:tab/>
      </w:r>
      <w:r>
        <w:rPr>
          <w:rFonts w:ascii="Times New Roman" w:cs="Times New Roman" w:eastAsia="Times New Roman" w:hAnsi="Times New Roman"/>
          <w:sz w:val="18"/>
          <w:szCs w:val="18"/>
          <w:color w:val="auto"/>
        </w:rPr>
        <w:t>Exemptions from the Listing Standards for Audit Committees</w:t>
      </w:r>
      <w:r>
        <w:rPr>
          <w:sz w:val="20"/>
          <w:szCs w:val="20"/>
          <w:color w:val="auto"/>
        </w:rPr>
        <w:tab/>
      </w:r>
      <w:r>
        <w:rPr>
          <w:rFonts w:ascii="Times New Roman" w:cs="Times New Roman" w:eastAsia="Times New Roman" w:hAnsi="Times New Roman"/>
          <w:sz w:val="17"/>
          <w:szCs w:val="17"/>
          <w:color w:val="auto"/>
        </w:rPr>
        <w:t>156</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16E.</w:t>
      </w:r>
      <w:r>
        <w:rPr>
          <w:sz w:val="20"/>
          <w:szCs w:val="20"/>
          <w:color w:val="auto"/>
        </w:rPr>
        <w:tab/>
      </w:r>
      <w:r>
        <w:rPr>
          <w:rFonts w:ascii="Times New Roman" w:cs="Times New Roman" w:eastAsia="Times New Roman" w:hAnsi="Times New Roman"/>
          <w:sz w:val="18"/>
          <w:szCs w:val="18"/>
          <w:color w:val="auto"/>
        </w:rPr>
        <w:t>Purchases of Equity Securities by the Issuer and Affiliated Purchasers</w:t>
      </w:r>
      <w:r>
        <w:rPr>
          <w:sz w:val="20"/>
          <w:szCs w:val="20"/>
          <w:color w:val="auto"/>
        </w:rPr>
        <w:tab/>
      </w:r>
      <w:r>
        <w:rPr>
          <w:rFonts w:ascii="Times New Roman" w:cs="Times New Roman" w:eastAsia="Times New Roman" w:hAnsi="Times New Roman"/>
          <w:sz w:val="17"/>
          <w:szCs w:val="17"/>
          <w:color w:val="auto"/>
        </w:rPr>
        <w:t>156</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16F.</w:t>
      </w:r>
      <w:r>
        <w:rPr>
          <w:sz w:val="20"/>
          <w:szCs w:val="20"/>
          <w:color w:val="auto"/>
        </w:rPr>
        <w:tab/>
      </w:r>
      <w:r>
        <w:rPr>
          <w:rFonts w:ascii="Times New Roman" w:cs="Times New Roman" w:eastAsia="Times New Roman" w:hAnsi="Times New Roman"/>
          <w:sz w:val="18"/>
          <w:szCs w:val="18"/>
          <w:color w:val="auto"/>
        </w:rPr>
        <w:t>Change in Registrant’s Certifying Accountant</w:t>
      </w:r>
      <w:r>
        <w:rPr>
          <w:sz w:val="20"/>
          <w:szCs w:val="20"/>
          <w:color w:val="auto"/>
        </w:rPr>
        <w:tab/>
      </w:r>
      <w:r>
        <w:rPr>
          <w:rFonts w:ascii="Times New Roman" w:cs="Times New Roman" w:eastAsia="Times New Roman" w:hAnsi="Times New Roman"/>
          <w:sz w:val="17"/>
          <w:szCs w:val="17"/>
          <w:color w:val="auto"/>
        </w:rPr>
        <w:t>156</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16G.</w:t>
      </w:r>
      <w:r>
        <w:rPr>
          <w:sz w:val="20"/>
          <w:szCs w:val="20"/>
          <w:color w:val="auto"/>
        </w:rPr>
        <w:tab/>
      </w:r>
      <w:r>
        <w:rPr>
          <w:rFonts w:ascii="Times New Roman" w:cs="Times New Roman" w:eastAsia="Times New Roman" w:hAnsi="Times New Roman"/>
          <w:sz w:val="18"/>
          <w:szCs w:val="18"/>
          <w:color w:val="auto"/>
        </w:rPr>
        <w:t>Corporate Governance</w:t>
      </w:r>
      <w:r>
        <w:rPr>
          <w:sz w:val="20"/>
          <w:szCs w:val="20"/>
          <w:color w:val="auto"/>
        </w:rPr>
        <w:tab/>
      </w:r>
      <w:r>
        <w:rPr>
          <w:rFonts w:ascii="Times New Roman" w:cs="Times New Roman" w:eastAsia="Times New Roman" w:hAnsi="Times New Roman"/>
          <w:sz w:val="17"/>
          <w:szCs w:val="17"/>
          <w:color w:val="auto"/>
        </w:rPr>
        <w:t>156</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16H.</w:t>
      </w:r>
      <w:r>
        <w:rPr>
          <w:sz w:val="20"/>
          <w:szCs w:val="20"/>
          <w:color w:val="auto"/>
        </w:rPr>
        <w:tab/>
      </w:r>
      <w:r>
        <w:rPr>
          <w:rFonts w:ascii="Times New Roman" w:cs="Times New Roman" w:eastAsia="Times New Roman" w:hAnsi="Times New Roman"/>
          <w:sz w:val="18"/>
          <w:szCs w:val="18"/>
          <w:color w:val="auto"/>
        </w:rPr>
        <w:t>Mine Safety Disclosure</w:t>
      </w:r>
      <w:r>
        <w:rPr>
          <w:sz w:val="20"/>
          <w:szCs w:val="20"/>
          <w:color w:val="auto"/>
        </w:rPr>
        <w:tab/>
      </w:r>
      <w:r>
        <w:rPr>
          <w:rFonts w:ascii="Times New Roman" w:cs="Times New Roman" w:eastAsia="Times New Roman" w:hAnsi="Times New Roman"/>
          <w:sz w:val="17"/>
          <w:szCs w:val="17"/>
          <w:color w:val="auto"/>
        </w:rPr>
        <w:t>157</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16I.</w:t>
      </w:r>
      <w:r>
        <w:rPr>
          <w:sz w:val="20"/>
          <w:szCs w:val="20"/>
          <w:color w:val="auto"/>
        </w:rPr>
        <w:tab/>
      </w:r>
      <w:r>
        <w:rPr>
          <w:rFonts w:ascii="Times New Roman" w:cs="Times New Roman" w:eastAsia="Times New Roman" w:hAnsi="Times New Roman"/>
          <w:sz w:val="18"/>
          <w:szCs w:val="18"/>
          <w:color w:val="auto"/>
        </w:rPr>
        <w:t>Disclosure Regarding Foreign Jurisdictions that Prevent Inspections</w:t>
      </w:r>
      <w:r>
        <w:rPr>
          <w:sz w:val="20"/>
          <w:szCs w:val="20"/>
          <w:color w:val="auto"/>
        </w:rPr>
        <w:tab/>
      </w:r>
      <w:r>
        <w:rPr>
          <w:rFonts w:ascii="Times New Roman" w:cs="Times New Roman" w:eastAsia="Times New Roman" w:hAnsi="Times New Roman"/>
          <w:sz w:val="17"/>
          <w:szCs w:val="17"/>
          <w:color w:val="auto"/>
        </w:rPr>
        <w:t>157</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16J.</w:t>
      </w:r>
      <w:r>
        <w:rPr>
          <w:sz w:val="20"/>
          <w:szCs w:val="20"/>
          <w:color w:val="auto"/>
        </w:rPr>
        <w:tab/>
      </w:r>
      <w:r>
        <w:rPr>
          <w:rFonts w:ascii="Times New Roman" w:cs="Times New Roman" w:eastAsia="Times New Roman" w:hAnsi="Times New Roman"/>
          <w:sz w:val="18"/>
          <w:szCs w:val="18"/>
          <w:color w:val="auto"/>
        </w:rPr>
        <w:t>Insider Trading Policies</w:t>
      </w:r>
      <w:r>
        <w:rPr>
          <w:sz w:val="20"/>
          <w:szCs w:val="20"/>
          <w:color w:val="auto"/>
        </w:rPr>
        <w:tab/>
      </w:r>
      <w:r>
        <w:rPr>
          <w:rFonts w:ascii="Times New Roman" w:cs="Times New Roman" w:eastAsia="Times New Roman" w:hAnsi="Times New Roman"/>
          <w:sz w:val="17"/>
          <w:szCs w:val="17"/>
          <w:color w:val="auto"/>
        </w:rPr>
        <w:t>157</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16K.</w:t>
      </w:r>
      <w:r>
        <w:rPr>
          <w:sz w:val="20"/>
          <w:szCs w:val="20"/>
          <w:color w:val="auto"/>
        </w:rPr>
        <w:tab/>
      </w:r>
      <w:r>
        <w:rPr>
          <w:rFonts w:ascii="Times New Roman" w:cs="Times New Roman" w:eastAsia="Times New Roman" w:hAnsi="Times New Roman"/>
          <w:sz w:val="18"/>
          <w:szCs w:val="18"/>
          <w:color w:val="auto"/>
        </w:rPr>
        <w:t>Cybersecurity</w:t>
      </w:r>
      <w:r>
        <w:rPr>
          <w:sz w:val="20"/>
          <w:szCs w:val="20"/>
          <w:color w:val="auto"/>
        </w:rPr>
        <w:tab/>
      </w:r>
      <w:r>
        <w:rPr>
          <w:rFonts w:ascii="Times New Roman" w:cs="Times New Roman" w:eastAsia="Times New Roman" w:hAnsi="Times New Roman"/>
          <w:sz w:val="17"/>
          <w:szCs w:val="17"/>
          <w:color w:val="auto"/>
        </w:rPr>
        <w:t>157</w:t>
      </w:r>
    </w:p>
    <w:p>
      <w:pPr>
        <w:spacing w:after="0" w:line="31" w:lineRule="exact"/>
        <w:rPr>
          <w:sz w:val="20"/>
          <w:szCs w:val="20"/>
          <w:color w:val="auto"/>
        </w:rPr>
      </w:pPr>
    </w:p>
    <w:p>
      <w:pPr>
        <w:ind w:left="360"/>
        <w:spacing w:after="0"/>
        <w:tabs>
          <w:tab w:leader="dot" w:pos="8380" w:val="left"/>
        </w:tabs>
        <w:rPr>
          <w:sz w:val="20"/>
          <w:szCs w:val="20"/>
          <w:color w:val="auto"/>
        </w:rPr>
      </w:pPr>
      <w:r>
        <w:rPr>
          <w:rFonts w:ascii="Times New Roman" w:cs="Times New Roman" w:eastAsia="Times New Roman" w:hAnsi="Times New Roman"/>
          <w:sz w:val="18"/>
          <w:szCs w:val="18"/>
          <w:color w:val="auto"/>
        </w:rPr>
        <w:t>PART III</w:t>
      </w:r>
      <w:r>
        <w:rPr>
          <w:sz w:val="20"/>
          <w:szCs w:val="20"/>
          <w:color w:val="auto"/>
        </w:rPr>
        <w:tab/>
      </w:r>
      <w:r>
        <w:rPr>
          <w:rFonts w:ascii="Times New Roman" w:cs="Times New Roman" w:eastAsia="Times New Roman" w:hAnsi="Times New Roman"/>
          <w:sz w:val="17"/>
          <w:szCs w:val="17"/>
          <w:color w:val="auto"/>
        </w:rPr>
        <w:t>159</w:t>
      </w:r>
    </w:p>
    <w:p>
      <w:pPr>
        <w:spacing w:after="0" w:line="27"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17.</w:t>
      </w:r>
      <w:r>
        <w:rPr>
          <w:sz w:val="20"/>
          <w:szCs w:val="20"/>
          <w:color w:val="auto"/>
        </w:rPr>
        <w:tab/>
      </w:r>
      <w:r>
        <w:rPr>
          <w:rFonts w:ascii="Times New Roman" w:cs="Times New Roman" w:eastAsia="Times New Roman" w:hAnsi="Times New Roman"/>
          <w:sz w:val="18"/>
          <w:szCs w:val="18"/>
          <w:color w:val="auto"/>
        </w:rPr>
        <w:t>Financial Statements</w:t>
      </w:r>
      <w:r>
        <w:rPr>
          <w:sz w:val="20"/>
          <w:szCs w:val="20"/>
          <w:color w:val="auto"/>
        </w:rPr>
        <w:tab/>
      </w:r>
      <w:r>
        <w:rPr>
          <w:rFonts w:ascii="Times New Roman" w:cs="Times New Roman" w:eastAsia="Times New Roman" w:hAnsi="Times New Roman"/>
          <w:sz w:val="17"/>
          <w:szCs w:val="17"/>
          <w:color w:val="auto"/>
        </w:rPr>
        <w:t>159</w:t>
      </w:r>
    </w:p>
    <w:p>
      <w:pPr>
        <w:spacing w:after="0" w:line="31"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18.</w:t>
      </w:r>
      <w:r>
        <w:rPr>
          <w:sz w:val="20"/>
          <w:szCs w:val="20"/>
          <w:color w:val="auto"/>
        </w:rPr>
        <w:tab/>
      </w:r>
      <w:r>
        <w:rPr>
          <w:rFonts w:ascii="Times New Roman" w:cs="Times New Roman" w:eastAsia="Times New Roman" w:hAnsi="Times New Roman"/>
          <w:sz w:val="18"/>
          <w:szCs w:val="18"/>
          <w:color w:val="auto"/>
        </w:rPr>
        <w:t>Financial Statements</w:t>
      </w:r>
      <w:r>
        <w:rPr>
          <w:sz w:val="20"/>
          <w:szCs w:val="20"/>
          <w:color w:val="auto"/>
        </w:rPr>
        <w:tab/>
      </w:r>
      <w:r>
        <w:rPr>
          <w:rFonts w:ascii="Times New Roman" w:cs="Times New Roman" w:eastAsia="Times New Roman" w:hAnsi="Times New Roman"/>
          <w:sz w:val="17"/>
          <w:szCs w:val="17"/>
          <w:color w:val="auto"/>
        </w:rPr>
        <w:t>160</w:t>
      </w:r>
    </w:p>
    <w:p>
      <w:pPr>
        <w:spacing w:after="0" w:line="36" w:lineRule="exact"/>
        <w:rPr>
          <w:sz w:val="20"/>
          <w:szCs w:val="20"/>
          <w:color w:val="auto"/>
        </w:rPr>
      </w:pPr>
    </w:p>
    <w:p>
      <w:pPr>
        <w:ind w:left="360"/>
        <w:spacing w:after="0"/>
        <w:tabs>
          <w:tab w:leader="none" w:pos="1620" w:val="left"/>
          <w:tab w:leader="dot" w:pos="8380" w:val="left"/>
        </w:tabs>
        <w:rPr>
          <w:sz w:val="20"/>
          <w:szCs w:val="20"/>
          <w:color w:val="auto"/>
        </w:rPr>
      </w:pPr>
      <w:r>
        <w:rPr>
          <w:rFonts w:ascii="Times New Roman" w:cs="Times New Roman" w:eastAsia="Times New Roman" w:hAnsi="Times New Roman"/>
          <w:sz w:val="18"/>
          <w:szCs w:val="18"/>
          <w:color w:val="auto"/>
        </w:rPr>
        <w:t>Item 19.</w:t>
      </w:r>
      <w:r>
        <w:rPr>
          <w:sz w:val="20"/>
          <w:szCs w:val="20"/>
          <w:color w:val="auto"/>
        </w:rPr>
        <w:tab/>
      </w:r>
      <w:r>
        <w:rPr>
          <w:rFonts w:ascii="Times New Roman" w:cs="Times New Roman" w:eastAsia="Times New Roman" w:hAnsi="Times New Roman"/>
          <w:sz w:val="18"/>
          <w:szCs w:val="18"/>
          <w:color w:val="auto"/>
        </w:rPr>
        <w:t>Exhibits</w:t>
      </w:r>
      <w:r>
        <w:rPr>
          <w:sz w:val="20"/>
          <w:szCs w:val="20"/>
          <w:color w:val="auto"/>
        </w:rPr>
        <w:tab/>
      </w:r>
      <w:r>
        <w:rPr>
          <w:rFonts w:ascii="Times New Roman" w:cs="Times New Roman" w:eastAsia="Times New Roman" w:hAnsi="Times New Roman"/>
          <w:sz w:val="17"/>
          <w:szCs w:val="17"/>
          <w:color w:val="auto"/>
        </w:rPr>
        <w:t>161</w:t>
      </w:r>
    </w:p>
    <w:p>
      <w:pPr>
        <w:spacing w:after="0" w:line="27" w:lineRule="exact"/>
        <w:rPr>
          <w:sz w:val="20"/>
          <w:szCs w:val="20"/>
          <w:color w:val="auto"/>
        </w:rPr>
      </w:pPr>
    </w:p>
    <w:p>
      <w:pPr>
        <w:ind w:left="360"/>
        <w:spacing w:after="0"/>
        <w:tabs>
          <w:tab w:leader="dot" w:pos="8380" w:val="left"/>
        </w:tabs>
        <w:rPr>
          <w:sz w:val="20"/>
          <w:szCs w:val="20"/>
          <w:color w:val="auto"/>
        </w:rPr>
      </w:pPr>
      <w:r>
        <w:rPr>
          <w:rFonts w:ascii="Times New Roman" w:cs="Times New Roman" w:eastAsia="Times New Roman" w:hAnsi="Times New Roman"/>
          <w:sz w:val="18"/>
          <w:szCs w:val="18"/>
          <w:color w:val="auto"/>
        </w:rPr>
        <w:t>SIGNATURES</w:t>
      </w:r>
      <w:r>
        <w:rPr>
          <w:sz w:val="20"/>
          <w:szCs w:val="20"/>
          <w:color w:val="auto"/>
        </w:rPr>
        <w:tab/>
      </w:r>
      <w:r>
        <w:rPr>
          <w:rFonts w:ascii="Times New Roman" w:cs="Times New Roman" w:eastAsia="Times New Roman" w:hAnsi="Times New Roman"/>
          <w:sz w:val="17"/>
          <w:szCs w:val="17"/>
          <w:color w:val="auto"/>
        </w:rPr>
        <w:t>163</w:t>
      </w:r>
    </w:p>
    <w:p>
      <w:pPr>
        <w:spacing w:after="0" w:line="153" w:lineRule="exact"/>
        <w:rPr>
          <w:sz w:val="20"/>
          <w:szCs w:val="20"/>
          <w:color w:val="auto"/>
        </w:rPr>
      </w:pPr>
    </w:p>
    <w:p>
      <w:pPr>
        <w:ind w:left="360"/>
        <w:spacing w:after="0"/>
        <w:tabs>
          <w:tab w:leader="dot" w:pos="8400" w:val="left"/>
        </w:tabs>
        <w:rPr>
          <w:sz w:val="20"/>
          <w:szCs w:val="20"/>
          <w:color w:val="auto"/>
        </w:rPr>
      </w:pPr>
      <w:r>
        <w:rPr>
          <w:rFonts w:ascii="Times New Roman" w:cs="Times New Roman" w:eastAsia="Times New Roman" w:hAnsi="Times New Roman"/>
          <w:sz w:val="18"/>
          <w:szCs w:val="18"/>
          <w:color w:val="auto"/>
        </w:rPr>
        <w:t>INDEX TO THE CONSOLIDATED FINANCIAL STATEMENTS</w:t>
      </w:r>
      <w:r>
        <w:rPr>
          <w:sz w:val="20"/>
          <w:szCs w:val="20"/>
          <w:color w:val="auto"/>
        </w:rPr>
        <w:tab/>
      </w:r>
      <w:r>
        <w:rPr>
          <w:rFonts w:ascii="Times New Roman" w:cs="Times New Roman" w:eastAsia="Times New Roman" w:hAnsi="Times New Roman"/>
          <w:sz w:val="17"/>
          <w:szCs w:val="17"/>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779" w:firstLine="441"/>
        <w:spacing w:after="0" w:line="23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“Abivax,” “the company,” “our company,” “we,” “us” and “our” refer to Abivax SA and its consolidated subsidiary, taken as a whole.</w:t>
      </w:r>
    </w:p>
    <w:p>
      <w:pPr>
        <w:spacing w:after="0" w:line="6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 xml:space="preserve">“Abivax” and the Abivax logo and other trademarks or service marks of Abivax SA appearing in this Annual Report on Form 20-F are the property of Abivax SA. Solely for convenience, the trademarks, service marks and trade names referred to in this annual report are listed without the </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symbols, but such references should not be</w:t>
      </w: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construed as any indicator that their respective owners will not assert, to the fullest extent under applicable law, their right thereto. All other trademarks, trade names and service marks appearing in this annual report are the property of their respective owners. We do not intend to use or display other companies’ trademarks and trade names to imply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relationship with, or endorsement or sponsorship of us by, any other companies.</w:t>
      </w:r>
    </w:p>
    <w:p>
      <w:pPr>
        <w:spacing w:after="0" w:line="57" w:lineRule="exact"/>
        <w:rPr>
          <w:sz w:val="20"/>
          <w:szCs w:val="20"/>
          <w:color w:val="auto"/>
        </w:rPr>
      </w:pPr>
    </w:p>
    <w:p>
      <w:pPr>
        <w:ind w:left="300" w:right="719" w:firstLine="441"/>
        <w:spacing w:after="0" w:line="236" w:lineRule="auto"/>
        <w:rPr>
          <w:sz w:val="20"/>
          <w:szCs w:val="20"/>
          <w:color w:val="auto"/>
        </w:rPr>
      </w:pPr>
      <w:r>
        <w:rPr>
          <w:rFonts w:ascii="Times New Roman" w:cs="Times New Roman" w:eastAsia="Times New Roman" w:hAnsi="Times New Roman"/>
          <w:sz w:val="17"/>
          <w:szCs w:val="17"/>
          <w:color w:val="auto"/>
        </w:rPr>
        <w:t>This Annual Report on Form 20-F includes our audited financial statements as of and for the years ended December 31, 2025, 2024 and 2023 prepared in accordance with International Financial Reporting Standards</w:t>
      </w: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(“IFRS”), as issued by the International Accounting Standards Board (“IASB”). None of our financial statements were prepared in accordance with U.S. generally accepted accounting principles (“U.S. GAAP”). Our financial statements are presented in euros and, unless otherwise stated, all monetary amounts are in euros. All references in</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this annual report to “$”, “U.S. dollars” and “dollars” mean U.S. dollars, and all references to “€”, “EUR” and “euros” mean European Monetary Union euros, unless otherwise noted. Throughout this annual report, references to “ADSs” mean American Depositary Shares representing an ownership interest in our ordinary shares or ordinary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represented by such American Depositary Shares, as the case may be.</w:t>
      </w:r>
    </w:p>
    <w:p>
      <w:pPr>
        <w:spacing w:after="0" w:line="1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This Annual Report on Form 20-F, or annual report, contains forward-looking statements within the meaning of Section 27A of the Securities Act of 1933, as amended, and Section 21E of the Securities Exchange Act of 1934,</w:t>
      </w:r>
    </w:p>
    <w:p>
      <w:pPr>
        <w:ind w:left="300" w:right="699"/>
        <w:spacing w:after="0" w:line="239" w:lineRule="auto"/>
        <w:rPr>
          <w:sz w:val="20"/>
          <w:szCs w:val="20"/>
          <w:color w:val="auto"/>
        </w:rPr>
      </w:pPr>
      <w:r>
        <w:rPr>
          <w:rFonts w:ascii="Times New Roman" w:cs="Times New Roman" w:eastAsia="Times New Roman" w:hAnsi="Times New Roman"/>
          <w:sz w:val="17"/>
          <w:szCs w:val="17"/>
          <w:color w:val="auto"/>
        </w:rPr>
        <w:t>as amended ("Exchange Act"), that are based on our management’s beliefs and assumptions and on information currently available to our management. All statements other than present and historical facts and conditions</w:t>
      </w:r>
    </w:p>
    <w:p>
      <w:pPr>
        <w:sectPr>
          <w:pgSz w:w="11900" w:h="16931" w:orient="portrait"/>
          <w:cols w:equalWidth="0" w:num="1">
            <w:col w:w="9019"/>
          </w:cols>
          <w:pgMar w:left="1440" w:top="0" w:right="1440" w:bottom="0" w:gutter="0" w:footer="0" w:header="0"/>
        </w:sectPr>
      </w:pPr>
    </w:p>
    <w:bookmarkStart w:id="3" w:name="page4"/>
    <w:bookmarkEnd w:id="3"/>
    <w:p>
      <w:pPr>
        <w:spacing w:after="0" w:line="86" w:lineRule="exact"/>
        <w:rPr>
          <w:sz w:val="20"/>
          <w:szCs w:val="20"/>
          <w:color w:val="auto"/>
        </w:rPr>
      </w:pPr>
    </w:p>
    <w:p>
      <w:pPr>
        <w:ind w:left="300" w:right="399"/>
        <w:spacing w:after="0" w:line="225" w:lineRule="auto"/>
        <w:rPr>
          <w:sz w:val="20"/>
          <w:szCs w:val="20"/>
          <w:color w:val="auto"/>
        </w:rPr>
      </w:pPr>
      <w:r>
        <w:rPr>
          <w:rFonts w:ascii="Times New Roman" w:cs="Times New Roman" w:eastAsia="Times New Roman" w:hAnsi="Times New Roman"/>
          <w:sz w:val="17"/>
          <w:szCs w:val="17"/>
          <w:color w:val="auto"/>
        </w:rPr>
        <w:t>contained in this annual report, including statements regarding our future results of operations and financial positions, business strategy, plans and our objectives for future operations, are forward-looking statements. When used in this annual report, the words “anticipate,” “believe,” “can,” “could,” “estimate,” “expect,” “intend,” “is designed to,” “may,” “might,” “plan,” “will,” “would,” “potential,” “predict,” “objective,” “should,” or the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-444500</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ind w:left="300" w:right="519"/>
        <w:spacing w:after="0" w:line="226" w:lineRule="auto"/>
        <w:rPr>
          <w:sz w:val="20"/>
          <w:szCs w:val="20"/>
          <w:color w:val="auto"/>
        </w:rPr>
      </w:pPr>
      <w:r>
        <w:rPr>
          <w:rFonts w:ascii="Times New Roman" w:cs="Times New Roman" w:eastAsia="Times New Roman" w:hAnsi="Times New Roman"/>
          <w:sz w:val="18"/>
          <w:szCs w:val="18"/>
          <w:color w:val="auto"/>
        </w:rPr>
        <w:t>of these and similar expressions identify forward-looking statements. Forward-looking statements include, but are not limited to, statements about:</w:t>
      </w:r>
    </w:p>
    <w:p>
      <w:pPr>
        <w:spacing w:after="0" w:line="157" w:lineRule="exact"/>
        <w:rPr>
          <w:sz w:val="20"/>
          <w:szCs w:val="20"/>
          <w:color w:val="auto"/>
        </w:rPr>
      </w:pPr>
    </w:p>
    <w:p>
      <w:pPr>
        <w:ind w:left="860" w:right="499" w:hanging="325"/>
        <w:spacing w:after="0" w:line="24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attaining, maintaining and expanding marketing authorization for our lead drug candidate, obefazimod;</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clinical advantages of obefazimod and our future drug candidates;</w:t>
      </w:r>
    </w:p>
    <w:p>
      <w:pPr>
        <w:ind w:left="860" w:right="419"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and clinical trials (and those conducted by third parties) and other research and development programs;</w:t>
      </w:r>
    </w:p>
    <w:p>
      <w:pPr>
        <w:spacing w:after="0" w:line="1" w:lineRule="exact"/>
        <w:rPr>
          <w:rFonts w:ascii="Times New Roman" w:cs="Times New Roman" w:eastAsia="Times New Roman" w:hAnsi="Times New Roman"/>
          <w:sz w:val="18"/>
          <w:szCs w:val="18"/>
          <w:color w:val="auto"/>
        </w:rPr>
      </w:pPr>
    </w:p>
    <w:p>
      <w:pPr>
        <w:ind w:left="860" w:right="519"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availability of data from our clinical trials, including our Phase 3 maintenance trial of obefazimod in moderately to severely active ulcerative colitis and Phase 2b trial of obefazimod in Crohn's disease;</w:t>
      </w:r>
    </w:p>
    <w:p>
      <w:pPr>
        <w:spacing w:after="0" w:line="2" w:lineRule="exact"/>
        <w:rPr>
          <w:rFonts w:ascii="Times New Roman" w:cs="Times New Roman" w:eastAsia="Times New Roman" w:hAnsi="Times New Roman"/>
          <w:sz w:val="18"/>
          <w:szCs w:val="18"/>
          <w:color w:val="auto"/>
        </w:rPr>
      </w:pP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advance drug candidates through clinical development;</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meetings and filings;</w:t>
      </w:r>
    </w:p>
    <w:p>
      <w:pPr>
        <w:ind w:left="860" w:right="719" w:hanging="325"/>
        <w:spacing w:after="0" w:line="22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obefazimod and any of our future drug candidates;</w:t>
      </w:r>
    </w:p>
    <w:p>
      <w:pPr>
        <w:spacing w:after="0" w:line="1" w:lineRule="exact"/>
        <w:rPr>
          <w:rFonts w:ascii="Times New Roman" w:cs="Times New Roman" w:eastAsia="Times New Roman" w:hAnsi="Times New Roman"/>
          <w:sz w:val="18"/>
          <w:szCs w:val="18"/>
          <w:color w:val="auto"/>
        </w:rPr>
      </w:pP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drug candidates from our preclinical studies;</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and transition into a commercial-stage company;</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relationships or partnerships;</w:t>
      </w:r>
    </w:p>
    <w:p>
      <w:pPr>
        <w:ind w:left="860" w:right="339"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2" w:lineRule="exact"/>
        <w:rPr>
          <w:rFonts w:ascii="Times New Roman" w:cs="Times New Roman" w:eastAsia="Times New Roman" w:hAnsi="Times New Roman"/>
          <w:sz w:val="18"/>
          <w:szCs w:val="18"/>
          <w:color w:val="auto"/>
        </w:rPr>
      </w:pPr>
    </w:p>
    <w:p>
      <w:pPr>
        <w:ind w:left="860" w:right="1039"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the need for additional financing;</w:t>
      </w:r>
    </w:p>
    <w:p>
      <w:pPr>
        <w:spacing w:after="0" w:line="1" w:lineRule="exact"/>
        <w:rPr>
          <w:rFonts w:ascii="Times New Roman" w:cs="Times New Roman" w:eastAsia="Times New Roman" w:hAnsi="Times New Roman"/>
          <w:sz w:val="18"/>
          <w:szCs w:val="18"/>
          <w:color w:val="auto"/>
        </w:rPr>
      </w:pP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860" w:hanging="325"/>
        <w:spacing w:after="0" w:line="23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ind w:left="860" w:right="399" w:hanging="325"/>
        <w:spacing w:after="0" w:line="239"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political turmoil, natural catastrophes, warfare (such as the Russia-Ukraine war or the conflict in the Middle East), and terrorist attacks;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60" w:hanging="325"/>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annual report under the caption “Risk Factors.”</w:t>
      </w:r>
    </w:p>
    <w:p>
      <w:pPr>
        <w:spacing w:after="0" w:line="104" w:lineRule="exact"/>
        <w:rPr>
          <w:sz w:val="20"/>
          <w:szCs w:val="20"/>
          <w:color w:val="auto"/>
        </w:rPr>
      </w:pPr>
    </w:p>
    <w:p>
      <w:pPr>
        <w:ind w:left="300" w:right="839" w:firstLine="441"/>
        <w:spacing w:after="0" w:line="236" w:lineRule="auto"/>
        <w:rPr>
          <w:sz w:val="20"/>
          <w:szCs w:val="20"/>
          <w:color w:val="auto"/>
        </w:rPr>
      </w:pPr>
      <w:r>
        <w:rPr>
          <w:rFonts w:ascii="Times New Roman" w:cs="Times New Roman" w:eastAsia="Times New Roman" w:hAnsi="Times New Roman"/>
          <w:sz w:val="17"/>
          <w:szCs w:val="17"/>
          <w:color w:val="auto"/>
        </w:rPr>
        <w:t>You should refer to the section of this annual report titled “Item 3.D-Risk Factors” for a discussion of important factors that may cause our actual results to differ materially from those expressed or implied by our</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law.</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reference in this annual report and have filed as exhibits to this annual report completely and with the understanding that our actual future results may be materially</w:t>
      </w:r>
    </w:p>
    <w:p>
      <w:pPr>
        <w:ind w:left="300"/>
        <w:spacing w:after="0"/>
        <w:rPr>
          <w:sz w:val="20"/>
          <w:szCs w:val="20"/>
          <w:color w:val="auto"/>
        </w:rPr>
      </w:pPr>
      <w:r>
        <w:rPr>
          <w:rFonts w:ascii="Times New Roman" w:cs="Times New Roman" w:eastAsia="Times New Roman" w:hAnsi="Times New Roman"/>
          <w:sz w:val="18"/>
          <w:szCs w:val="18"/>
          <w:color w:val="auto"/>
        </w:rPr>
        <w:t>different from what we expect. We qualify all of our forward-looking statements by these cautionary statements.</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This annual report contains market data and industry forecasts that were obtained from industry publications. These data involve a number of assumptions and limitations, and you are cautioned not to give undue weight to such</w:t>
      </w: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940" w:right="639" w:hanging="324"/>
        <w:spacing w:after="0" w:line="260"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clinical-stage company with a limited operating history and no approved products and no historical product revenues, which makes it difficult to assess our future prospects and financial results.</w:t>
      </w:r>
    </w:p>
    <w:p>
      <w:pPr>
        <w:spacing w:after="0" w:line="1" w:lineRule="exact"/>
        <w:rPr>
          <w:rFonts w:ascii="Times New Roman" w:cs="Times New Roman" w:eastAsia="Times New Roman" w:hAnsi="Times New Roman"/>
          <w:sz w:val="17"/>
          <w:szCs w:val="17"/>
          <w:color w:val="auto"/>
        </w:rPr>
      </w:pPr>
    </w:p>
    <w:p>
      <w:pPr>
        <w:ind w:left="940" w:right="539" w:hanging="324"/>
        <w:spacing w:after="0" w:line="23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considerable losses historically, which we anticipate will continue and may increase in the future.</w:t>
      </w:r>
    </w:p>
    <w:p>
      <w:pPr>
        <w:spacing w:after="0" w:line="1" w:lineRule="exact"/>
        <w:rPr>
          <w:rFonts w:ascii="Times New Roman" w:cs="Times New Roman" w:eastAsia="Times New Roman" w:hAnsi="Times New Roman"/>
          <w:sz w:val="18"/>
          <w:szCs w:val="18"/>
          <w:color w:val="auto"/>
        </w:rPr>
      </w:pPr>
    </w:p>
    <w:p>
      <w:pPr>
        <w:ind w:left="940" w:right="419" w:hanging="324"/>
        <w:spacing w:after="0" w:line="23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under development must undergo costly, rigorous and highly regulated preclinical studies and clinical trials, whose time of completion, number and outcomes are uncertain.</w:t>
      </w:r>
    </w:p>
    <w:p>
      <w:pPr>
        <w:spacing w:after="0" w:line="1" w:lineRule="exact"/>
        <w:rPr>
          <w:rFonts w:ascii="Times New Roman" w:cs="Times New Roman" w:eastAsia="Times New Roman" w:hAnsi="Times New Roman"/>
          <w:sz w:val="18"/>
          <w:szCs w:val="18"/>
          <w:color w:val="auto"/>
        </w:rPr>
      </w:pPr>
    </w:p>
    <w:p>
      <w:pPr>
        <w:ind w:left="940" w:right="499" w:hanging="324"/>
        <w:spacing w:after="0" w:line="23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2" w:lineRule="exact"/>
        <w:rPr>
          <w:rFonts w:ascii="Times New Roman" w:cs="Times New Roman" w:eastAsia="Times New Roman" w:hAnsi="Times New Roman"/>
          <w:sz w:val="18"/>
          <w:szCs w:val="18"/>
          <w:color w:val="auto"/>
        </w:rPr>
      </w:pPr>
    </w:p>
    <w:p>
      <w:pPr>
        <w:jc w:val="both"/>
        <w:ind w:left="940" w:right="319" w:hanging="324"/>
        <w:spacing w:after="0" w:line="23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2" w:lineRule="exact"/>
        <w:rPr>
          <w:rFonts w:ascii="Times New Roman" w:cs="Times New Roman" w:eastAsia="Times New Roman" w:hAnsi="Times New Roman"/>
          <w:sz w:val="18"/>
          <w:szCs w:val="18"/>
          <w:color w:val="auto"/>
        </w:rPr>
      </w:pPr>
    </w:p>
    <w:p>
      <w:pPr>
        <w:ind w:left="940" w:right="479" w:hanging="324"/>
        <w:spacing w:after="0" w:line="226"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may depend on our most advanced clinical development program, obefazimod, since our other drug candidates are in a less advanced stage of development.</w:t>
      </w:r>
    </w:p>
    <w:p>
      <w:pPr>
        <w:spacing w:after="0" w:line="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organization, and as a result, we may encounter difficulties in managing our</w:t>
      </w:r>
    </w:p>
    <w:p>
      <w:pPr>
        <w:sectPr>
          <w:pgSz w:w="11900" w:h="16924" w:orient="portrait"/>
          <w:cols w:equalWidth="0" w:num="1">
            <w:col w:w="9019"/>
          </w:cols>
          <w:pgMar w:left="1440" w:top="108" w:right="1440" w:bottom="0" w:gutter="0" w:footer="0" w:header="0"/>
        </w:sectPr>
      </w:pPr>
    </w:p>
    <w:bookmarkStart w:id="4" w:name="page5"/>
    <w:bookmarkEnd w:id="4"/>
    <w:p>
      <w:pPr>
        <w:ind w:left="940"/>
        <w:spacing w:after="0"/>
        <w:rPr>
          <w:sz w:val="20"/>
          <w:szCs w:val="20"/>
          <w:color w:val="auto"/>
        </w:rPr>
      </w:pPr>
      <w:r>
        <w:rPr>
          <w:rFonts w:ascii="Times New Roman" w:cs="Times New Roman" w:eastAsia="Times New Roman" w:hAnsi="Times New Roman"/>
          <w:sz w:val="18"/>
          <w:szCs w:val="18"/>
          <w:color w:val="auto"/>
        </w:rPr>
        <w:t>growth, which could disrupt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-119380</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ind w:left="940" w:right="439" w:hanging="324"/>
        <w:spacing w:after="0" w:line="23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small number of third-party suppliers and manufacturers, and in certain cases a single-source supplier, and we may be in a position of dependence with respect to these third parties.</w:t>
      </w:r>
    </w:p>
    <w:p>
      <w:pPr>
        <w:spacing w:after="0" w:line="1" w:lineRule="exact"/>
        <w:rPr>
          <w:rFonts w:ascii="Times New Roman" w:cs="Times New Roman" w:eastAsia="Times New Roman" w:hAnsi="Times New Roman"/>
          <w:sz w:val="18"/>
          <w:szCs w:val="18"/>
          <w:color w:val="auto"/>
        </w:rPr>
      </w:pPr>
    </w:p>
    <w:p>
      <w:pPr>
        <w:ind w:left="940" w:right="599" w:hanging="324"/>
        <w:spacing w:after="0" w:line="23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key executives and to attract, retain and motivate qualified personnel.</w:t>
      </w:r>
    </w:p>
    <w:p>
      <w:pPr>
        <w:spacing w:after="0" w:line="1" w:lineRule="exact"/>
        <w:rPr>
          <w:rFonts w:ascii="Times New Roman" w:cs="Times New Roman" w:eastAsia="Times New Roman" w:hAnsi="Times New Roman"/>
          <w:sz w:val="18"/>
          <w:szCs w:val="18"/>
          <w:color w:val="auto"/>
        </w:rPr>
      </w:pPr>
    </w:p>
    <w:p>
      <w:pPr>
        <w:ind w:left="940" w:right="319" w:hanging="324"/>
        <w:spacing w:after="0" w:line="23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2" w:lineRule="exact"/>
        <w:rPr>
          <w:rFonts w:ascii="Times New Roman" w:cs="Times New Roman" w:eastAsia="Times New Roman" w:hAnsi="Times New Roman"/>
          <w:sz w:val="18"/>
          <w:szCs w:val="18"/>
          <w:color w:val="auto"/>
        </w:rPr>
      </w:pPr>
    </w:p>
    <w:p>
      <w:pPr>
        <w:ind w:left="940" w:right="439" w:hanging="324"/>
        <w:spacing w:after="0" w:line="23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exclusively commercialize our drug candidates may decrease if we are unable to protect our intellectual property rights or if these rights are insufficient for our purposes.</w:t>
      </w:r>
    </w:p>
    <w:p>
      <w:pPr>
        <w:spacing w:after="0" w:line="1" w:lineRule="exact"/>
        <w:rPr>
          <w:rFonts w:ascii="Times New Roman" w:cs="Times New Roman" w:eastAsia="Times New Roman" w:hAnsi="Times New Roman"/>
          <w:sz w:val="18"/>
          <w:szCs w:val="18"/>
          <w:color w:val="auto"/>
        </w:rPr>
      </w:pPr>
    </w:p>
    <w:p>
      <w:pPr>
        <w:ind w:left="940" w:right="479" w:hanging="324"/>
        <w:spacing w:after="0" w:line="234"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or security (including security incidents) could harm our business. Compliance or the actual or perceived failure to comply with such obligations could increase our costs, limit our ability to engage in our business, and otherwise negatively affect our operating results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121"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252730</wp:posOffset>
            </wp:positionV>
            <wp:extent cx="7016115" cy="813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252730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1147" w:right="144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Capitalization and Indebtedness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Reasons for the Offer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tab/>
        <w:t>Risk Factors</w:t>
      </w:r>
    </w:p>
    <w:p>
      <w:pPr>
        <w:spacing w:after="0" w:line="227" w:lineRule="exact"/>
        <w:rPr>
          <w:sz w:val="20"/>
          <w:szCs w:val="20"/>
          <w:color w:val="auto"/>
        </w:rPr>
      </w:pPr>
    </w:p>
    <w:p>
      <w:pPr>
        <w:ind w:left="300" w:right="699" w:firstLine="441"/>
        <w:spacing w:after="0" w:line="237" w:lineRule="auto"/>
        <w:rPr>
          <w:sz w:val="20"/>
          <w:szCs w:val="20"/>
          <w:color w:val="auto"/>
        </w:rPr>
      </w:pPr>
      <w:r>
        <w:rPr>
          <w:rFonts w:ascii="Times New Roman" w:cs="Times New Roman" w:eastAsia="Times New Roman" w:hAnsi="Times New Roman"/>
          <w:sz w:val="17"/>
          <w:szCs w:val="17"/>
          <w:i w:val="1"/>
          <w:iCs w:val="1"/>
          <w:color w:val="auto"/>
        </w:rPr>
        <w:t>Our business faces significant risks. You should carefully consider all of the information set forth in this annual report and in our other filings with the United States Securities and Exchange Commission (the "SEC"),</w:t>
      </w:r>
    </w:p>
    <w:p>
      <w:pPr>
        <w:ind w:left="300" w:right="579"/>
        <w:spacing w:after="0" w:line="220" w:lineRule="auto"/>
        <w:rPr>
          <w:sz w:val="20"/>
          <w:szCs w:val="20"/>
          <w:color w:val="auto"/>
        </w:rPr>
      </w:pPr>
      <w:r>
        <w:rPr>
          <w:rFonts w:ascii="Times New Roman" w:cs="Times New Roman" w:eastAsia="Times New Roman" w:hAnsi="Times New Roman"/>
          <w:sz w:val="17"/>
          <w:szCs w:val="17"/>
          <w:i w:val="1"/>
          <w:iCs w:val="1"/>
          <w:color w:val="auto"/>
        </w:rPr>
        <w:t>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w:t>
      </w:r>
    </w:p>
    <w:p>
      <w:pPr>
        <w:spacing w:after="0" w:line="2" w:lineRule="exact"/>
        <w:rPr>
          <w:sz w:val="20"/>
          <w:szCs w:val="20"/>
          <w:color w:val="auto"/>
        </w:rPr>
      </w:pPr>
    </w:p>
    <w:p>
      <w:pPr>
        <w:ind w:left="300" w:right="639"/>
        <w:spacing w:after="0" w:line="218" w:lineRule="auto"/>
        <w:rPr>
          <w:sz w:val="20"/>
          <w:szCs w:val="20"/>
          <w:color w:val="auto"/>
        </w:rPr>
      </w:pPr>
      <w:r>
        <w:rPr>
          <w:rFonts w:ascii="Times New Roman" w:cs="Times New Roman" w:eastAsia="Times New Roman" w:hAnsi="Times New Roman"/>
          <w:sz w:val="18"/>
          <w:szCs w:val="18"/>
          <w:i w:val="1"/>
          <w:iCs w:val="1"/>
          <w:color w:val="auto"/>
        </w:rPr>
        <w:t>those anticipated in these forward-looking statements, as a result of certain factors including the risks described below and elsewhere in this annual report and our other SEC filings. See “Special Note Regarding Forward-Looking Statements” above.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77" w:lineRule="exact"/>
        <w:rPr>
          <w:sz w:val="20"/>
          <w:szCs w:val="20"/>
          <w:color w:val="auto"/>
        </w:rPr>
      </w:pPr>
    </w:p>
    <w:p>
      <w:pPr>
        <w:jc w:val="both"/>
        <w:ind w:left="300" w:right="6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with a limited operating history and no approved products and no historical product revenues, which makes it difficult to assess our future prospects and financial results.</w:t>
      </w:r>
    </w:p>
    <w:p>
      <w:pPr>
        <w:spacing w:after="0" w:line="64" w:lineRule="exact"/>
        <w:rPr>
          <w:sz w:val="20"/>
          <w:szCs w:val="20"/>
          <w:color w:val="auto"/>
        </w:rPr>
      </w:pPr>
    </w:p>
    <w:p>
      <w:pPr>
        <w:jc w:val="both"/>
        <w:ind w:left="300" w:right="699" w:firstLine="441"/>
        <w:spacing w:after="0" w:line="229" w:lineRule="auto"/>
        <w:rPr>
          <w:sz w:val="20"/>
          <w:szCs w:val="20"/>
          <w:color w:val="auto"/>
        </w:rPr>
      </w:pPr>
      <w:r>
        <w:rPr>
          <w:rFonts w:ascii="Times New Roman" w:cs="Times New Roman" w:eastAsia="Times New Roman" w:hAnsi="Times New Roman"/>
          <w:sz w:val="17"/>
          <w:szCs w:val="17"/>
          <w:color w:val="auto"/>
        </w:rPr>
        <w:t xml:space="preserve">We are a clinical-stage biopharmaceutical company with a limited operating history upon which you can evaluate our business and prospects. We were incorporated as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(limited liability company) on December 4, 2013 and, to date, we have focused primarily on organizing and staffing our company, business</w:t>
      </w:r>
    </w:p>
    <w:p>
      <w:pPr>
        <w:jc w:val="both"/>
        <w:ind w:left="300" w:right="519"/>
        <w:spacing w:after="0" w:line="208" w:lineRule="auto"/>
        <w:rPr>
          <w:sz w:val="20"/>
          <w:szCs w:val="20"/>
          <w:color w:val="auto"/>
        </w:rPr>
      </w:pPr>
      <w:r>
        <w:rPr>
          <w:rFonts w:ascii="Times New Roman" w:cs="Times New Roman" w:eastAsia="Times New Roman" w:hAnsi="Times New Roman"/>
          <w:sz w:val="18"/>
          <w:szCs w:val="18"/>
          <w:color w:val="auto"/>
        </w:rPr>
        <w:t>planning, raising capital, identifying, acquiring and in-licensing our drug candidates, establishing our intellectual property portfolio, conducting research, preclinical studies and clinical trials, establishing arrangements with third parties for the manufacture of our drug candidates and related raw materials and providing general and</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administrative support for these operations. Investment in product development in the healthcare industry, including of biopharmaceutical products, is highly speculative because it entails substantial upfront capital expenditures and significant risk that any potential drug candidate will fail to demonstrate adequate effect or an acceptable safety</w:t>
      </w:r>
    </w:p>
    <w:p>
      <w:pPr>
        <w:spacing w:after="0" w:line="2" w:lineRule="exact"/>
        <w:rPr>
          <w:sz w:val="20"/>
          <w:szCs w:val="20"/>
          <w:color w:val="auto"/>
        </w:rPr>
      </w:pPr>
    </w:p>
    <w:p>
      <w:pPr>
        <w:jc w:val="both"/>
        <w:ind w:left="300" w:right="599"/>
        <w:spacing w:after="0" w:line="218" w:lineRule="auto"/>
        <w:rPr>
          <w:sz w:val="20"/>
          <w:szCs w:val="20"/>
          <w:color w:val="auto"/>
        </w:rPr>
      </w:pPr>
      <w:r>
        <w:rPr>
          <w:rFonts w:ascii="Times New Roman" w:cs="Times New Roman" w:eastAsia="Times New Roman" w:hAnsi="Times New Roman"/>
          <w:sz w:val="18"/>
          <w:szCs w:val="18"/>
          <w:color w:val="auto"/>
        </w:rPr>
        <w:t>profile, gain regulatory approval or become commercially viable. As a result, our ability to reduce our losses and reach consistent profitability from product sales is unproven, and we may never sustain profitability. We have no products approved for commercial sale and have not generated any revenue from product sales to date.</w:t>
      </w:r>
    </w:p>
    <w:p>
      <w:pPr>
        <w:spacing w:after="0" w:line="6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and maintain profitability depends on our ability, alone or with any future collaborators, to successfully complete the development of, and obtain the regulatory approvals necessary to commercialize, our lead drug candidate, obefazimod. Our prospects, including our</w:t>
      </w: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ability to finance our operations and generate revenue from product sales, therefore will depend substantially on the development and commercialization of obefazimod, as other programs in our preclinical portfolio are still in earlier stages of development. Since our inception in 2013, the majority of our operating income has been derived from our</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reliance on research collaborations unrelated to obefazimod, and we do not anticipate generating revenue from product sales for the next several years, if ever. Our ability to generate revenue from product sales depends heavily on our or any future collaborators’ success in:</w:t>
      </w:r>
    </w:p>
    <w:p>
      <w:pPr>
        <w:spacing w:after="0" w:line="64" w:lineRule="exact"/>
        <w:rPr>
          <w:sz w:val="20"/>
          <w:szCs w:val="20"/>
          <w:color w:val="auto"/>
        </w:rPr>
      </w:pPr>
    </w:p>
    <w:p>
      <w:pPr>
        <w:ind w:left="1280" w:hanging="328"/>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clinical development of obefazimod, our lead drug candidate;</w:t>
      </w:r>
    </w:p>
    <w:p>
      <w:pPr>
        <w:spacing w:after="0" w:line="76" w:lineRule="exact"/>
        <w:rPr>
          <w:rFonts w:ascii="Times New Roman" w:cs="Times New Roman" w:eastAsia="Times New Roman" w:hAnsi="Times New Roman"/>
          <w:sz w:val="18"/>
          <w:szCs w:val="18"/>
          <w:color w:val="auto"/>
        </w:rPr>
      </w:pPr>
    </w:p>
    <w:p>
      <w:pPr>
        <w:ind w:left="1280" w:right="699" w:hanging="328"/>
        <w:spacing w:after="0" w:line="23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and marketing approval for obefazimod and any future drug candidates for which we successfully complete clinical trials;</w:t>
      </w:r>
    </w:p>
    <w:p>
      <w:pPr>
        <w:spacing w:after="0" w:line="63" w:lineRule="exact"/>
        <w:rPr>
          <w:rFonts w:ascii="Times New Roman" w:cs="Times New Roman" w:eastAsia="Times New Roman" w:hAnsi="Times New Roman"/>
          <w:sz w:val="18"/>
          <w:szCs w:val="18"/>
          <w:color w:val="auto"/>
        </w:rPr>
      </w:pPr>
    </w:p>
    <w:p>
      <w:pPr>
        <w:ind w:left="1280" w:right="639" w:hanging="328"/>
        <w:spacing w:after="0" w:line="226"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any drug candidates for which we obtain regulatory and marketing approval by establishing a sales force, marketing and distribution infrastructure or, alternatively, collaborating with a commercialization partner;</w:t>
      </w:r>
    </w:p>
    <w:p>
      <w:pPr>
        <w:sectPr>
          <w:pgSz w:w="11900" w:h="16838" w:orient="portrait"/>
          <w:cols w:equalWidth="0" w:num="1">
            <w:col w:w="9019"/>
          </w:cols>
          <w:pgMar w:left="1440" w:top="1147" w:right="1440" w:bottom="5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252730</wp:posOffset>
            </wp:positionV>
            <wp:extent cx="701611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147" w:right="1440" w:bottom="524" w:gutter="0" w:footer="0" w:header="0"/>
          <w:type w:val="continuous"/>
        </w:sectPr>
      </w:pPr>
    </w:p>
    <w:bookmarkStart w:id="7" w:name="page8"/>
    <w:bookmarkEnd w:id="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r>
    </w:p>
    <w:p>
      <w:pPr>
        <w:ind w:left="1280" w:right="559" w:hanging="328"/>
        <w:spacing w:after="0" w:line="247"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coverage and adequate reimbursement from government and third-party payors for our current or any future drug candidates, if approved, both in the United States and internationally, and reaching acceptable agreements with foreign government and third-party payors on pricing terms;</w:t>
      </w:r>
    </w:p>
    <w:p>
      <w:pPr>
        <w:spacing w:after="0" w:line="30" w:lineRule="exact"/>
        <w:rPr>
          <w:rFonts w:ascii="Times New Roman" w:cs="Times New Roman" w:eastAsia="Times New Roman" w:hAnsi="Times New Roman"/>
          <w:sz w:val="17"/>
          <w:szCs w:val="17"/>
          <w:color w:val="auto"/>
        </w:rPr>
      </w:pPr>
    </w:p>
    <w:p>
      <w:pPr>
        <w:ind w:left="1280" w:right="419" w:hanging="328"/>
        <w:spacing w:after="0" w:line="23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sustainable, scalable, reproducible and transferable manufacturing process for obefazimod or any future drug candidates that are compliant with current good manufacturing practices;</w:t>
      </w:r>
    </w:p>
    <w:p>
      <w:pPr>
        <w:spacing w:after="0" w:line="50" w:lineRule="exact"/>
        <w:rPr>
          <w:rFonts w:ascii="Times New Roman" w:cs="Times New Roman" w:eastAsia="Times New Roman" w:hAnsi="Times New Roman"/>
          <w:sz w:val="18"/>
          <w:szCs w:val="18"/>
          <w:color w:val="auto"/>
        </w:rPr>
      </w:pPr>
    </w:p>
    <w:p>
      <w:pPr>
        <w:ind w:left="1280" w:right="299" w:hanging="328"/>
        <w:spacing w:after="0" w:line="23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an adequate amount and quality of drugs and services to support our planned clinical development, as well as the market demand for obefazimod and any future drug candidates, if approved;</w:t>
      </w:r>
    </w:p>
    <w:p>
      <w:pPr>
        <w:spacing w:after="0" w:line="50" w:lineRule="exact"/>
        <w:rPr>
          <w:rFonts w:ascii="Times New Roman" w:cs="Times New Roman" w:eastAsia="Times New Roman" w:hAnsi="Times New Roman"/>
          <w:sz w:val="18"/>
          <w:szCs w:val="18"/>
          <w:color w:val="auto"/>
        </w:rPr>
      </w:pPr>
    </w:p>
    <w:p>
      <w:pPr>
        <w:ind w:left="1280" w:right="419" w:hanging="328"/>
        <w:spacing w:after="0" w:line="23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if and when approved, of obefazimod or any future drug candidates as a viable treatment option by physicians, patients, third-party payors and others in the medical community;</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addressing any competing technological and market developments;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76" w:lineRule="exact"/>
        <w:rPr>
          <w:rFonts w:ascii="Times New Roman" w:cs="Times New Roman" w:eastAsia="Times New Roman" w:hAnsi="Times New Roman"/>
          <w:sz w:val="18"/>
          <w:szCs w:val="18"/>
          <w:color w:val="auto"/>
        </w:rPr>
      </w:pPr>
    </w:p>
    <w:p>
      <w:pPr>
        <w:ind w:left="1280" w:right="499" w:hanging="328"/>
        <w:spacing w:after="0" w:line="23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pursuant to such arrangements;</w:t>
      </w:r>
    </w:p>
    <w:p>
      <w:pPr>
        <w:spacing w:after="0" w:line="63" w:lineRule="exact"/>
        <w:rPr>
          <w:rFonts w:ascii="Times New Roman" w:cs="Times New Roman" w:eastAsia="Times New Roman" w:hAnsi="Times New Roman"/>
          <w:sz w:val="18"/>
          <w:szCs w:val="18"/>
          <w:color w:val="auto"/>
        </w:rPr>
      </w:pPr>
    </w:p>
    <w:p>
      <w:pPr>
        <w:ind w:left="1280" w:right="479" w:hanging="328"/>
        <w:spacing w:after="0" w:line="23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interference or infringement claims; and</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73" w:lineRule="exact"/>
        <w:rPr>
          <w:sz w:val="20"/>
          <w:szCs w:val="20"/>
          <w:color w:val="auto"/>
        </w:rPr>
      </w:pPr>
    </w:p>
    <w:p>
      <w:pPr>
        <w:ind w:left="300" w:right="7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have incurred considerable losses historically, which we anticipate will continue and may increase in the future.</w:t>
      </w:r>
    </w:p>
    <w:p>
      <w:pPr>
        <w:spacing w:after="0" w:line="64" w:lineRule="exact"/>
        <w:rPr>
          <w:sz w:val="20"/>
          <w:szCs w:val="20"/>
          <w:color w:val="auto"/>
        </w:rPr>
      </w:pPr>
    </w:p>
    <w:p>
      <w:pPr>
        <w:ind w:left="300" w:right="399" w:firstLine="441"/>
        <w:spacing w:after="0" w:line="226" w:lineRule="auto"/>
        <w:rPr>
          <w:sz w:val="20"/>
          <w:szCs w:val="20"/>
          <w:color w:val="auto"/>
        </w:rPr>
      </w:pPr>
      <w:r>
        <w:rPr>
          <w:rFonts w:ascii="Times New Roman" w:cs="Times New Roman" w:eastAsia="Times New Roman" w:hAnsi="Times New Roman"/>
          <w:sz w:val="18"/>
          <w:szCs w:val="18"/>
          <w:color w:val="auto"/>
        </w:rPr>
        <w:t xml:space="preserve">Since our inception, we have incurred net losses. For the years ended December 31, 2025, 2024 and 2023, we reported net losses of €336.1 million, €176.2 million, and €147.7 million, respectively. As of December 31, 2025, </w:t>
      </w:r>
      <w:r>
        <w:rPr>
          <w:rFonts w:ascii="Times New Roman" w:cs="Times New Roman" w:eastAsia="Times New Roman" w:hAnsi="Times New Roman"/>
          <w:sz w:val="18"/>
          <w:szCs w:val="18"/>
          <w:color w:val="auto"/>
          <w:highlight w:val="white"/>
        </w:rPr>
        <w:t>we carried forward accumulated tax losse</w:t>
      </w:r>
      <w:r>
        <w:rPr>
          <w:rFonts w:ascii="Times New Roman" w:cs="Times New Roman" w:eastAsia="Times New Roman" w:hAnsi="Times New Roman"/>
          <w:sz w:val="18"/>
          <w:szCs w:val="18"/>
          <w:color w:val="auto"/>
        </w:rPr>
        <w:t>s of €912.9 million.</w:t>
      </w:r>
    </w:p>
    <w:p>
      <w:pPr>
        <w:spacing w:after="0" w:line="63" w:lineRule="exact"/>
        <w:rPr>
          <w:sz w:val="20"/>
          <w:szCs w:val="20"/>
          <w:color w:val="auto"/>
        </w:rPr>
      </w:pPr>
    </w:p>
    <w:p>
      <w:pPr>
        <w:jc w:val="both"/>
        <w:ind w:left="300" w:right="659" w:firstLine="441"/>
        <w:spacing w:after="0" w:line="229" w:lineRule="auto"/>
        <w:rPr>
          <w:sz w:val="20"/>
          <w:szCs w:val="20"/>
          <w:color w:val="auto"/>
        </w:rPr>
      </w:pPr>
      <w:r>
        <w:rPr>
          <w:rFonts w:ascii="Times New Roman" w:cs="Times New Roman" w:eastAsia="Times New Roman" w:hAnsi="Times New Roman"/>
          <w:sz w:val="17"/>
          <w:szCs w:val="17"/>
          <w:color w:val="auto"/>
          <w:highlight w:val="white"/>
        </w:rPr>
        <w:t xml:space="preserve">We have devoted most of our financial resources to research and development, including our clinical and </w:t>
      </w:r>
      <w:r>
        <w:rPr>
          <w:rFonts w:ascii="Times New Roman" w:cs="Times New Roman" w:eastAsia="Times New Roman" w:hAnsi="Times New Roman"/>
          <w:sz w:val="17"/>
          <w:szCs w:val="17"/>
          <w:color w:val="auto"/>
        </w:rPr>
        <w:t>preclinical development activities. Even if we obtain regulatory approval to market a drug candidate, our future revenues will depend upon the size of any markets in which our drug candidates have received approval and our</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ability to achieve sufficient market acceptance, reimbursement from third-party payors and adequate market share for our drug candidates in those markets. There can be no assurance that we will ever earn any revenues or revenues sufficient to offset past, current and future losses or achieve profitability, which would impair our ability to sustain</w:t>
      </w:r>
    </w:p>
    <w:p>
      <w:pPr>
        <w:spacing w:after="0" w:line="2" w:lineRule="exact"/>
        <w:rPr>
          <w:sz w:val="20"/>
          <w:szCs w:val="20"/>
          <w:color w:val="auto"/>
        </w:rPr>
      </w:pP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our operations. Moreover, even if we achieve profitability, such profitability may not be sustainable. Any inability to generate sustained profits could have a material adverse effect on our business, prospects, financial condition, cash flows and results of operations.</w:t>
      </w:r>
    </w:p>
    <w:p>
      <w:pPr>
        <w:spacing w:after="0" w:line="64"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We expect to continue to incur significant expenses and operating losses for the foreseeable future. We do not anticipate achieving profitability in the future unless we obtain the regulatory approvals necessary to commercialize obefazimod and any additional drug candidates that we may pursue in the future. We anticipate that our expenses</w:t>
      </w:r>
    </w:p>
    <w:p>
      <w:pPr>
        <w:ind w:left="300"/>
        <w:spacing w:after="0"/>
        <w:rPr>
          <w:sz w:val="20"/>
          <w:szCs w:val="20"/>
          <w:color w:val="auto"/>
        </w:rPr>
      </w:pPr>
      <w:r>
        <w:rPr>
          <w:rFonts w:ascii="Times New Roman" w:cs="Times New Roman" w:eastAsia="Times New Roman" w:hAnsi="Times New Roman"/>
          <w:sz w:val="18"/>
          <w:szCs w:val="18"/>
          <w:color w:val="auto"/>
        </w:rPr>
        <w:t>will increase substantially if, and as, we:</w:t>
      </w:r>
    </w:p>
    <w:p>
      <w:pPr>
        <w:spacing w:after="0" w:line="57" w:lineRule="exact"/>
        <w:rPr>
          <w:sz w:val="20"/>
          <w:szCs w:val="20"/>
          <w:color w:val="auto"/>
        </w:rPr>
      </w:pPr>
    </w:p>
    <w:p>
      <w:pPr>
        <w:ind w:left="1280" w:right="999" w:hanging="328"/>
        <w:spacing w:after="0" w:line="237"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successfully complete clinical development of obefazimod, our clinical-stage drug candidate;</w:t>
      </w:r>
    </w:p>
    <w:p>
      <w:pPr>
        <w:spacing w:after="0" w:line="63" w:lineRule="exact"/>
        <w:rPr>
          <w:rFonts w:ascii="Times New Roman" w:cs="Times New Roman" w:eastAsia="Times New Roman" w:hAnsi="Times New Roman"/>
          <w:sz w:val="18"/>
          <w:szCs w:val="18"/>
          <w:color w:val="auto"/>
        </w:rPr>
      </w:pPr>
    </w:p>
    <w:p>
      <w:pPr>
        <w:ind w:left="1280" w:right="419" w:hanging="328"/>
        <w:spacing w:after="0" w:line="237"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maintain regulatory and marketing approvals for obefazimod and any future drug candidates for which we successfully complete clinical trials;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preclinical and clinical development of our drug candidates;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current clinical trials for our drug candidates;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new clinical trials for our drug candidates;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scale and validate our commercial manufacturing capabilities for our drug candidates;</w:t>
      </w:r>
    </w:p>
    <w:p>
      <w:pPr>
        <w:spacing w:after="0" w:line="76" w:lineRule="exact"/>
        <w:rPr>
          <w:rFonts w:ascii="Times New Roman" w:cs="Times New Roman" w:eastAsia="Times New Roman" w:hAnsi="Times New Roman"/>
          <w:sz w:val="18"/>
          <w:szCs w:val="18"/>
          <w:color w:val="auto"/>
        </w:rPr>
      </w:pPr>
    </w:p>
    <w:p>
      <w:pPr>
        <w:ind w:left="1280" w:right="459" w:hanging="328"/>
        <w:spacing w:after="0" w:line="263"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drugs for which we may obtain marketing approval for which we have not entered into a collaboration with a third-party;</w:t>
      </w:r>
    </w:p>
    <w:p>
      <w:pPr>
        <w:spacing w:after="0" w:line="44" w:lineRule="exact"/>
        <w:rPr>
          <w:rFonts w:ascii="Times New Roman" w:cs="Times New Roman" w:eastAsia="Times New Roman" w:hAnsi="Times New Roman"/>
          <w:sz w:val="17"/>
          <w:szCs w:val="17"/>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identify and validate additional drug candidates;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72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hanging="328"/>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enforce and expand our intellectual property portfolio;</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and retain existing skilled personnel; and</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operations as a U.S. public company.</w:t>
      </w:r>
    </w:p>
    <w:p>
      <w:pPr>
        <w:spacing w:after="0" w:line="77" w:lineRule="exact"/>
        <w:rPr>
          <w:sz w:val="20"/>
          <w:szCs w:val="20"/>
          <w:color w:val="auto"/>
        </w:rPr>
      </w:pPr>
    </w:p>
    <w:p>
      <w:pPr>
        <w:ind w:left="300" w:right="759" w:firstLine="441"/>
        <w:spacing w:after="0" w:line="236" w:lineRule="auto"/>
        <w:rPr>
          <w:sz w:val="20"/>
          <w:szCs w:val="20"/>
          <w:color w:val="auto"/>
        </w:rPr>
      </w:pPr>
      <w:r>
        <w:rPr>
          <w:rFonts w:ascii="Times New Roman" w:cs="Times New Roman" w:eastAsia="Times New Roman" w:hAnsi="Times New Roman"/>
          <w:sz w:val="17"/>
          <w:szCs w:val="17"/>
          <w:color w:val="auto"/>
        </w:rPr>
        <w:t>In addition, following the issuance of royalty certificates in September 2022 and other royalties that may become payable under our royalty agreements, the payment of royalties in the event of commercialization of</w:t>
      </w:r>
    </w:p>
    <w:p>
      <w:pPr>
        <w:ind w:left="300"/>
        <w:spacing w:after="0"/>
        <w:rPr>
          <w:sz w:val="20"/>
          <w:szCs w:val="20"/>
          <w:color w:val="auto"/>
        </w:rPr>
      </w:pPr>
      <w:r>
        <w:rPr>
          <w:rFonts w:ascii="Times New Roman" w:cs="Times New Roman" w:eastAsia="Times New Roman" w:hAnsi="Times New Roman"/>
          <w:sz w:val="18"/>
          <w:szCs w:val="18"/>
          <w:color w:val="auto"/>
        </w:rPr>
        <w:t>obefazimod will result in a decrease in cash flows generated by sales of the product, which could have an</w:t>
      </w:r>
    </w:p>
    <w:p>
      <w:pPr>
        <w:sectPr>
          <w:pgSz w:w="11900" w:h="16924" w:orient="portrait"/>
          <w:cols w:equalWidth="0" w:num="1">
            <w:col w:w="9019"/>
          </w:cols>
          <w:pgMar w:left="1440" w:top="850" w:right="1440" w:bottom="0" w:gutter="0" w:footer="0" w:header="0"/>
        </w:sectPr>
      </w:pPr>
    </w:p>
    <w:bookmarkStart w:id="8" w:name="page9"/>
    <w:bookmarkEnd w:id="8"/>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unfavorable impact on our financial position, particularly at the beginning of the commercialization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7339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net losses we incur may fluctuate significantly from quarter-to-quarter and year-to-year, such that a</w:t>
      </w:r>
    </w:p>
    <w:p>
      <w:pPr>
        <w:spacing w:after="0" w:line="2" w:lineRule="exact"/>
        <w:rPr>
          <w:sz w:val="20"/>
          <w:szCs w:val="20"/>
          <w:color w:val="auto"/>
        </w:rPr>
      </w:pPr>
    </w:p>
    <w:p>
      <w:pPr>
        <w:ind w:left="300" w:right="399"/>
        <w:spacing w:after="0" w:line="208" w:lineRule="auto"/>
        <w:rPr>
          <w:sz w:val="20"/>
          <w:szCs w:val="20"/>
          <w:color w:val="auto"/>
        </w:rPr>
      </w:pPr>
      <w:r>
        <w:rPr>
          <w:rFonts w:ascii="Times New Roman" w:cs="Times New Roman" w:eastAsia="Times New Roman" w:hAnsi="Times New Roman"/>
          <w:sz w:val="18"/>
          <w:szCs w:val="18"/>
          <w:color w:val="auto"/>
        </w:rPr>
        <w:t>period-to-period comparison of our results of operations may not be a good indication of our future performance. In any particular period or periods, our operating results could be below the expectations of securities analysts or investors, which could cause the price of the ordinary shares (which may be in the form of ADSs) to decline. An</w:t>
      </w:r>
    </w:p>
    <w:p>
      <w:pPr>
        <w:spacing w:after="0" w:line="2" w:lineRule="exact"/>
        <w:rPr>
          <w:sz w:val="20"/>
          <w:szCs w:val="20"/>
          <w:color w:val="auto"/>
        </w:rPr>
      </w:pPr>
    </w:p>
    <w:p>
      <w:pPr>
        <w:ind w:left="300" w:right="759"/>
        <w:spacing w:after="0" w:line="226" w:lineRule="auto"/>
        <w:rPr>
          <w:sz w:val="20"/>
          <w:szCs w:val="20"/>
          <w:color w:val="auto"/>
        </w:rPr>
      </w:pPr>
      <w:r>
        <w:rPr>
          <w:rFonts w:ascii="Times New Roman" w:cs="Times New Roman" w:eastAsia="Times New Roman" w:hAnsi="Times New Roman"/>
          <w:sz w:val="18"/>
          <w:szCs w:val="18"/>
          <w:color w:val="auto"/>
        </w:rPr>
        <w:t>increase in operational losses would have a material adverse effect on our business, financial position, income, growth and outlook.</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are material weaknesses in our internal controls over financial reporting and if we are unable to maintain</w:t>
      </w:r>
    </w:p>
    <w:p>
      <w:pPr>
        <w:spacing w:after="0" w:line="6"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effective internal controls over financial reporting, the accuracy and timeliness of our financial reporting may be adversely affected, which could adversely affect our business, investor confidence and the market price of our securities.</w:t>
      </w:r>
    </w:p>
    <w:p>
      <w:pPr>
        <w:spacing w:after="0" w:line="64" w:lineRule="exact"/>
        <w:rPr>
          <w:sz w:val="20"/>
          <w:szCs w:val="20"/>
          <w:color w:val="auto"/>
        </w:rPr>
      </w:pPr>
    </w:p>
    <w:p>
      <w:pPr>
        <w:ind w:left="300" w:right="519" w:firstLine="441"/>
        <w:spacing w:after="0" w:line="229" w:lineRule="auto"/>
        <w:rPr>
          <w:sz w:val="20"/>
          <w:szCs w:val="20"/>
          <w:color w:val="auto"/>
        </w:rPr>
      </w:pPr>
      <w:r>
        <w:rPr>
          <w:rFonts w:ascii="Times New Roman" w:cs="Times New Roman" w:eastAsia="Times New Roman" w:hAnsi="Times New Roman"/>
          <w:sz w:val="17"/>
          <w:szCs w:val="17"/>
          <w:color w:val="auto"/>
        </w:rPr>
        <w:t>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w:t>
      </w: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w:t>
      </w:r>
    </w:p>
    <w:p>
      <w:pPr>
        <w:spacing w:after="0" w:line="2" w:lineRule="exact"/>
        <w:rPr>
          <w:sz w:val="20"/>
          <w:szCs w:val="20"/>
          <w:color w:val="auto"/>
        </w:rPr>
      </w:pPr>
    </w:p>
    <w:p>
      <w:pPr>
        <w:ind w:left="300" w:right="439"/>
        <w:spacing w:after="0" w:line="208" w:lineRule="auto"/>
        <w:rPr>
          <w:sz w:val="20"/>
          <w:szCs w:val="20"/>
          <w:color w:val="auto"/>
        </w:rPr>
      </w:pPr>
      <w:r>
        <w:rPr>
          <w:rFonts w:ascii="Times New Roman" w:cs="Times New Roman" w:eastAsia="Times New Roman" w:hAnsi="Times New Roman"/>
          <w:sz w:val="18"/>
          <w:szCs w:val="18"/>
          <w:color w:val="auto"/>
        </w:rPr>
        <w:t>company's transactions and dispositions of the company's assets; provide reasonable assurance that transactions are recorded as necessary to permit preparation of financial statements in accordance with generally accepted accounting principles, and that receipts and expenditures of the company are being made only in accordance with</w:t>
      </w:r>
    </w:p>
    <w:p>
      <w:pPr>
        <w:spacing w:after="0" w:line="2" w:lineRule="exact"/>
        <w:rPr>
          <w:sz w:val="20"/>
          <w:szCs w:val="20"/>
          <w:color w:val="auto"/>
        </w:rPr>
      </w:pP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authorizations of management and directors of the company; and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is not</w:t>
      </w:r>
    </w:p>
    <w:p>
      <w:pPr>
        <w:spacing w:after="0" w:line="2" w:lineRule="exact"/>
        <w:rPr>
          <w:sz w:val="20"/>
          <w:szCs w:val="20"/>
          <w:color w:val="auto"/>
        </w:rPr>
      </w:pPr>
    </w:p>
    <w:p>
      <w:pPr>
        <w:ind w:left="300" w:right="879"/>
        <w:spacing w:after="0" w:line="226" w:lineRule="auto"/>
        <w:rPr>
          <w:sz w:val="20"/>
          <w:szCs w:val="20"/>
          <w:color w:val="auto"/>
        </w:rPr>
      </w:pPr>
      <w:r>
        <w:rPr>
          <w:rFonts w:ascii="Times New Roman" w:cs="Times New Roman" w:eastAsia="Times New Roman" w:hAnsi="Times New Roman"/>
          <w:sz w:val="18"/>
          <w:szCs w:val="18"/>
          <w:color w:val="auto"/>
        </w:rPr>
        <w:t>intended to provide absolute assurance that a misstatement of our financial statements would be prevented or detected.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must maintain effective internal controls over financial reporting in order to accurately and timely report</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our results of operations and financial condition. In addition, as a public company listed in the United States, the Sarbanes-Oxley Act requires, among other things, that we assess the effectiveness of our internal controls over financial reporting at the end of each fiscal year. However, our independent registered public accounting firm will</w:t>
      </w:r>
    </w:p>
    <w:p>
      <w:pPr>
        <w:spacing w:after="0" w:line="2" w:lineRule="exact"/>
        <w:rPr>
          <w:sz w:val="20"/>
          <w:szCs w:val="20"/>
          <w:color w:val="auto"/>
        </w:rPr>
      </w:pPr>
    </w:p>
    <w:p>
      <w:pPr>
        <w:jc w:val="both"/>
        <w:ind w:left="300" w:right="379"/>
        <w:spacing w:after="0" w:line="220" w:lineRule="auto"/>
        <w:rPr>
          <w:sz w:val="20"/>
          <w:szCs w:val="20"/>
          <w:color w:val="auto"/>
        </w:rPr>
      </w:pPr>
      <w:r>
        <w:rPr>
          <w:rFonts w:ascii="Times New Roman" w:cs="Times New Roman" w:eastAsia="Times New Roman" w:hAnsi="Times New Roman"/>
          <w:sz w:val="17"/>
          <w:szCs w:val="17"/>
          <w:color w:val="auto"/>
        </w:rPr>
        <w:t>not be required to attest to the effectiveness of our internal controls over financial reporting for so long as we are an “emerging growth company,” which may be up to five fiscal years following our initial public offering of our ADSs in the United States. An independent assessment of the effectiveness of our internal controls could detect problems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our management’s assessment might not.</w:t>
      </w:r>
    </w:p>
    <w:p>
      <w:pPr>
        <w:spacing w:after="0" w:line="57" w:lineRule="exact"/>
        <w:rPr>
          <w:sz w:val="20"/>
          <w:szCs w:val="20"/>
          <w:color w:val="auto"/>
        </w:rPr>
      </w:pPr>
    </w:p>
    <w:p>
      <w:pPr>
        <w:ind w:left="300" w:right="619" w:firstLine="441"/>
        <w:spacing w:after="0" w:line="222" w:lineRule="auto"/>
        <w:rPr>
          <w:sz w:val="20"/>
          <w:szCs w:val="20"/>
          <w:color w:val="auto"/>
        </w:rPr>
      </w:pPr>
      <w:r>
        <w:rPr>
          <w:rFonts w:ascii="Times New Roman" w:cs="Times New Roman" w:eastAsia="Times New Roman" w:hAnsi="Times New Roman"/>
          <w:sz w:val="18"/>
          <w:szCs w:val="18"/>
          <w:color w:val="auto"/>
        </w:rPr>
        <w:t>Our independent registered public accounting firm has not conducted an audit of our internal controls over financial reporting. As previously disclosed in our Form 20-F for the period ended December 31, 2023 and</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originally in our Form F-1, management identified material weaknesses in our internal controls over financial reporting. These material weaknesses continue to exist as of December 31, 2025. The material weaknesses identified in December 31, 2025 are related to a lack of (i) design and implementation of effective risk assessment process</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(Risk Assessment), (ii) formal, documented and implemented processes, controls and review procedures (Control Activities), (iii) sufficient processes to identify, capture and communicate information necessary to support the functioning of internal controls over financial reporting (Information and Communication) and (iv) process to</w:t>
      </w:r>
    </w:p>
    <w:p>
      <w:pPr>
        <w:spacing w:after="0" w:line="2" w:lineRule="exact"/>
        <w:rPr>
          <w:sz w:val="20"/>
          <w:szCs w:val="20"/>
          <w:color w:val="auto"/>
        </w:rPr>
      </w:pP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identify, maintain, and develop all control activities (Monitoring Activities). These material weaknesses are specifically due to a lack of sufficient number of professionals with an appropriate level of internal control knowledge, training and experience and the need to continue to reinforce our internal control governance (Control</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Environment).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timely basis.</w:t>
      </w:r>
    </w:p>
    <w:p>
      <w:pPr>
        <w:spacing w:after="0" w:line="57" w:lineRule="exact"/>
        <w:rPr>
          <w:sz w:val="20"/>
          <w:szCs w:val="20"/>
          <w:color w:val="auto"/>
        </w:rPr>
      </w:pPr>
    </w:p>
    <w:p>
      <w:pPr>
        <w:ind w:left="300" w:right="599" w:firstLine="441"/>
        <w:spacing w:after="0" w:line="222" w:lineRule="auto"/>
        <w:rPr>
          <w:sz w:val="20"/>
          <w:szCs w:val="20"/>
          <w:color w:val="auto"/>
        </w:rPr>
      </w:pPr>
      <w:r>
        <w:rPr>
          <w:rFonts w:ascii="Times New Roman" w:cs="Times New Roman" w:eastAsia="Times New Roman" w:hAnsi="Times New Roman"/>
          <w:sz w:val="18"/>
          <w:szCs w:val="18"/>
          <w:color w:val="auto"/>
        </w:rPr>
        <w:t>We have developed a remediation plan to address these material weaknesses and strengthen our controls in these areas. In this regard, we have reorganized our finance and accounting function by hiring additional</w:t>
      </w:r>
    </w:p>
    <w:p>
      <w:pPr>
        <w:spacing w:after="0" w:line="2" w:lineRule="exact"/>
        <w:rPr>
          <w:sz w:val="20"/>
          <w:szCs w:val="20"/>
          <w:color w:val="auto"/>
        </w:rPr>
      </w:pPr>
    </w:p>
    <w:p>
      <w:pPr>
        <w:jc w:val="both"/>
        <w:ind w:left="300" w:right="319"/>
        <w:spacing w:after="0" w:line="231" w:lineRule="auto"/>
        <w:rPr>
          <w:sz w:val="20"/>
          <w:szCs w:val="20"/>
          <w:color w:val="auto"/>
        </w:rPr>
      </w:pPr>
      <w:r>
        <w:rPr>
          <w:rFonts w:ascii="Times New Roman" w:cs="Times New Roman" w:eastAsia="Times New Roman" w:hAnsi="Times New Roman"/>
          <w:sz w:val="17"/>
          <w:szCs w:val="17"/>
          <w:color w:val="auto"/>
        </w:rPr>
        <w:t>experienced employees to provide more review and oversight over our financial processes. While we are working to remediate the material weaknesses as quickly and efficiently as possible, we cannot at this time provide the expected timeline in connection with implementing our remediation. As of December 31, 2025, we had not fully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093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spacing w:after="0" w:line="236" w:lineRule="auto"/>
        <w:rPr>
          <w:sz w:val="20"/>
          <w:szCs w:val="20"/>
          <w:color w:val="auto"/>
        </w:rPr>
      </w:pPr>
      <w:r>
        <w:rPr>
          <w:rFonts w:ascii="Times New Roman" w:cs="Times New Roman" w:eastAsia="Times New Roman" w:hAnsi="Times New Roman"/>
          <w:sz w:val="17"/>
          <w:szCs w:val="17"/>
          <w:color w:val="auto"/>
        </w:rPr>
        <w:t>the remediation of these material weaknesses. These remediation measures may be time-consuming and costly and might place significant demands on our financial and operational resources. There is no assurance that the actions</w:t>
      </w: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we may take in the future will be sufficient to remediate the control deficiencies that led to these material weaknesses in our internal control over financial reporting or that they will prevent or avoid potential future material weaknesses.</w:t>
      </w:r>
    </w:p>
    <w:p>
      <w:pPr>
        <w:spacing w:after="0" w:line="6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The rules governing the standards that will have to be met for our management to assess our internal controls over financial reporting pursuant to Section 404 of the Sarbanes-Oxley Act are complex and require significant documentation, testing and possible remediation. These stringent standards require that our audit committee be</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advised and regularly updated on management’s review of internal controls over financial reporting. Designing, implementing, and testing internal controls over financial reporting required to comply with this obligation is time-consuming, costly, and complicated. Our management may not be able to effectively and timely implement controls</w:t>
      </w:r>
    </w:p>
    <w:p>
      <w:pPr>
        <w:spacing w:after="0" w:line="2" w:lineRule="exact"/>
        <w:rPr>
          <w:sz w:val="20"/>
          <w:szCs w:val="20"/>
          <w:color w:val="auto"/>
        </w:rPr>
      </w:pPr>
    </w:p>
    <w:p>
      <w:pPr>
        <w:ind w:left="300" w:right="479"/>
        <w:spacing w:after="0" w:line="208" w:lineRule="auto"/>
        <w:rPr>
          <w:sz w:val="20"/>
          <w:szCs w:val="20"/>
          <w:color w:val="auto"/>
        </w:rPr>
      </w:pPr>
      <w:r>
        <w:rPr>
          <w:rFonts w:ascii="Times New Roman" w:cs="Times New Roman" w:eastAsia="Times New Roman" w:hAnsi="Times New Roman"/>
          <w:sz w:val="18"/>
          <w:szCs w:val="18"/>
          <w:color w:val="auto"/>
        </w:rPr>
        <w:t>and procedures that adequately respond to the increased regulatory compliance and reporting requirements that are applicable to us as a public company listed in the United States. If we fail to staff our accounting and finance function adequately or maintain internal controls over financial reporting adequate to meet the demands that are</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placed upon us as a public company listed in the United States, our business and reputation may be harmed and the price of our ordinary shares and ADSs may decline. In addition, undetected material weaknesses in our internal controls over financial reporting could lead to restatements of financial statements and require us to incur the</w:t>
      </w:r>
    </w:p>
    <w:p>
      <w:pPr>
        <w:spacing w:after="0" w:line="2" w:lineRule="exact"/>
        <w:rPr>
          <w:sz w:val="20"/>
          <w:szCs w:val="20"/>
          <w:color w:val="auto"/>
        </w:rPr>
      </w:pPr>
    </w:p>
    <w:p>
      <w:pPr>
        <w:ind w:left="300" w:right="839"/>
        <w:spacing w:after="0" w:line="226" w:lineRule="auto"/>
        <w:rPr>
          <w:sz w:val="20"/>
          <w:szCs w:val="20"/>
          <w:color w:val="auto"/>
        </w:rPr>
      </w:pPr>
      <w:r>
        <w:rPr>
          <w:rFonts w:ascii="Times New Roman" w:cs="Times New Roman" w:eastAsia="Times New Roman" w:hAnsi="Times New Roman"/>
          <w:sz w:val="18"/>
          <w:szCs w:val="18"/>
          <w:color w:val="auto"/>
        </w:rPr>
        <w:t>expense of remediation. Any of these developments could result in investor perceptions of us being adversely affected, which could cause a decline in the market price of our securities.</w:t>
      </w:r>
    </w:p>
    <w:p>
      <w:pPr>
        <w:sectPr>
          <w:pgSz w:w="11900" w:h="16891" w:orient="portrait"/>
          <w:cols w:equalWidth="0" w:num="1">
            <w:col w:w="9019"/>
          </w:cols>
          <w:pgMar w:left="1440" w:top="108" w:right="1440" w:bottom="0" w:gutter="0" w:footer="0" w:header="0"/>
        </w:sectPr>
      </w:pPr>
    </w:p>
    <w:bookmarkStart w:id="9" w:name="page10"/>
    <w:bookmarkEnd w:id="9"/>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968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w:t>
      </w:r>
    </w:p>
    <w:p>
      <w:pPr>
        <w:spacing w:after="0" w:line="2" w:lineRule="exact"/>
        <w:rPr>
          <w:sz w:val="20"/>
          <w:szCs w:val="20"/>
          <w:color w:val="auto"/>
        </w:rPr>
      </w:pPr>
    </w:p>
    <w:p>
      <w:pPr>
        <w:jc w:val="both"/>
        <w:ind w:left="300" w:right="659"/>
        <w:spacing w:after="0" w:line="218" w:lineRule="auto"/>
        <w:rPr>
          <w:sz w:val="20"/>
          <w:szCs w:val="20"/>
          <w:color w:val="auto"/>
        </w:rPr>
      </w:pPr>
      <w:r>
        <w:rPr>
          <w:rFonts w:ascii="Times New Roman" w:cs="Times New Roman" w:eastAsia="Times New Roman" w:hAnsi="Times New Roman"/>
          <w:sz w:val="18"/>
          <w:szCs w:val="18"/>
          <w:color w:val="auto"/>
        </w:rPr>
        <w:t>reporting. Our growth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w:t>
      </w:r>
    </w:p>
    <w:p>
      <w:pPr>
        <w:spacing w:after="0" w:line="60" w:lineRule="exact"/>
        <w:rPr>
          <w:sz w:val="20"/>
          <w:szCs w:val="20"/>
          <w:color w:val="auto"/>
        </w:rPr>
      </w:pPr>
    </w:p>
    <w:p>
      <w:pPr>
        <w:ind w:left="300" w:right="1019" w:firstLine="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Significant impairment of our goodwill could materially impact our financial position and results of our operations.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carry a goodwill amount of €18.4 million on our balance sheet as a result of past business acquisitions</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with respect to obefazimod. We are required to review our goodwill for impairment on an annual basis or more frequently if events or changes in circumstances indicate evidence of impairment. We did not record any goodwill impairment loss for the years ended December 31, 2025, 2024 or 2023, as we have not identified reasons to impair</w:t>
      </w:r>
    </w:p>
    <w:p>
      <w:pPr>
        <w:spacing w:after="0" w:line="2" w:lineRule="exact"/>
        <w:rPr>
          <w:sz w:val="20"/>
          <w:szCs w:val="20"/>
          <w:color w:val="auto"/>
        </w:rPr>
      </w:pPr>
    </w:p>
    <w:p>
      <w:pPr>
        <w:ind w:left="300" w:right="379"/>
        <w:spacing w:after="0" w:line="218" w:lineRule="auto"/>
        <w:rPr>
          <w:sz w:val="20"/>
          <w:szCs w:val="20"/>
          <w:color w:val="auto"/>
        </w:rPr>
      </w:pPr>
      <w:r>
        <w:rPr>
          <w:rFonts w:ascii="Times New Roman" w:cs="Times New Roman" w:eastAsia="Times New Roman" w:hAnsi="Times New Roman"/>
          <w:sz w:val="18"/>
          <w:szCs w:val="18"/>
          <w:color w:val="auto"/>
        </w:rPr>
        <w:t>the goodwill related to obefazimod. However, there can be no assurance that, based on the results of our annual goodwill impairment tests, we will not be required to identify further goodwill impairment losses, which could have a material adverse effect on our results of operations.</w:t>
      </w:r>
    </w:p>
    <w:p>
      <w:pPr>
        <w:spacing w:after="0" w:line="60" w:lineRule="exact"/>
        <w:rPr>
          <w:sz w:val="20"/>
          <w:szCs w:val="20"/>
          <w:color w:val="auto"/>
        </w:rPr>
      </w:pPr>
    </w:p>
    <w:p>
      <w:pPr>
        <w:ind w:left="300" w:right="63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Current equity agreements and convertible debt instruments may dilute our equity resulting in dilution to our shareholders.</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Since our incorporation, we have issued and granted founder’s share warrants (BCE) and share warrants</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(BSA) and granted free shares (AGA) to persons linked to us and financing entities. We have also issued convertible bonds. See "Item 5.B—Liquidity and Capital Resources."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theoretical exercise or vesting of all the founder’s share warrants (BCE), share warrants (BSA) and free</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shares (AGA) issued and outstanding as of December 31, 2025, excluding securities held by financing entities, would result in the issuance of 8,857,084 potential new ordinary shares, resulting in a hypothetical dilution equal to 11.3 % based on our outstanding share capital as of December 31, 2025.</w:t>
      </w:r>
    </w:p>
    <w:p>
      <w:pPr>
        <w:spacing w:after="0" w:line="64" w:lineRule="exact"/>
        <w:rPr>
          <w:sz w:val="20"/>
          <w:szCs w:val="20"/>
          <w:color w:val="auto"/>
        </w:rPr>
      </w:pPr>
    </w:p>
    <w:p>
      <w:pPr>
        <w:ind w:left="300" w:right="539" w:firstLine="441"/>
        <w:spacing w:after="0" w:line="226" w:lineRule="auto"/>
        <w:rPr>
          <w:sz w:val="20"/>
          <w:szCs w:val="20"/>
          <w:color w:val="auto"/>
        </w:rPr>
      </w:pPr>
      <w:r>
        <w:rPr>
          <w:rFonts w:ascii="Times New Roman" w:cs="Times New Roman" w:eastAsia="Times New Roman" w:hAnsi="Times New Roman"/>
          <w:sz w:val="18"/>
          <w:szCs w:val="18"/>
          <w:color w:val="auto"/>
        </w:rPr>
        <w:t>Our general meeting of June 6, 2025 delegated authority to the board of directors (the “Board”) to carry out one or more capital increases and/or issues of securities giving access to our capital subject to the following limitations:</w:t>
      </w:r>
    </w:p>
    <w:p>
      <w:pPr>
        <w:spacing w:after="0" w:line="63" w:lineRule="exact"/>
        <w:rPr>
          <w:sz w:val="20"/>
          <w:szCs w:val="20"/>
          <w:color w:val="auto"/>
        </w:rPr>
      </w:pPr>
    </w:p>
    <w:p>
      <w:pPr>
        <w:ind w:left="1280" w:right="379" w:hanging="328"/>
        <w:spacing w:after="0" w:line="224"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maximum nominal amount of the capital increases set at €250,000 (or the equivalent value of that amount in the event of an issue in another currency) with a total maximum nominal amount of the debt securities that may be issued set at €150,000,000 (or the equivalent value of that amount in the event of an issue in another currency); and</w:t>
      </w:r>
    </w:p>
    <w:p>
      <w:pPr>
        <w:spacing w:after="0" w:line="50" w:lineRule="exact"/>
        <w:rPr>
          <w:rFonts w:ascii="Times New Roman" w:cs="Times New Roman" w:eastAsia="Times New Roman" w:hAnsi="Times New Roman"/>
          <w:sz w:val="18"/>
          <w:szCs w:val="18"/>
          <w:color w:val="auto"/>
        </w:rPr>
      </w:pPr>
    </w:p>
    <w:p>
      <w:pPr>
        <w:ind w:left="1280" w:right="319" w:hanging="328"/>
        <w:spacing w:after="0" w:line="224"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that may be issued or allotted in the context of equity incentive plans (share warrants (BSA), share options and/or free shares (AGA)) may not exceed 10% of the share capital on a fully diluted basis recorded as of June 6, 2025. As of December 31, 2025, our equity incentive plans were 9.2% of our share capital on a fully diluted basis.</w:t>
      </w:r>
    </w:p>
    <w:p>
      <w:pPr>
        <w:spacing w:after="0" w:line="47" w:lineRule="exact"/>
        <w:rPr>
          <w:sz w:val="20"/>
          <w:szCs w:val="20"/>
          <w:color w:val="auto"/>
        </w:rPr>
      </w:pPr>
    </w:p>
    <w:p>
      <w:pPr>
        <w:ind w:left="300" w:right="5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certain tax benefits applicable to French biopharmaceutical companies may adversely affect our operations and finances.</w:t>
      </w:r>
    </w:p>
    <w:p>
      <w:pPr>
        <w:spacing w:after="0" w:line="37" w:lineRule="exact"/>
        <w:rPr>
          <w:sz w:val="20"/>
          <w:szCs w:val="20"/>
          <w:color w:val="auto"/>
        </w:rPr>
      </w:pPr>
    </w:p>
    <w:p>
      <w:pPr>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As a French biopharmaceutical company, we have benefited from certain tax advantages, including, for example, the Research and Development Tax Credit (</w:t>
      </w:r>
      <w:r>
        <w:rPr>
          <w:rFonts w:ascii="Times New Roman" w:cs="Times New Roman" w:eastAsia="Times New Roman" w:hAnsi="Times New Roman"/>
          <w:sz w:val="17"/>
          <w:szCs w:val="17"/>
          <w:i w:val="1"/>
          <w:iCs w:val="1"/>
          <w:color w:val="auto"/>
        </w:rPr>
        <w:t>crédit impôt recherche</w:t>
      </w:r>
      <w:r>
        <w:rPr>
          <w:rFonts w:ascii="Times New Roman" w:cs="Times New Roman" w:eastAsia="Times New Roman" w:hAnsi="Times New Roman"/>
          <w:sz w:val="17"/>
          <w:szCs w:val="17"/>
          <w:color w:val="auto"/>
        </w:rPr>
        <w:t>) (“CIR”), which is a French tax credit</w:t>
      </w:r>
    </w:p>
    <w:p>
      <w:pPr>
        <w:ind w:left="300"/>
        <w:spacing w:after="0"/>
        <w:rPr>
          <w:sz w:val="20"/>
          <w:szCs w:val="20"/>
          <w:color w:val="auto"/>
        </w:rPr>
      </w:pPr>
      <w:r>
        <w:rPr>
          <w:rFonts w:ascii="Times New Roman" w:cs="Times New Roman" w:eastAsia="Times New Roman" w:hAnsi="Times New Roman"/>
          <w:sz w:val="18"/>
          <w:szCs w:val="18"/>
          <w:color w:val="auto"/>
        </w:rPr>
        <w:t>aimed at stimulating research and development. CIR can be offset against French corporate income tax due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465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99"/>
        <w:spacing w:after="0" w:line="236" w:lineRule="auto"/>
        <w:rPr>
          <w:sz w:val="20"/>
          <w:szCs w:val="20"/>
          <w:color w:val="auto"/>
        </w:rPr>
      </w:pPr>
      <w:r>
        <w:rPr>
          <w:rFonts w:ascii="Times New Roman" w:cs="Times New Roman" w:eastAsia="Times New Roman" w:hAnsi="Times New Roman"/>
          <w:sz w:val="17"/>
          <w:szCs w:val="17"/>
          <w:color w:val="auto"/>
        </w:rPr>
        <w:t>portion in excess, if any, may be refunded. CIR is calculated based on our claimed amount of eligible research and development expenditures in France and represents €3.1 million for 2025. The French tax authorities, with the</w:t>
      </w: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assistance of the Higher Education and Research Ministry, may audit each research and development program in respect of which a CIR benefit has been claimed and assess whether such program qualifies in its view for the CIR benefit. The French tax authorities may challenge our eligibility for, or our calculation of, certain tax reductions or</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deductions in respect of our research and development activities and, should the French tax authorities be successful, our credits may be reduced, which would have a negative impact on our results of operations and future cash flows. Furthermore, the French Parliament may decide to eliminate, or to reduce the scope or the rate of, the CIR benefit,</w:t>
      </w:r>
    </w:p>
    <w:p>
      <w:pPr>
        <w:spacing w:after="0" w:line="2" w:lineRule="exact"/>
        <w:rPr>
          <w:sz w:val="20"/>
          <w:szCs w:val="20"/>
          <w:color w:val="auto"/>
        </w:rPr>
      </w:pP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either of which it could decide to do at any time. If we fail to receive future CIR amounts, our business, prospects, financial condition, cash flows or results of operations could be adversely affected.</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carry forward existing tax losses.</w:t>
      </w:r>
    </w:p>
    <w:p>
      <w:pPr>
        <w:spacing w:after="0" w:line="94"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As of December 31, 2025, we carried forward accumulated tax losses of €912.9 million. In 2014, we acquired the companies Splicos, Wittycell and Zophis by means of a universal transfer of assets and liabilities. The tax losses carried forward of the three companies combined (Splicos, Wittycell and Zophis) amounted to €26.0 million on the</w:t>
      </w:r>
    </w:p>
    <w:p>
      <w:pPr>
        <w:jc w:val="both"/>
        <w:ind w:left="300" w:right="439"/>
        <w:spacing w:after="0" w:line="220" w:lineRule="auto"/>
        <w:rPr>
          <w:sz w:val="20"/>
          <w:szCs w:val="20"/>
          <w:color w:val="auto"/>
        </w:rPr>
      </w:pPr>
      <w:r>
        <w:rPr>
          <w:rFonts w:ascii="Times New Roman" w:cs="Times New Roman" w:eastAsia="Times New Roman" w:hAnsi="Times New Roman"/>
          <w:sz w:val="17"/>
          <w:szCs w:val="17"/>
          <w:color w:val="auto"/>
        </w:rPr>
        <w:t>date of the mergers and transfer of remaining assets. The transfer to us of these losses was subject to a post-merger approval by the French tax authorities, which approved the transfer of a total amount of €22.5 million of tax losses. To the extent we have continued conducting the business that led to these losses for a minimum period of three</w:t>
      </w:r>
    </w:p>
    <w:p>
      <w:pPr>
        <w:spacing w:after="0" w:line="2" w:lineRule="exact"/>
        <w:rPr>
          <w:sz w:val="20"/>
          <w:szCs w:val="20"/>
          <w:color w:val="auto"/>
        </w:rPr>
      </w:pPr>
    </w:p>
    <w:p>
      <w:pPr>
        <w:jc w:val="both"/>
        <w:ind w:left="300" w:right="439"/>
        <w:spacing w:after="0" w:line="220" w:lineRule="auto"/>
        <w:rPr>
          <w:sz w:val="20"/>
          <w:szCs w:val="20"/>
          <w:color w:val="auto"/>
        </w:rPr>
      </w:pPr>
      <w:r>
        <w:rPr>
          <w:rFonts w:ascii="Times New Roman" w:cs="Times New Roman" w:eastAsia="Times New Roman" w:hAnsi="Times New Roman"/>
          <w:sz w:val="17"/>
          <w:szCs w:val="17"/>
          <w:color w:val="auto"/>
        </w:rPr>
        <w:t>years, without making significant changes during this period, the transfer of such tax losses should be definitive. In France, the maximum amount of carried forward tax losses that can be written off against the tax profits of a given financial year is limited to €1 million plus 50% of the amount of taxable profits for the financial year exceeding</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€1 million. The outstanding tax losses remain valid and can be carried forward to be written off against tax profits of subsequent financial years subject to the same limit, for an unlimited period of time (subject to any “significant change of activity” at our level). It cannot be ruled out that regulatory or legislative changes in corporate taxation</w:t>
      </w:r>
    </w:p>
    <w:p>
      <w:pPr>
        <w:spacing w:after="0" w:line="2" w:lineRule="exact"/>
        <w:rPr>
          <w:sz w:val="20"/>
          <w:szCs w:val="20"/>
          <w:color w:val="auto"/>
        </w:rPr>
      </w:pPr>
    </w:p>
    <w:p>
      <w:pPr>
        <w:jc w:val="both"/>
        <w:ind w:left="300" w:right="419"/>
        <w:spacing w:after="0" w:line="218" w:lineRule="auto"/>
        <w:rPr>
          <w:sz w:val="20"/>
          <w:szCs w:val="20"/>
          <w:color w:val="auto"/>
        </w:rPr>
      </w:pPr>
      <w:r>
        <w:rPr>
          <w:rFonts w:ascii="Times New Roman" w:cs="Times New Roman" w:eastAsia="Times New Roman" w:hAnsi="Times New Roman"/>
          <w:sz w:val="18"/>
          <w:szCs w:val="18"/>
          <w:color w:val="auto"/>
        </w:rPr>
        <w:t>may suppress or limit all or part of the ability to use carried forward tax losses, or limit how long they can be used, to offset future profits. Changes in corporate taxation regarding the use of carried forward tax losses to offset future tax profits could have a material adverse effect on our financial position and results of operations.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ectPr>
          <w:pgSz w:w="11900" w:h="16848" w:orient="portrait"/>
          <w:cols w:equalWidth="0" w:num="1">
            <w:col w:w="9019"/>
          </w:cols>
          <w:pgMar w:left="1440" w:top="162" w:right="1440" w:bottom="0" w:gutter="0" w:footer="0" w:header="0"/>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Drug candidates under development must undergo costly, rigorous and highly regulated preclinical studies and</w:t>
      </w:r>
    </w:p>
    <w:p>
      <w:pPr>
        <w:sectPr>
          <w:pgSz w:w="11900" w:h="16848" w:orient="portrait"/>
          <w:cols w:equalWidth="0" w:num="1">
            <w:col w:w="9019"/>
          </w:cols>
          <w:pgMar w:left="1440" w:top="162" w:right="1440" w:bottom="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whose time of completion, number and outcomes are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-107950</wp:posOffset>
            </wp:positionV>
            <wp:extent cx="701611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line="20"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The development of a drug candidate is a long and expensive process with an uncertain outcome, progressing in several phases, where the objective is to demonstrate the therapeutic benefit provided by the drug candidate for one or more indications. Any failure during the various preclinical and clinical phases for a given indication could</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delay development, production and commercialization of the therapeutic product concerned or even lead to discontinuing its development. Identifying and developing potential drug candidates is a time-consuming, expensive and uncertain process that takes years to complete, and we may never generate the data or results required to obtain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regulatory approval and achieve commercialization.</w:t>
      </w:r>
    </w:p>
    <w:p>
      <w:pPr>
        <w:spacing w:after="0" w:line="57"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During clinical trials, we may encounter difficulties determining and recruiting patients with the appropriate profile as well as other enrollment issues, which could delay our clinical trials. This profile could also vary</w:t>
      </w:r>
    </w:p>
    <w:p>
      <w:pPr>
        <w:ind w:left="300" w:right="999"/>
        <w:spacing w:after="0" w:line="226" w:lineRule="auto"/>
        <w:rPr>
          <w:sz w:val="20"/>
          <w:szCs w:val="20"/>
          <w:color w:val="auto"/>
        </w:rPr>
      </w:pPr>
      <w:r>
        <w:rPr>
          <w:rFonts w:ascii="Times New Roman" w:cs="Times New Roman" w:eastAsia="Times New Roman" w:hAnsi="Times New Roman"/>
          <w:sz w:val="18"/>
          <w:szCs w:val="18"/>
          <w:color w:val="auto"/>
        </w:rPr>
        <w:t>depending on the different phases of these clinical trials. Patients might then not be recruited according to a timetable compatible with our financial resources which may result in a harm to our operating results.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At each phase of clinical development, we must ask for authorization or absence of opposition from the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relevant authorities of various countries, according to our development plan, to conduct clinical trials and then present the results of the clinical trials to these authorities. The authorities may issue negative opinion, refuse to provide the authorizations necessary for clinical trials or have additional requirements (for example, relating to study</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protocols, patient characteristics, treatment durations, post-treatment follow-up, or certain differences in interpreting results between local regulatory agencies), and in some cases may require additional studies. Any negative opinion, refusal or decision by health authorities to require additional trials or examinations would be likely to result in the</w:t>
      </w:r>
    </w:p>
    <w:p>
      <w:pPr>
        <w:spacing w:after="0" w:line="2" w:lineRule="exact"/>
        <w:rPr>
          <w:sz w:val="20"/>
          <w:szCs w:val="20"/>
          <w:color w:val="auto"/>
        </w:rPr>
      </w:pPr>
    </w:p>
    <w:p>
      <w:pPr>
        <w:ind w:left="300" w:right="979"/>
        <w:spacing w:after="0" w:line="218" w:lineRule="auto"/>
        <w:rPr>
          <w:sz w:val="20"/>
          <w:szCs w:val="20"/>
          <w:color w:val="auto"/>
        </w:rPr>
      </w:pPr>
      <w:r>
        <w:rPr>
          <w:rFonts w:ascii="Times New Roman" w:cs="Times New Roman" w:eastAsia="Times New Roman" w:hAnsi="Times New Roman"/>
          <w:sz w:val="18"/>
          <w:szCs w:val="18"/>
          <w:color w:val="auto"/>
        </w:rPr>
        <w:t>discontinuation or delay of the development of the product candidates concerned. An absence of or delay in therapeutic response could also result in the delay or even discontinuation of the development of our drug candidates.</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We cannot guarantee that the development of our drug candidates will ultimately be successful, especially within time frames compatible with our financial resources or market needs. Any failure or delay in the development of these product candidates would have a material adverse effect on our business, income, financial position and</w:t>
      </w:r>
    </w:p>
    <w:p>
      <w:pPr>
        <w:ind w:left="300"/>
        <w:spacing w:after="0"/>
        <w:rPr>
          <w:sz w:val="20"/>
          <w:szCs w:val="20"/>
          <w:color w:val="auto"/>
        </w:rPr>
      </w:pPr>
      <w:r>
        <w:rPr>
          <w:rFonts w:ascii="Times New Roman" w:cs="Times New Roman" w:eastAsia="Times New Roman" w:hAnsi="Times New Roman"/>
          <w:sz w:val="18"/>
          <w:szCs w:val="18"/>
          <w:color w:val="auto"/>
        </w:rPr>
        <w:t>outlook.</w:t>
      </w:r>
    </w:p>
    <w:p>
      <w:pPr>
        <w:spacing w:after="0" w:line="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are developing drug candidates for inflammatory diseases. To our knowledge, currently there are no</w:t>
      </w:r>
    </w:p>
    <w:p>
      <w:pPr>
        <w:jc w:val="center"/>
        <w:ind w:right="99"/>
        <w:spacing w:after="0" w:line="232" w:lineRule="auto"/>
        <w:rPr>
          <w:sz w:val="20"/>
          <w:szCs w:val="20"/>
          <w:color w:val="auto"/>
        </w:rPr>
      </w:pPr>
      <w:r>
        <w:rPr>
          <w:rFonts w:ascii="Times New Roman" w:cs="Times New Roman" w:eastAsia="Times New Roman" w:hAnsi="Times New Roman"/>
          <w:sz w:val="17"/>
          <w:szCs w:val="17"/>
          <w:color w:val="auto"/>
        </w:rPr>
        <w:t>similar immunological treatments with a mechanism of action based on enhanced expression of a single microRNA</w:t>
      </w:r>
    </w:p>
    <w:p>
      <w:pPr>
        <w:ind w:left="300" w:right="439"/>
        <w:spacing w:after="0" w:line="239" w:lineRule="auto"/>
        <w:rPr>
          <w:sz w:val="20"/>
          <w:szCs w:val="20"/>
          <w:color w:val="auto"/>
        </w:rPr>
      </w:pPr>
      <w:r>
        <w:rPr>
          <w:rFonts w:ascii="Times New Roman" w:cs="Times New Roman" w:eastAsia="Times New Roman" w:hAnsi="Times New Roman"/>
          <w:sz w:val="17"/>
          <w:szCs w:val="17"/>
          <w:color w:val="auto"/>
        </w:rPr>
        <w:t>miR-124 with marketing authorization granted by competent regulatory authorities. As a result, the outlook is uncertain for the development and profitability of obefazimod in the area of inflammatory diseases, its efficacy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836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spacing w:after="0" w:line="236" w:lineRule="auto"/>
        <w:rPr>
          <w:sz w:val="20"/>
          <w:szCs w:val="20"/>
          <w:color w:val="auto"/>
        </w:rPr>
      </w:pPr>
      <w:r>
        <w:rPr>
          <w:rFonts w:ascii="Times New Roman" w:cs="Times New Roman" w:eastAsia="Times New Roman" w:hAnsi="Times New Roman"/>
          <w:sz w:val="17"/>
          <w:szCs w:val="17"/>
          <w:color w:val="auto"/>
        </w:rPr>
        <w:t>acceptance by patients, doctors and paying agencies. Animal testing does not necessarily predict the results that will be obtained in humans. Positive results for obefazimod during Phase 1, Phase 2b or Phase 3 clinical trials or those</w:t>
      </w:r>
    </w:p>
    <w:p>
      <w:pPr>
        <w:jc w:val="both"/>
        <w:ind w:left="300" w:right="319"/>
        <w:spacing w:after="0" w:line="239" w:lineRule="auto"/>
        <w:rPr>
          <w:sz w:val="20"/>
          <w:szCs w:val="20"/>
          <w:color w:val="auto"/>
        </w:rPr>
      </w:pPr>
      <w:r>
        <w:rPr>
          <w:rFonts w:ascii="Times New Roman" w:cs="Times New Roman" w:eastAsia="Times New Roman" w:hAnsi="Times New Roman"/>
          <w:sz w:val="17"/>
          <w:szCs w:val="17"/>
          <w:color w:val="auto"/>
        </w:rPr>
        <w:t>for all the products in the portfolio during their research or preclinical phases might not be confirmed by subsequent phases. Such outcomes could have a material adverse impact on our business, income, financial position and growth.</w:t>
      </w:r>
    </w:p>
    <w:p>
      <w:pPr>
        <w:spacing w:after="0" w:line="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drug candidates, in particular obefazimod, and we cannot be</w:t>
      </w:r>
    </w:p>
    <w:p>
      <w:pPr>
        <w:spacing w:after="0" w:line="6" w:lineRule="exact"/>
        <w:rPr>
          <w:sz w:val="20"/>
          <w:szCs w:val="20"/>
          <w:color w:val="auto"/>
        </w:rPr>
      </w:pPr>
    </w:p>
    <w:p>
      <w:pPr>
        <w:ind w:left="300" w:right="55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certain that obefazimod or any of our other current or future drug candidates will receive regulatory approval, and, without regulatory approval, we will not be able to market our drug candidates.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currently have no drug candidates approved for marketing, and we cannot guarantee that we will ever have</w:t>
      </w:r>
    </w:p>
    <w:p>
      <w:pPr>
        <w:spacing w:after="0" w:line="14"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marketable drug candidates. Our ability to generate revenue related to sales, if any, will in the near future depend entirely on the successful development and regulatory approval of obefazimod. In Europe and the United States, as well as in many other countries, access to the drug market is strictly controlled and marketing must be authorized by</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a regulatory authority. Most of the time, this registration application is filed with a national or federal health authority. However, in the European Union, the application for a marketing authorization (“MA”) must be submitted at the EU-level to the European Medicines Agency (“EMA”) for categories of the most innovative medicinal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products, in order to obtain a centralized marketing authorization valid for all the European Union territory.</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The research, testing, manufacturing, safety, efficacy, labeling, approval, sale, marketing and distribution of our drug candidates are, and will remain, subject to comprehensive and extensive regulation controlled by the EMA</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and European Union Member States national authorities in the European Union, the Food and Drug Administration (“FDA”) in the United States, the Pharmaceuticals and Medical Devices Agency (“PMDA”) in Japan and other regulatory authorities in other countries, with regulations differing from country to country. Subject to limited</w:t>
      </w:r>
    </w:p>
    <w:p>
      <w:pPr>
        <w:spacing w:after="0" w:line="2" w:lineRule="exact"/>
        <w:rPr>
          <w:sz w:val="20"/>
          <w:szCs w:val="20"/>
          <w:color w:val="auto"/>
        </w:rPr>
      </w:pPr>
    </w:p>
    <w:p>
      <w:pPr>
        <w:jc w:val="both"/>
        <w:ind w:left="300" w:right="539"/>
        <w:spacing w:after="0" w:line="220" w:lineRule="auto"/>
        <w:rPr>
          <w:sz w:val="20"/>
          <w:szCs w:val="20"/>
          <w:color w:val="auto"/>
        </w:rPr>
      </w:pPr>
      <w:r>
        <w:rPr>
          <w:rFonts w:ascii="Times New Roman" w:cs="Times New Roman" w:eastAsia="Times New Roman" w:hAnsi="Times New Roman"/>
          <w:sz w:val="17"/>
          <w:szCs w:val="17"/>
          <w:color w:val="auto"/>
        </w:rPr>
        <w:t>exceptions, we are not permitted to market our drug candidates in the European Union, the United States or Japan until we receive a MA from the European Commission following EMA’s opinion or (a) European Union Member State(s) authority(ies) or a new drug application (“NDA”) from the FDA or an approval from the PMDA,</w:t>
      </w:r>
    </w:p>
    <w:p>
      <w:pPr>
        <w:spacing w:after="0" w:line="2" w:lineRule="exact"/>
        <w:rPr>
          <w:sz w:val="20"/>
          <w:szCs w:val="20"/>
          <w:color w:val="auto"/>
        </w:rPr>
      </w:pP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respectively. Regulators of each jurisdiction have their own procedures for approval of drug candidates. We have not applied for any MA for any of our drug candidates yet. Failure to obtain regulatory approval for our drug candidates in any jurisdiction will prevent us from commercializing and marketing our drug candidates in such jurisdictions,</w:t>
      </w:r>
    </w:p>
    <w:p>
      <w:pPr>
        <w:spacing w:after="0" w:line="2" w:lineRule="exact"/>
        <w:rPr>
          <w:sz w:val="20"/>
          <w:szCs w:val="20"/>
          <w:color w:val="auto"/>
        </w:rPr>
      </w:pP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and marketing authorizations may be granted for narrow indications which may significantly reduce the scope of market of our drug candidates.</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Obtaining and maintaining MA, as the case may be by country or by geographical area in the case of the</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European Union, presupposes compliance with the mandatory standards imposed by the concerned regulatory authorities and submission to the authorities of a great deal of information about the drug candidate regarding its toxicity, dosage, quality, efficacy and safety all over its life cycle. The authorization process is long and expensive,</w:t>
      </w:r>
    </w:p>
    <w:p>
      <w:pPr>
        <w:spacing w:after="0" w:line="2" w:lineRule="exact"/>
        <w:rPr>
          <w:sz w:val="20"/>
          <w:szCs w:val="20"/>
          <w:color w:val="auto"/>
        </w:rPr>
      </w:pPr>
    </w:p>
    <w:p>
      <w:pPr>
        <w:ind w:left="300" w:right="499"/>
        <w:spacing w:after="0" w:line="208" w:lineRule="auto"/>
        <w:rPr>
          <w:sz w:val="20"/>
          <w:szCs w:val="20"/>
          <w:color w:val="auto"/>
        </w:rPr>
      </w:pPr>
      <w:r>
        <w:rPr>
          <w:rFonts w:ascii="Times New Roman" w:cs="Times New Roman" w:eastAsia="Times New Roman" w:hAnsi="Times New Roman"/>
          <w:sz w:val="18"/>
          <w:szCs w:val="18"/>
          <w:color w:val="auto"/>
        </w:rPr>
        <w:t>and the result of this process remains highly uncertain. We are therefore careful to continuously comply with good practices in order not to jeopardize our chances of ultimately obtaining, directly or via our business partners, marketing authorization for the products we are developing. Furthermore, obtaining marketing authorization for a</w:t>
      </w:r>
    </w:p>
    <w:p>
      <w:pPr>
        <w:spacing w:after="0" w:line="2" w:lineRule="exact"/>
        <w:rPr>
          <w:sz w:val="20"/>
          <w:szCs w:val="20"/>
          <w:color w:val="auto"/>
        </w:rPr>
      </w:pPr>
    </w:p>
    <w:p>
      <w:pPr>
        <w:ind w:left="300" w:right="739"/>
        <w:spacing w:after="0" w:line="226" w:lineRule="auto"/>
        <w:rPr>
          <w:sz w:val="20"/>
          <w:szCs w:val="20"/>
          <w:color w:val="auto"/>
        </w:rPr>
      </w:pPr>
      <w:r>
        <w:rPr>
          <w:rFonts w:ascii="Times New Roman" w:cs="Times New Roman" w:eastAsia="Times New Roman" w:hAnsi="Times New Roman"/>
          <w:sz w:val="18"/>
          <w:szCs w:val="18"/>
          <w:color w:val="auto"/>
        </w:rPr>
        <w:t>product in a given country or geographical area does not automatically ensure or immediately lead to obtaining marketing authorization in other countries for the same product.</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order to obtain MA for one of our drug candidates, we have to perform preclinical animal studies and</w:t>
      </w:r>
    </w:p>
    <w:p>
      <w:pPr>
        <w:spacing w:after="0" w:line="2" w:lineRule="exact"/>
        <w:rPr>
          <w:sz w:val="20"/>
          <w:szCs w:val="20"/>
          <w:color w:val="auto"/>
        </w:rPr>
      </w:pPr>
    </w:p>
    <w:p>
      <w:pPr>
        <w:ind w:left="300" w:right="539"/>
        <w:spacing w:after="0" w:line="239" w:lineRule="auto"/>
        <w:rPr>
          <w:sz w:val="20"/>
          <w:szCs w:val="20"/>
          <w:color w:val="auto"/>
        </w:rPr>
      </w:pPr>
      <w:r>
        <w:rPr>
          <w:rFonts w:ascii="Times New Roman" w:cs="Times New Roman" w:eastAsia="Times New Roman" w:hAnsi="Times New Roman"/>
          <w:sz w:val="17"/>
          <w:szCs w:val="17"/>
          <w:color w:val="auto"/>
        </w:rPr>
        <w:t>complete human clinical trials in order to demonstrate the safety and efficacy of the drug candidates. MAs, NDAs and similar authorizations must include extensive preclinical and clinical data and supporting information to</w:t>
      </w:r>
    </w:p>
    <w:p>
      <w:pPr>
        <w:sectPr>
          <w:pgSz w:w="11900" w:h="16838" w:orient="portrait"/>
          <w:cols w:equalWidth="0" w:num="1">
            <w:col w:w="9019"/>
          </w:cols>
          <w:pgMar w:left="1440" w:top="104" w:right="1440" w:bottom="0" w:gutter="0" w:footer="0" w:header="0"/>
        </w:sectPr>
      </w:pPr>
    </w:p>
    <w:bookmarkStart w:id="11" w:name="page12"/>
    <w:bookmarkEnd w:id="11"/>
    <w:p>
      <w:pPr>
        <w:ind w:left="300" w:right="319"/>
        <w:spacing w:after="0" w:line="296" w:lineRule="auto"/>
        <w:rPr>
          <w:sz w:val="20"/>
          <w:szCs w:val="20"/>
          <w:color w:val="auto"/>
        </w:rPr>
      </w:pPr>
      <w:r>
        <w:rPr>
          <w:rFonts w:ascii="Times New Roman" w:cs="Times New Roman" w:eastAsia="Times New Roman" w:hAnsi="Times New Roman"/>
          <w:sz w:val="17"/>
          <w:szCs w:val="17"/>
          <w:color w:val="auto"/>
        </w:rPr>
        <w:t>establiunfore</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eenhtheanddrugseriouscandidate’srisks,wesafetyortheandregulatoryefficacyforauthoritieseachdesiredmay indicationchooseto.suspendIntheeventorearlypatientsterminatare</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xpothe</w:t>
      </w:r>
      <w:r>
        <w:rPr>
          <w:rFonts w:ascii="Times New Roman" w:cs="Times New Roman" w:eastAsia="Times New Roman" w:hAnsi="Times New Roman"/>
          <w:sz w:val="17"/>
          <w:szCs w:val="17"/>
          <w:b w:val="1"/>
          <w:bCs w:val="1"/>
          <w:color w:val="auto"/>
        </w:rPr>
        <w:t>se</w:t>
      </w:r>
      <w:r>
        <w:rPr>
          <w:rFonts w:ascii="Times New Roman" w:cs="Times New Roman" w:eastAsia="Times New Roman" w:hAnsi="Times New Roman"/>
          <w:sz w:val="17"/>
          <w:szCs w:val="17"/>
          <w:color w:val="auto"/>
        </w:rPr>
        <w:t>dclinicalto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-285115</wp:posOffset>
            </wp:positionV>
            <wp:extent cx="7016115" cy="3225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color w:val="auto"/>
        </w:rPr>
        <w:t>NDAs, MAs and similar authorizations must also include significant information regarding the chemistry,</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manufacturing and controls for the drug. Obtaining approval of a MA or a NDA and similar authorizations, and collecting all required information, proof and data for this process, is a lengthy, expensive and uncertain process, and we may not be successful in obtaining approval. This is further enhanced by the fact that each regulator has its</w:t>
      </w:r>
    </w:p>
    <w:p>
      <w:pPr>
        <w:spacing w:after="0" w:line="2" w:lineRule="exact"/>
        <w:rPr>
          <w:sz w:val="20"/>
          <w:szCs w:val="20"/>
          <w:color w:val="auto"/>
        </w:rPr>
      </w:pPr>
    </w:p>
    <w:p>
      <w:pPr>
        <w:jc w:val="both"/>
        <w:ind w:left="300" w:right="439"/>
        <w:spacing w:after="0" w:line="218" w:lineRule="auto"/>
        <w:rPr>
          <w:sz w:val="20"/>
          <w:szCs w:val="20"/>
          <w:color w:val="auto"/>
        </w:rPr>
      </w:pPr>
      <w:r>
        <w:rPr>
          <w:rFonts w:ascii="Times New Roman" w:cs="Times New Roman" w:eastAsia="Times New Roman" w:hAnsi="Times New Roman"/>
          <w:sz w:val="18"/>
          <w:szCs w:val="18"/>
          <w:color w:val="auto"/>
        </w:rPr>
        <w:t>own requirements and procedures for the scientific evaluation or approval of drug candidates. The EMA, European Union Member States national authorities, FDA and PMDA review processes can therefore take years to complete and approval is never guaranteed.</w:t>
      </w:r>
    </w:p>
    <w:p>
      <w:pPr>
        <w:spacing w:after="0" w:line="64" w:lineRule="exact"/>
        <w:rPr>
          <w:sz w:val="20"/>
          <w:szCs w:val="20"/>
          <w:color w:val="auto"/>
        </w:rPr>
      </w:pPr>
    </w:p>
    <w:p>
      <w:pPr>
        <w:jc w:val="both"/>
        <w:ind w:left="300" w:right="579" w:firstLine="441"/>
        <w:spacing w:after="0" w:line="229" w:lineRule="auto"/>
        <w:rPr>
          <w:sz w:val="20"/>
          <w:szCs w:val="20"/>
          <w:color w:val="auto"/>
        </w:rPr>
      </w:pPr>
      <w:r>
        <w:rPr>
          <w:rFonts w:ascii="Times New Roman" w:cs="Times New Roman" w:eastAsia="Times New Roman" w:hAnsi="Times New Roman"/>
          <w:sz w:val="17"/>
          <w:szCs w:val="17"/>
          <w:color w:val="auto"/>
        </w:rPr>
        <w:t>In addition, delays in approvals or rejections of marketing applications in the European Union, the United States or other countries may be based upon many factors, including regulatory requests for additional analyses, reports, data, preclinical studies and clinical trials, regulatory questions regarding different interpretations of data</w:t>
      </w:r>
    </w:p>
    <w:p>
      <w:pPr>
        <w:ind w:left="300" w:right="799"/>
        <w:spacing w:after="0" w:line="220" w:lineRule="auto"/>
        <w:rPr>
          <w:sz w:val="20"/>
          <w:szCs w:val="20"/>
          <w:color w:val="auto"/>
        </w:rPr>
      </w:pPr>
      <w:r>
        <w:rPr>
          <w:rFonts w:ascii="Times New Roman" w:cs="Times New Roman" w:eastAsia="Times New Roman" w:hAnsi="Times New Roman"/>
          <w:sz w:val="17"/>
          <w:szCs w:val="17"/>
          <w:color w:val="auto"/>
        </w:rPr>
        <w:t>and results, changes in regulatory policy during the period of drug development and the emergence of new information regarding our drug candidates or other drug candidates. Even if a drug is approved, the FDA, the European Commission or the PMDA, as the case may be, may limit the indications for which the drug may be</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marketed, require extensive warnings on the drug labeling or require expensive and time-consuming post-marketing clinical trials or reporting as conditions of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109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drug candidate, we will be subject to ongoing regulatory obligations and continued regulatory review, which may result in significant additional expense</w:t>
      </w:r>
    </w:p>
    <w:p>
      <w:pPr>
        <w:spacing w:after="0" w:line="40" w:lineRule="exact"/>
        <w:rPr>
          <w:sz w:val="20"/>
          <w:szCs w:val="20"/>
          <w:color w:val="auto"/>
        </w:rPr>
      </w:pPr>
    </w:p>
    <w:p>
      <w:pPr>
        <w:jc w:val="both"/>
        <w:ind w:left="300" w:right="599" w:firstLine="441"/>
        <w:spacing w:after="0" w:line="216" w:lineRule="auto"/>
        <w:rPr>
          <w:sz w:val="20"/>
          <w:szCs w:val="20"/>
          <w:color w:val="auto"/>
        </w:rPr>
      </w:pPr>
      <w:r>
        <w:rPr>
          <w:rFonts w:ascii="Times New Roman" w:cs="Times New Roman" w:eastAsia="Times New Roman" w:hAnsi="Times New Roman"/>
          <w:sz w:val="18"/>
          <w:szCs w:val="18"/>
          <w:color w:val="auto"/>
        </w:rPr>
        <w:t>Even if we receive approval of any of our drug candidates, such regulatory approval may be withdrawn, or such approvals may be contingent on ongoing obligations and continued regulatory review, which may result in significant additional expense. As a general matter, any regulatory approvals that we may receive for our drug</w:t>
      </w:r>
    </w:p>
    <w:p>
      <w:pPr>
        <w:spacing w:after="0" w:line="1" w:lineRule="exact"/>
        <w:rPr>
          <w:sz w:val="20"/>
          <w:szCs w:val="20"/>
          <w:color w:val="auto"/>
        </w:rPr>
      </w:pPr>
    </w:p>
    <w:p>
      <w:pPr>
        <w:ind w:left="300" w:right="559"/>
        <w:spacing w:after="0" w:line="208" w:lineRule="auto"/>
        <w:rPr>
          <w:sz w:val="20"/>
          <w:szCs w:val="20"/>
          <w:color w:val="auto"/>
        </w:rPr>
      </w:pPr>
      <w:r>
        <w:rPr>
          <w:rFonts w:ascii="Times New Roman" w:cs="Times New Roman" w:eastAsia="Times New Roman" w:hAnsi="Times New Roman"/>
          <w:sz w:val="18"/>
          <w:szCs w:val="18"/>
          <w:color w:val="auto"/>
        </w:rPr>
        <w:t>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efficacy and other post-</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marketing information and reports, registration, as well as ongoing compliance with current Good Manufacturing Practice (“GMP”) and Good Clinical Practice requirements (“GCPs”) for any clinical trials that we may be required to conduct post-marketing. In addition, manufacturers of drug products and their facilities are subject to continual</w:t>
      </w:r>
    </w:p>
    <w:p>
      <w:pPr>
        <w:spacing w:after="0" w:line="2" w:lineRule="exact"/>
        <w:rPr>
          <w:sz w:val="20"/>
          <w:szCs w:val="20"/>
          <w:color w:val="auto"/>
        </w:rPr>
      </w:pP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review and periodic, unannounced inspections by the FDA and other regulatory authorities for compliance with GMP regulations and standards.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Additionally, our drug candidates, even if approved, may be subject to restrictions or prohibition on</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advertising, include limitations related to prescriptions by specialists, use restrictions for specified age groups, warnings, precautions or contraindications, and may include burdensome post-approval study or risk management requirements. For example, the FDA may require a risk evaluation and mitigation strategy (“REMS”) as a condition</w:t>
      </w:r>
    </w:p>
    <w:p>
      <w:pPr>
        <w:spacing w:after="0" w:line="2" w:lineRule="exact"/>
        <w:rPr>
          <w:sz w:val="20"/>
          <w:szCs w:val="20"/>
          <w:color w:val="auto"/>
        </w:rPr>
      </w:pP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of approval of our drugs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64" w:lineRule="exact"/>
        <w:rPr>
          <w:sz w:val="20"/>
          <w:szCs w:val="20"/>
          <w:color w:val="auto"/>
        </w:rPr>
      </w:pPr>
    </w:p>
    <w:p>
      <w:pPr>
        <w:jc w:val="both"/>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Obtaining and maintaining a Good Manufacturing Practice (“GMP”) certificate will be required in order to produce the immunotherapies that we are developing (for clinical trial purposes and during the commercialization phase). We cannot guarantee that we will obtain or be able to maintain this certificate, nor that certain additional</w:t>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constraints related to this certificate will not be imposed on us in the future. Any failure to follow and document adherence to such GMP regulations or other regulatory requirements may lead to significant delays in the availability of products for commercial sale or clinical trials, may result in the termination of or a hold on a clinical</w:t>
      </w:r>
    </w:p>
    <w:p>
      <w:pPr>
        <w:spacing w:after="0" w:line="2" w:lineRule="exact"/>
        <w:rPr>
          <w:sz w:val="20"/>
          <w:szCs w:val="20"/>
          <w:color w:val="auto"/>
        </w:rPr>
      </w:pPr>
    </w:p>
    <w:p>
      <w:pPr>
        <w:jc w:val="both"/>
        <w:ind w:left="300" w:right="419"/>
        <w:spacing w:after="0" w:line="218" w:lineRule="auto"/>
        <w:rPr>
          <w:sz w:val="20"/>
          <w:szCs w:val="20"/>
          <w:color w:val="auto"/>
        </w:rPr>
      </w:pPr>
      <w:r>
        <w:rPr>
          <w:rFonts w:ascii="Times New Roman" w:cs="Times New Roman" w:eastAsia="Times New Roman" w:hAnsi="Times New Roman"/>
          <w:sz w:val="18"/>
          <w:szCs w:val="18"/>
          <w:color w:val="auto"/>
        </w:rPr>
        <w:t>trial, or may delay or prevent filing or approval of marketing applications for our products. Failure to comply with applicable regulations could also result in the FDA or other applicable regulatory authorities taking various actions, including:</w:t>
      </w:r>
    </w:p>
    <w:p>
      <w:pPr>
        <w:spacing w:after="0" w:line="64" w:lineRule="exact"/>
        <w:rPr>
          <w:sz w:val="20"/>
          <w:szCs w:val="20"/>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 and other civil penalties;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consent decrees or injunctions;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suspend or put on hold one or more of our clinical trials;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varying or withdrawing regulatory approvals;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refusing to approve pending applications or supplements to approved applications;</w:t>
      </w:r>
    </w:p>
    <w:p>
      <w:pPr>
        <w:spacing w:after="0" w:line="76" w:lineRule="exact"/>
        <w:rPr>
          <w:rFonts w:ascii="Times New Roman" w:cs="Times New Roman" w:eastAsia="Times New Roman" w:hAnsi="Times New Roman"/>
          <w:sz w:val="18"/>
          <w:szCs w:val="18"/>
          <w:color w:val="auto"/>
        </w:rPr>
      </w:pPr>
    </w:p>
    <w:p>
      <w:pPr>
        <w:ind w:left="1280" w:right="679" w:hanging="328"/>
        <w:spacing w:after="0" w:line="250"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or our third-party manufacturers to suspend manufacturing activities or product sales, imports or exports;</w:t>
      </w:r>
    </w:p>
    <w:p>
      <w:pPr>
        <w:spacing w:after="0" w:line="41" w:lineRule="exact"/>
        <w:rPr>
          <w:rFonts w:ascii="Times New Roman" w:cs="Times New Roman" w:eastAsia="Times New Roman" w:hAnsi="Times New Roman"/>
          <w:sz w:val="18"/>
          <w:szCs w:val="18"/>
          <w:color w:val="auto"/>
        </w:rPr>
      </w:pPr>
    </w:p>
    <w:p>
      <w:pPr>
        <w:ind w:left="1280" w:right="499" w:hanging="328"/>
        <w:spacing w:after="0" w:line="237"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communicate with physicians and other customers about concerns related to actual or potential safety, efficacy and other issues involving our products;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product recalls or withdrawals or seizing products;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operating restrictions;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criminal prosecutions.</w:t>
      </w:r>
    </w:p>
    <w:p>
      <w:pPr>
        <w:spacing w:after="0" w:line="90" w:lineRule="exact"/>
        <w:rPr>
          <w:sz w:val="20"/>
          <w:szCs w:val="20"/>
          <w:color w:val="auto"/>
        </w:rPr>
      </w:pPr>
    </w:p>
    <w:p>
      <w:pPr>
        <w:ind w:left="300" w:right="379" w:firstLine="441"/>
        <w:spacing w:after="0" w:line="226" w:lineRule="auto"/>
        <w:rPr>
          <w:sz w:val="20"/>
          <w:szCs w:val="20"/>
          <w:color w:val="auto"/>
        </w:rPr>
      </w:pPr>
      <w:r>
        <w:rPr>
          <w:rFonts w:ascii="Times New Roman" w:cs="Times New Roman" w:eastAsia="Times New Roman" w:hAnsi="Times New Roman"/>
          <w:sz w:val="18"/>
          <w:szCs w:val="18"/>
          <w:color w:val="auto"/>
        </w:rPr>
        <w:t>Failure to obtain or maintain authorization for our drug candidates in one or more jurisdictions, particularly in respect of our lead drug candidate, obefazimod, would have a material adverse effect on our business, outlook, financial position, results and development.</w:t>
      </w:r>
    </w:p>
    <w:p>
      <w:pPr>
        <w:sectPr>
          <w:pgSz w:w="11900" w:h="16838" w:orient="portrait"/>
          <w:cols w:equalWidth="0" w:num="1">
            <w:col w:w="9019"/>
          </w:cols>
          <w:pgMar w:left="1440" w:top="108" w:right="1440" w:bottom="0" w:gutter="0" w:footer="0" w:header="0"/>
        </w:sectPr>
      </w:pPr>
    </w:p>
    <w:p>
      <w:pPr>
        <w:spacing w:after="0" w:line="59"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drug candidates may cause undesirable side effects or have other properties that could delay or prevent their regulatory approval, or, if approval is received, require our drug candidates to be withdrawn from the market,</w:t>
      </w:r>
    </w:p>
    <w:p>
      <w:pPr>
        <w:sectPr>
          <w:pgSz w:w="11900" w:h="16838" w:orient="portrait"/>
          <w:cols w:equalWidth="0" w:num="1">
            <w:col w:w="9019"/>
          </w:cols>
          <w:pgMar w:left="1440" w:top="108" w:right="1440" w:bottom="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 them to include safety warnings or otherwise limit their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-77470</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ind w:left="300" w:right="419" w:firstLine="441"/>
        <w:spacing w:after="0" w:line="208" w:lineRule="auto"/>
        <w:rPr>
          <w:sz w:val="20"/>
          <w:szCs w:val="20"/>
          <w:color w:val="auto"/>
        </w:rPr>
      </w:pPr>
      <w:r>
        <w:rPr>
          <w:rFonts w:ascii="Times New Roman" w:cs="Times New Roman" w:eastAsia="Times New Roman" w:hAnsi="Times New Roman"/>
          <w:sz w:val="18"/>
          <w:szCs w:val="18"/>
          <w:color w:val="auto"/>
        </w:rPr>
        <w:t>Undesirable side effects caused by our drug candidates could cause us or regulatory authorities to interrupt, delay or halt clinical trials, or even discontinuation and could result in a more restrictive label or the delay or denial of regulatory approval by the European Commission, FDA, PDMA or other comparable authorities in other</w:t>
      </w:r>
    </w:p>
    <w:p>
      <w:pPr>
        <w:spacing w:after="0" w:line="2"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jurisdictions. If severe side effects were to occur, or if one of our drug candidates is shown to have other unexpected characteristics, we may need to either restrict the use of such product to a smaller population or abandon development of such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If one or more of our drug candidates received marketing approval, and we or others later identify undesirable side effects caused by such drugs or negative interactions with other products or treatments (including, for example,</w:t>
      </w:r>
    </w:p>
    <w:p>
      <w:pPr>
        <w:ind w:left="300" w:right="779"/>
        <w:spacing w:after="0" w:line="226" w:lineRule="auto"/>
        <w:rPr>
          <w:sz w:val="20"/>
          <w:szCs w:val="20"/>
          <w:color w:val="auto"/>
        </w:rPr>
      </w:pPr>
      <w:r>
        <w:rPr>
          <w:rFonts w:ascii="Times New Roman" w:cs="Times New Roman" w:eastAsia="Times New Roman" w:hAnsi="Times New Roman"/>
          <w:sz w:val="18"/>
          <w:szCs w:val="18"/>
          <w:color w:val="auto"/>
        </w:rPr>
        <w:t>as a result of interactions with other products once on the market), a number of potentially significant negative consequences could result, including:</w:t>
      </w:r>
    </w:p>
    <w:p>
      <w:pPr>
        <w:spacing w:after="0" w:line="49" w:lineRule="exact"/>
        <w:rPr>
          <w:sz w:val="20"/>
          <w:szCs w:val="20"/>
          <w:color w:val="auto"/>
        </w:rPr>
      </w:pPr>
    </w:p>
    <w:p>
      <w:pPr>
        <w:ind w:left="1280" w:hanging="32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reduce the scope of approvals of such product;</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76" w:lineRule="exact"/>
        <w:rPr>
          <w:rFonts w:ascii="Times New Roman" w:cs="Times New Roman" w:eastAsia="Times New Roman" w:hAnsi="Times New Roman"/>
          <w:sz w:val="18"/>
          <w:szCs w:val="18"/>
          <w:color w:val="auto"/>
        </w:rPr>
      </w:pPr>
    </w:p>
    <w:p>
      <w:pPr>
        <w:ind w:left="1280" w:right="339" w:hanging="328"/>
        <w:spacing w:after="0" w:line="237"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76" w:lineRule="exact"/>
        <w:rPr>
          <w:rFonts w:ascii="Times New Roman" w:cs="Times New Roman" w:eastAsia="Times New Roman" w:hAnsi="Times New Roman"/>
          <w:sz w:val="18"/>
          <w:szCs w:val="18"/>
          <w:color w:val="auto"/>
        </w:rPr>
      </w:pPr>
    </w:p>
    <w:p>
      <w:pPr>
        <w:ind w:left="1280" w:right="459" w:hanging="328"/>
        <w:spacing w:after="0" w:line="250"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healthcare payors, patients or the medical community in general may not recommend/use our products;</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0" w:lineRule="exact"/>
        <w:rPr>
          <w:sz w:val="20"/>
          <w:szCs w:val="20"/>
          <w:color w:val="auto"/>
        </w:rPr>
      </w:pPr>
    </w:p>
    <w:p>
      <w:pPr>
        <w:jc w:val="both"/>
        <w:ind w:left="300" w:right="359" w:firstLine="441"/>
        <w:spacing w:after="0" w:line="22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drug candidate, if approved, and could have a material adverse effect on our business, prospects, financial condition, cash flows or results of operations.</w:t>
      </w:r>
    </w:p>
    <w:p>
      <w:pPr>
        <w:spacing w:after="0" w:line="59" w:lineRule="exact"/>
        <w:rPr>
          <w:sz w:val="20"/>
          <w:szCs w:val="20"/>
          <w:color w:val="auto"/>
        </w:rPr>
      </w:pPr>
    </w:p>
    <w:p>
      <w:pPr>
        <w:jc w:val="both"/>
        <w:ind w:left="300" w:right="31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65" w:lineRule="exact"/>
        <w:rPr>
          <w:sz w:val="20"/>
          <w:szCs w:val="20"/>
          <w:color w:val="auto"/>
        </w:rPr>
      </w:pPr>
    </w:p>
    <w:p>
      <w:pPr>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Clinical failure can occur at any stage of our clinical development. Success in preclinical studies and early clinical trials, as well as data from any interim analysis of ongoing trials do not ensure that subsequent clinical trials will</w:t>
      </w:r>
    </w:p>
    <w:p>
      <w:pPr>
        <w:ind w:left="300" w:right="399"/>
        <w:spacing w:after="0" w:line="208" w:lineRule="auto"/>
        <w:rPr>
          <w:sz w:val="20"/>
          <w:szCs w:val="20"/>
          <w:color w:val="auto"/>
        </w:rPr>
      </w:pPr>
      <w:r>
        <w:rPr>
          <w:rFonts w:ascii="Times New Roman" w:cs="Times New Roman" w:eastAsia="Times New Roman" w:hAnsi="Times New Roman"/>
          <w:sz w:val="18"/>
          <w:szCs w:val="18"/>
          <w:color w:val="auto"/>
        </w:rPr>
        <w:t>generate the same or similar results. A number of companies in the pharmaceuticals industry, including those with greater resources and experience than us, have suffered significant setbacks in the last development phase (Phase 3) clinical trials, even after seeing promising results in earlier clinical trials, and we could face similar setbacks. In</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some instances, there can be significant variation in safety or efficacy results between different clinical trials of the same drug candidate due to numerous factors, including changes in trial procedures set forth in protocols, differences in the size and type of the patient populations, changes in and adherence to the dosing regimen and other</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clinical trial protocols and the rate of dropout among clinical trial participants. Any such delays or failures could negatively impact our business, financial condition, results of operation and prospects. The positive results generated in preclinical and clinical trials for obefazimod does not ensure that current or future trials will continue 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demonstrate similar safety and/or efficacy results.</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Drug candidates in later stages of clinical trials may fail to show the desired safety and efficacy traits despite having progressed through preclinical studies and earlier clinical trials. In addition to the safety and efficacy traits of</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any drug candidate, clinical trial failures may result from a multitude of factors including flaws in trial design, dose selection, placebo effect and patient enrollment criteria. Based upon negative or inconclusive results, we or our collaborators may decide, or regulators may require us, to conduct additional clinical trials or preclinical studies.</w:t>
      </w:r>
    </w:p>
    <w:p>
      <w:pPr>
        <w:spacing w:after="0" w:line="2" w:lineRule="exact"/>
        <w:rPr>
          <w:sz w:val="20"/>
          <w:szCs w:val="20"/>
          <w:color w:val="auto"/>
        </w:rPr>
      </w:pPr>
    </w:p>
    <w:p>
      <w:pPr>
        <w:ind w:left="300" w:right="859"/>
        <w:spacing w:after="0" w:line="226" w:lineRule="auto"/>
        <w:rPr>
          <w:sz w:val="20"/>
          <w:szCs w:val="20"/>
          <w:color w:val="auto"/>
        </w:rPr>
      </w:pPr>
      <w:r>
        <w:rPr>
          <w:rFonts w:ascii="Times New Roman" w:cs="Times New Roman" w:eastAsia="Times New Roman" w:hAnsi="Times New Roman"/>
          <w:sz w:val="18"/>
          <w:szCs w:val="18"/>
          <w:color w:val="auto"/>
        </w:rPr>
        <w:t>Further, data obtained from trials and studies are susceptible to varying interpretation, and regulators may not interpret our data as favorably as we do, which may delay, limit or prevent regulatory approval.</w:t>
      </w:r>
    </w:p>
    <w:p>
      <w:pPr>
        <w:spacing w:after="0" w:line="45"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the commercial success or the pricing and reimbursement of the drug candidates that we develop.</w:t>
      </w:r>
    </w:p>
    <w:p>
      <w:pPr>
        <w:spacing w:after="0" w:line="37" w:lineRule="exact"/>
        <w:rPr>
          <w:sz w:val="20"/>
          <w:szCs w:val="20"/>
          <w:color w:val="auto"/>
        </w:rPr>
      </w:pPr>
    </w:p>
    <w:p>
      <w:pPr>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If we or one or more of our commercial partners succeeds in obtaining marketing authorization, allowing us or them to market the therapeutic products developed by us, it may nevertheless take time to gain the support of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medical community, health care providers and third-party payors.</w:t>
      </w:r>
    </w:p>
    <w:p>
      <w:pPr>
        <w:spacing w:after="0" w:line="57" w:lineRule="exact"/>
        <w:rPr>
          <w:sz w:val="20"/>
          <w:szCs w:val="20"/>
          <w:color w:val="auto"/>
        </w:rPr>
      </w:pPr>
    </w:p>
    <w:p>
      <w:pPr>
        <w:ind w:left="300" w:right="939" w:firstLine="441"/>
        <w:spacing w:after="0" w:line="237" w:lineRule="auto"/>
        <w:rPr>
          <w:sz w:val="20"/>
          <w:szCs w:val="20"/>
          <w:color w:val="auto"/>
        </w:rPr>
      </w:pPr>
      <w:r>
        <w:rPr>
          <w:rFonts w:ascii="Times New Roman" w:cs="Times New Roman" w:eastAsia="Times New Roman" w:hAnsi="Times New Roman"/>
          <w:sz w:val="18"/>
          <w:szCs w:val="18"/>
          <w:color w:val="auto"/>
        </w:rPr>
        <w:t>The level of market acceptance for each of our products will depend on several factors, notably on the following:</w:t>
      </w:r>
    </w:p>
    <w:p>
      <w:pPr>
        <w:spacing w:after="0" w:line="64" w:lineRule="exact"/>
        <w:rPr>
          <w:sz w:val="20"/>
          <w:szCs w:val="20"/>
          <w:color w:val="auto"/>
        </w:rPr>
      </w:pPr>
    </w:p>
    <w:p>
      <w:pPr>
        <w:ind w:left="1280" w:hanging="32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prescribers’ perception of the product’s therapeutic benefit;</w:t>
      </w:r>
    </w:p>
    <w:p>
      <w:pPr>
        <w:spacing w:after="0" w:line="76" w:lineRule="exact"/>
        <w:rPr>
          <w:rFonts w:ascii="Times New Roman" w:cs="Times New Roman" w:eastAsia="Times New Roman" w:hAnsi="Times New Roman"/>
          <w:sz w:val="18"/>
          <w:szCs w:val="18"/>
          <w:color w:val="auto"/>
        </w:rPr>
      </w:pPr>
    </w:p>
    <w:p>
      <w:pPr>
        <w:ind w:left="1280" w:right="699" w:hanging="328"/>
        <w:spacing w:after="0" w:line="237"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policies established in each of the countries in which we are considering marketing our products;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occurrence of adverse reactions once marketing authorization has been obtained;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of the product, especially relating to its mode of administration;</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ectPr>
          <w:pgSz w:w="11900" w:h="16838" w:orient="portrait"/>
          <w:cols w:equalWidth="0" w:num="1">
            <w:col w:w="9019"/>
          </w:cols>
          <w:pgMar w:left="1440" w:top="56" w:right="1440" w:bottom="38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policies of governments and other third parties;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implementation of a scientific publication strategy;</w:t>
      </w:r>
    </w:p>
    <w:p>
      <w:pPr>
        <w:spacing w:after="0" w:line="76" w:lineRule="exact"/>
        <w:rPr>
          <w:rFonts w:ascii="Times New Roman" w:cs="Times New Roman" w:eastAsia="Times New Roman" w:hAnsi="Times New Roman"/>
          <w:sz w:val="18"/>
          <w:szCs w:val="18"/>
          <w:color w:val="auto"/>
        </w:rPr>
      </w:pPr>
    </w:p>
    <w:p>
      <w:pPr>
        <w:ind w:left="1280" w:right="579" w:hanging="328"/>
        <w:spacing w:after="0" w:line="23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target patient population to try new therapies and of physicians to prescribe these therapies;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any side effects;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one or more competing products for the same indication;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the product together with medications.</w:t>
      </w:r>
    </w:p>
    <w:p>
      <w:pPr>
        <w:spacing w:after="0" w:line="90"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Although the products we are developing are intended to provide a therapeutic response to a need that is presently not entirely or adequately met, poor market penetration resulting from one or more of the factors described above would have a negative impact on their commercialization and on our ability to generate profits, which could</w:t>
      </w:r>
    </w:p>
    <w:p>
      <w:pPr>
        <w:ind w:left="300"/>
        <w:spacing w:after="0"/>
        <w:rPr>
          <w:sz w:val="20"/>
          <w:szCs w:val="20"/>
          <w:color w:val="auto"/>
        </w:rPr>
      </w:pPr>
      <w:r>
        <w:rPr>
          <w:rFonts w:ascii="Times New Roman" w:cs="Times New Roman" w:eastAsia="Times New Roman" w:hAnsi="Times New Roman"/>
          <w:sz w:val="18"/>
          <w:szCs w:val="18"/>
          <w:color w:val="auto"/>
        </w:rPr>
        <w:t>have a material adverse effect on our business, outlook, financial position, income and growth.</w:t>
      </w:r>
    </w:p>
    <w:p>
      <w:pPr>
        <w:spacing w:after="0" w:line="57"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The level of market acceptance and sale of our drug candidates, if approved, will heavily depend on the availability of coverage and adequate reimbursement from third-party payors. The conditions for setting the sales</w:t>
      </w: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price and reimbursement rate for drugs are beyond the control of pharmaceutical companies. They are decided by competent public committees and bodies and by social security or private insurance companies and are dependent on a number of factors. Pricing and reimbursement schemes vary widely from country to country. In the European</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Union, pricing and reimbursement are determined individually by European Union Member States. For example, some countries may approve a specific price for a product while others may instead allow companies to fix their own prices for products but monitor and control company profits. Within the US, as a principle, drug companies set</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their own list prices, which may then be discounted through negotiations with payors. However, the U.S. Department of Health and Human Services ("HHS") has been empowered to negotiate the price of certain single-source drugs that have been on the market for at least seven (7) years under Medicare as part of the Medicare Drug</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Additionally,</w:t>
      </w:r>
    </w:p>
    <w:p>
      <w:pPr>
        <w:spacing w:after="0" w:line="2" w:lineRule="exact"/>
        <w:rPr>
          <w:sz w:val="20"/>
          <w:szCs w:val="20"/>
          <w:color w:val="auto"/>
        </w:rPr>
      </w:pP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HHS imposes rebates on Medicare Part B and Medicare Part D products to penalize price increases that outpace inflation on an annual basis.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Generally, the downward pressure on health care costs has become intense. As a result, increasingly high</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barriers are being erected to the entry of new products. Delays in the price negotiation procedure may result in a significant delay in marketing, our product may not obtain an appropriate level of reimbursement, or the accepted price level and reimbursement rate of the treatments we market may be changed. We are also unable to guarantee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we will succeed in maintaining, over time, the price level of our products or the accepted reimbursement rate.</w:t>
      </w:r>
    </w:p>
    <w:p>
      <w:pPr>
        <w:spacing w:after="0" w:line="53" w:lineRule="exact"/>
        <w:rPr>
          <w:sz w:val="20"/>
          <w:szCs w:val="20"/>
          <w:color w:val="auto"/>
        </w:rPr>
      </w:pPr>
    </w:p>
    <w:p>
      <w:pPr>
        <w:ind w:left="300" w:right="5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future may depend on our most advanced clinical development program, obefazimod, since our other drug candidates are in a less advanced stage of development.</w:t>
      </w:r>
    </w:p>
    <w:p>
      <w:pPr>
        <w:spacing w:after="0" w:line="64" w:lineRule="exact"/>
        <w:rPr>
          <w:sz w:val="20"/>
          <w:szCs w:val="20"/>
          <w:color w:val="auto"/>
        </w:rPr>
      </w:pPr>
    </w:p>
    <w:p>
      <w:pPr>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Obefazimod is our most advanced drug candidate. Obefazimod has required, and may continue to require, significant investments of our time and financial resources, as well as the special attention of highly qualified staff. Consequently, if we were unable to obtain conclusive results in ongoing maintenance trials, Phase 3 of obefazimod</w:t>
      </w: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in UC or Phase 2 of obefazimod in CD, it could have a material adverse effect on our business, outlook, financial position, results and development.</w:t>
      </w:r>
    </w:p>
    <w:p>
      <w:pPr>
        <w:spacing w:after="0" w:line="49" w:lineRule="exact"/>
        <w:rPr>
          <w:sz w:val="20"/>
          <w:szCs w:val="20"/>
          <w:color w:val="auto"/>
        </w:rPr>
      </w:pPr>
    </w:p>
    <w:p>
      <w:pPr>
        <w:ind w:left="300" w:right="639" w:firstLine="441"/>
        <w:spacing w:after="0" w:line="250" w:lineRule="auto"/>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our drug candidates or our ability to commercialize any products, including:</w:t>
      </w:r>
    </w:p>
    <w:p>
      <w:pPr>
        <w:spacing w:after="0" w:line="41" w:lineRule="exact"/>
        <w:rPr>
          <w:sz w:val="20"/>
          <w:szCs w:val="20"/>
          <w:color w:val="auto"/>
        </w:rPr>
      </w:pPr>
    </w:p>
    <w:p>
      <w:pPr>
        <w:ind w:left="1280" w:right="539" w:hanging="328"/>
        <w:spacing w:after="0" w:line="231"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or clinical trials or the clinical trials of others for drug candidates similar to ours, leading to a decision or requirement to conduct additional preclinical testing or clinical trials or abandon a program;</w:t>
      </w:r>
    </w:p>
    <w:p>
      <w:pPr>
        <w:spacing w:after="0" w:line="50" w:lineRule="exact"/>
        <w:rPr>
          <w:rFonts w:ascii="Times New Roman" w:cs="Times New Roman" w:eastAsia="Times New Roman" w:hAnsi="Times New Roman"/>
          <w:sz w:val="18"/>
          <w:szCs w:val="18"/>
          <w:color w:val="auto"/>
        </w:rPr>
      </w:pPr>
    </w:p>
    <w:p>
      <w:pPr>
        <w:ind w:left="1280" w:right="419" w:hanging="328"/>
        <w:spacing w:after="0" w:line="237"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subjects in our clinical trials or by individuals using drugs or therapeutics comparable to our drug candidates;</w:t>
      </w:r>
    </w:p>
    <w:p>
      <w:pPr>
        <w:spacing w:after="0" w:line="63" w:lineRule="exact"/>
        <w:rPr>
          <w:rFonts w:ascii="Times New Roman" w:cs="Times New Roman" w:eastAsia="Times New Roman" w:hAnsi="Times New Roman"/>
          <w:sz w:val="18"/>
          <w:szCs w:val="18"/>
          <w:color w:val="auto"/>
        </w:rPr>
      </w:pPr>
    </w:p>
    <w:p>
      <w:pPr>
        <w:ind w:left="1280" w:right="419" w:hanging="328"/>
        <w:spacing w:after="0" w:line="224"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investigational new drug applications in the United States or comparable foreign applications or delays or failure in obtaining the necessary approvals from regulators or institutional review boards (“IRBs”) or positive opinions from ethics committees to commence a clinical trial, or a suspension or termination of a clinical trial once commenced;</w:t>
      </w:r>
    </w:p>
    <w:p>
      <w:pPr>
        <w:spacing w:after="0" w:line="50" w:lineRule="exact"/>
        <w:rPr>
          <w:rFonts w:ascii="Times New Roman" w:cs="Times New Roman" w:eastAsia="Times New Roman" w:hAnsi="Times New Roman"/>
          <w:sz w:val="18"/>
          <w:szCs w:val="18"/>
          <w:color w:val="auto"/>
        </w:rPr>
      </w:pPr>
    </w:p>
    <w:p>
      <w:pPr>
        <w:ind w:left="1280" w:right="519" w:hanging="328"/>
        <w:spacing w:after="0" w:line="237"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FDA or comparable foreign authorities do not accept the earlier preclinical and clinical trial work, then we may need to conduct additional preclinical studies or clinical trials beyond that which we currently have planned and significant preclinical study or clinical trial delays also could shorten any periods during which we may have the exclusive right to commercialize our drug candidates or</w:t>
      </w:r>
    </w:p>
    <w:p>
      <w:pPr>
        <w:sectPr>
          <w:pgSz w:w="11900" w:h="16838" w:orient="portrait"/>
          <w:cols w:equalWidth="0" w:num="1">
            <w:col w:w="9019"/>
          </w:cols>
          <w:pgMar w:left="1440" w:top="4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type w:val="continuous"/>
        </w:sectPr>
      </w:pPr>
    </w:p>
    <w:bookmarkStart w:id="14" w:name="page15"/>
    <w:bookmarkEnd w:id="14"/>
    <w:p>
      <w:pPr>
        <w:ind w:left="1280" w:right="459"/>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t>allow our competitors to bring products to market before we do and impair our ability to successfully commercialize our drug candidates and may harm our business;</w:t>
      </w:r>
    </w:p>
    <w:p>
      <w:pPr>
        <w:spacing w:after="0" w:line="64" w:lineRule="exact"/>
        <w:rPr>
          <w:sz w:val="20"/>
          <w:szCs w:val="20"/>
          <w:color w:val="auto"/>
        </w:rPr>
      </w:pPr>
    </w:p>
    <w:p>
      <w:pPr>
        <w:ind w:left="1280" w:right="339" w:hanging="328"/>
        <w:spacing w:after="0" w:line="237"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50" w:lineRule="exact"/>
        <w:rPr>
          <w:rFonts w:ascii="Times New Roman" w:cs="Times New Roman" w:eastAsia="Times New Roman" w:hAnsi="Times New Roman"/>
          <w:sz w:val="18"/>
          <w:szCs w:val="18"/>
          <w:color w:val="auto"/>
        </w:rPr>
      </w:pPr>
    </w:p>
    <w:p>
      <w:pPr>
        <w:ind w:left="1280" w:right="699" w:hanging="328"/>
        <w:spacing w:after="0" w:line="237"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contracting with clinical sites or enrolling subjects in clinical trials, including due to any health pandemic and/or other macroeconomic factors;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interruptions in the supply of materials necessary for the conduct of our clinical trials;</w:t>
      </w:r>
    </w:p>
    <w:p>
      <w:pPr>
        <w:spacing w:after="0" w:line="90" w:lineRule="exact"/>
        <w:rPr>
          <w:rFonts w:ascii="Times New Roman" w:cs="Times New Roman" w:eastAsia="Times New Roman" w:hAnsi="Times New Roman"/>
          <w:sz w:val="18"/>
          <w:szCs w:val="18"/>
          <w:color w:val="auto"/>
        </w:rPr>
      </w:pPr>
    </w:p>
    <w:p>
      <w:pPr>
        <w:ind w:left="1280" w:right="439" w:hanging="328"/>
        <w:spacing w:after="0" w:line="263"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may not authorize us or our investigators to commence a clinical trial or conduct a clinical trial at a prospective trial site or ethics committees may not issue required positive opinions;</w:t>
      </w:r>
    </w:p>
    <w:p>
      <w:pPr>
        <w:spacing w:after="0" w:line="30" w:lineRule="exact"/>
        <w:rPr>
          <w:rFonts w:ascii="Times New Roman" w:cs="Times New Roman" w:eastAsia="Times New Roman" w:hAnsi="Times New Roman"/>
          <w:sz w:val="17"/>
          <w:szCs w:val="17"/>
          <w:color w:val="auto"/>
        </w:rPr>
      </w:pPr>
    </w:p>
    <w:p>
      <w:pPr>
        <w:ind w:left="1280" w:right="419" w:hanging="328"/>
        <w:spacing w:after="0" w:line="231"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50" w:lineRule="exact"/>
        <w:rPr>
          <w:rFonts w:ascii="Times New Roman" w:cs="Times New Roman" w:eastAsia="Times New Roman" w:hAnsi="Times New Roman"/>
          <w:sz w:val="18"/>
          <w:szCs w:val="18"/>
          <w:color w:val="auto"/>
        </w:rPr>
      </w:pPr>
    </w:p>
    <w:p>
      <w:pPr>
        <w:ind w:left="1280" w:right="759" w:hanging="328"/>
        <w:spacing w:after="0" w:line="247"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or failure to reach, agreement on acceptable terms with prospective trial sites, investigators and prospective contract research organizations (“CROs”) which can be subject to extensive negotiation and may vary significantly among different CROs and trial sites;</w:t>
      </w:r>
    </w:p>
    <w:p>
      <w:pPr>
        <w:spacing w:after="0" w:line="44" w:lineRule="exact"/>
        <w:rPr>
          <w:rFonts w:ascii="Times New Roman" w:cs="Times New Roman" w:eastAsia="Times New Roman" w:hAnsi="Times New Roman"/>
          <w:sz w:val="17"/>
          <w:szCs w:val="17"/>
          <w:color w:val="auto"/>
        </w:rPr>
      </w:pPr>
    </w:p>
    <w:p>
      <w:pPr>
        <w:ind w:left="1280" w:right="399" w:hanging="328"/>
        <w:spacing w:after="0" w:line="231"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drug candidates may be larger than we anticipate or subjects may drop out of these clinical trials or fail to return for post-treatment follow-up at a higher rate than we anticipate;</w:t>
      </w:r>
    </w:p>
    <w:p>
      <w:pPr>
        <w:spacing w:after="0" w:line="50" w:lineRule="exact"/>
        <w:rPr>
          <w:rFonts w:ascii="Times New Roman" w:cs="Times New Roman" w:eastAsia="Times New Roman" w:hAnsi="Times New Roman"/>
          <w:sz w:val="18"/>
          <w:szCs w:val="18"/>
          <w:color w:val="auto"/>
        </w:rPr>
      </w:pPr>
    </w:p>
    <w:p>
      <w:pPr>
        <w:jc w:val="both"/>
        <w:ind w:left="1280" w:right="499" w:hanging="328"/>
        <w:spacing w:after="0" w:line="224"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for preclinical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64" w:lineRule="exact"/>
        <w:rPr>
          <w:rFonts w:ascii="Times New Roman" w:cs="Times New Roman" w:eastAsia="Times New Roman" w:hAnsi="Times New Roman"/>
          <w:sz w:val="18"/>
          <w:szCs w:val="18"/>
          <w:color w:val="auto"/>
        </w:rPr>
      </w:pPr>
    </w:p>
    <w:p>
      <w:pPr>
        <w:jc w:val="both"/>
        <w:ind w:left="1280" w:right="579" w:hanging="328"/>
        <w:spacing w:after="0" w:line="226"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 including as a result of delays or interruptions that could increase the overall costs to finish our clinical trials as our fixed costs are not substantially reduced during delays;</w:t>
      </w:r>
    </w:p>
    <w:p>
      <w:pPr>
        <w:spacing w:after="0" w:line="63" w:lineRule="exact"/>
        <w:rPr>
          <w:rFonts w:ascii="Times New Roman" w:cs="Times New Roman" w:eastAsia="Times New Roman" w:hAnsi="Times New Roman"/>
          <w:sz w:val="18"/>
          <w:szCs w:val="18"/>
          <w:color w:val="auto"/>
        </w:rPr>
      </w:pPr>
    </w:p>
    <w:p>
      <w:pPr>
        <w:ind w:left="1280" w:right="339" w:hanging="328"/>
        <w:spacing w:after="0" w:line="224"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ethics committees or Data Safety Monitoring Boards (“DSMBs”)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50" w:lineRule="exact"/>
        <w:rPr>
          <w:rFonts w:ascii="Times New Roman" w:cs="Times New Roman" w:eastAsia="Times New Roman" w:hAnsi="Times New Roman"/>
          <w:sz w:val="18"/>
          <w:szCs w:val="18"/>
          <w:color w:val="auto"/>
        </w:rPr>
      </w:pPr>
    </w:p>
    <w:p>
      <w:pPr>
        <w:ind w:left="1280" w:right="399" w:hanging="328"/>
        <w:spacing w:after="0" w:line="237"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financial resources available to begin and complete the planned trials, or the cost of clinical trials of any drug candidates may be greater than we anticipate;</w:t>
      </w:r>
    </w:p>
    <w:p>
      <w:pPr>
        <w:spacing w:after="0" w:line="63" w:lineRule="exact"/>
        <w:rPr>
          <w:rFonts w:ascii="Times New Roman" w:cs="Times New Roman" w:eastAsia="Times New Roman" w:hAnsi="Times New Roman"/>
          <w:sz w:val="18"/>
          <w:szCs w:val="18"/>
          <w:color w:val="auto"/>
        </w:rPr>
      </w:pPr>
    </w:p>
    <w:p>
      <w:pPr>
        <w:ind w:left="1280" w:right="559" w:hanging="328"/>
        <w:spacing w:after="0" w:line="237"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to initiate or complete a given clinical trial;</w:t>
      </w:r>
    </w:p>
    <w:p>
      <w:pPr>
        <w:spacing w:after="0" w:line="50" w:lineRule="exact"/>
        <w:rPr>
          <w:rFonts w:ascii="Times New Roman" w:cs="Times New Roman" w:eastAsia="Times New Roman" w:hAnsi="Times New Roman"/>
          <w:sz w:val="18"/>
          <w:szCs w:val="18"/>
          <w:color w:val="auto"/>
        </w:rPr>
      </w:pPr>
    </w:p>
    <w:p>
      <w:pPr>
        <w:ind w:left="1280" w:right="519" w:hanging="328"/>
        <w:spacing w:after="0" w:line="224"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require us to submit additional data such as long term toxicology studies, or impose other requirements before permitting us to initiate a clinical trial, including because the FDA has not reviewed our preclinical or clinical data, to date, having been developed outside the United States;</w:t>
      </w:r>
    </w:p>
    <w:p>
      <w:pPr>
        <w:spacing w:after="0" w:line="64"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our drug candidates during clinical trials;</w:t>
      </w:r>
    </w:p>
    <w:p>
      <w:pPr>
        <w:spacing w:after="0" w:line="76" w:lineRule="exact"/>
        <w:rPr>
          <w:rFonts w:ascii="Times New Roman" w:cs="Times New Roman" w:eastAsia="Times New Roman" w:hAnsi="Times New Roman"/>
          <w:sz w:val="18"/>
          <w:szCs w:val="18"/>
          <w:color w:val="auto"/>
        </w:rPr>
      </w:pPr>
    </w:p>
    <w:p>
      <w:pPr>
        <w:ind w:left="1280" w:right="1239" w:hanging="328"/>
        <w:spacing w:after="0" w:line="250"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clinical trial sites or manufacturing facilities;</w:t>
      </w:r>
    </w:p>
    <w:p>
      <w:pPr>
        <w:spacing w:after="0" w:line="41" w:lineRule="exact"/>
        <w:rPr>
          <w:rFonts w:ascii="Times New Roman" w:cs="Times New Roman" w:eastAsia="Times New Roman" w:hAnsi="Times New Roman"/>
          <w:sz w:val="18"/>
          <w:szCs w:val="18"/>
          <w:color w:val="auto"/>
        </w:rPr>
      </w:pPr>
    </w:p>
    <w:p>
      <w:pPr>
        <w:ind w:left="1280" w:right="519" w:hanging="328"/>
        <w:spacing w:after="0" w:line="247"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product labeling associated with any product approvals and any requirements for a Risk Evaluation and Mitigation Strategy (“REMS”) that may be required by the FDA or comparable requirements in other jurisdictions to ensure the benefits of an individual product outweigh its risks;</w:t>
      </w:r>
    </w:p>
    <w:p>
      <w:pPr>
        <w:spacing w:after="0" w:line="44" w:lineRule="exact"/>
        <w:rPr>
          <w:rFonts w:ascii="Times New Roman" w:cs="Times New Roman" w:eastAsia="Times New Roman" w:hAnsi="Times New Roman"/>
          <w:sz w:val="17"/>
          <w:szCs w:val="17"/>
          <w:color w:val="auto"/>
        </w:rPr>
      </w:pPr>
    </w:p>
    <w:p>
      <w:pPr>
        <w:ind w:left="1280" w:right="499" w:hanging="328"/>
        <w:spacing w:after="0" w:line="237"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acceptance of our clinical trial data by the patient or medical communities or third-party payors;</w:t>
      </w:r>
    </w:p>
    <w:p>
      <w:pPr>
        <w:spacing w:after="0" w:line="158" w:lineRule="exact"/>
        <w:rPr>
          <w:rFonts w:ascii="Times New Roman" w:cs="Times New Roman" w:eastAsia="Times New Roman" w:hAnsi="Times New Roman"/>
          <w:sz w:val="18"/>
          <w:szCs w:val="18"/>
          <w:color w:val="auto"/>
        </w:rPr>
      </w:pPr>
    </w:p>
    <w:p>
      <w:pPr>
        <w:ind w:left="1280" w:right="539" w:hanging="328"/>
        <w:spacing w:after="0" w:line="231"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our manufacturing,</w:t>
      </w:r>
    </w:p>
    <w:p>
      <w:pPr>
        <w:ind w:left="300"/>
        <w:spacing w:after="0"/>
        <w:rPr>
          <w:sz w:val="20"/>
          <w:szCs w:val="20"/>
          <w:color w:val="auto"/>
        </w:rPr>
      </w:pPr>
      <w:r>
        <w:rPr>
          <w:rFonts w:ascii="Times New Roman" w:cs="Times New Roman" w:eastAsia="Times New Roman" w:hAnsi="Times New Roman"/>
          <w:sz w:val="18"/>
          <w:szCs w:val="18"/>
          <w:color w:val="auto"/>
        </w:rPr>
        <w:t>marketing, distribution and sales efforts or that of any future collaborator.</w:t>
      </w:r>
    </w:p>
    <w:p>
      <w:pPr>
        <w:spacing w:after="0" w:line="53" w:lineRule="exact"/>
        <w:rPr>
          <w:sz w:val="20"/>
          <w:szCs w:val="20"/>
          <w:color w:val="auto"/>
        </w:rPr>
      </w:pPr>
    </w:p>
    <w:p>
      <w:pPr>
        <w:ind w:left="300" w:right="57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64" w:lineRule="exact"/>
        <w:rPr>
          <w:sz w:val="20"/>
          <w:szCs w:val="20"/>
          <w:color w:val="auto"/>
        </w:rPr>
      </w:pPr>
    </w:p>
    <w:p>
      <w:pPr>
        <w:jc w:val="both"/>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Patient enrollment is a significant factor in the timing of clinical trials, including with respect to data read and the timing of our clinical trials will depend, in part, on the speed at which we can recruit patients to participate in our trials, as well as completion of required follow-up periods. We may not be able to initiate or continue clinical trials</w:t>
      </w:r>
    </w:p>
    <w:p>
      <w:pPr>
        <w:ind w:left="300" w:right="419"/>
        <w:spacing w:after="0" w:line="239" w:lineRule="auto"/>
        <w:rPr>
          <w:sz w:val="20"/>
          <w:szCs w:val="20"/>
          <w:color w:val="auto"/>
        </w:rPr>
      </w:pPr>
      <w:r>
        <w:rPr>
          <w:rFonts w:ascii="Times New Roman" w:cs="Times New Roman" w:eastAsia="Times New Roman" w:hAnsi="Times New Roman"/>
          <w:sz w:val="17"/>
          <w:szCs w:val="17"/>
          <w:color w:val="auto"/>
        </w:rPr>
        <w:t>for our drug candidates if we are unable to locate and enroll a sufficient number of eligible patients to participate in these trials to such trial’s conclusion as required by applicable regulatory authorities. The eligibility criteria of our</w:t>
      </w:r>
    </w:p>
    <w:p>
      <w:pPr>
        <w:sectPr>
          <w:pgSz w:w="11900" w:h="16838" w:orient="portrait"/>
          <w:cols w:equalWidth="0" w:num="1">
            <w:col w:w="9019"/>
          </w:cols>
          <w:pgMar w:left="1440" w:top="148" w:right="1440" w:bottom="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color w:val="auto"/>
        </w:rPr>
        <w:t>clinical trials, once established, may further limit the pool of available trial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Patient enrollment in clinical trials may be affected by other factors, including:</w:t>
      </w:r>
    </w:p>
    <w:p>
      <w:pPr>
        <w:spacing w:after="0" w:line="57" w:lineRule="exact"/>
        <w:rPr>
          <w:sz w:val="20"/>
          <w:szCs w:val="20"/>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targeted patient population;</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investigation;</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drug candidate under study;</w:t>
      </w:r>
    </w:p>
    <w:p>
      <w:pPr>
        <w:spacing w:after="0" w:line="90" w:lineRule="exact"/>
        <w:rPr>
          <w:rFonts w:ascii="Times New Roman" w:cs="Times New Roman" w:eastAsia="Times New Roman" w:hAnsi="Times New Roman"/>
          <w:sz w:val="18"/>
          <w:szCs w:val="18"/>
          <w:color w:val="auto"/>
        </w:rPr>
      </w:pPr>
    </w:p>
    <w:p>
      <w:pPr>
        <w:ind w:left="1280" w:right="399" w:hanging="328"/>
        <w:spacing w:after="0" w:line="226"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products that may be approved for, or any drug candidates under investigation for, the indications we are investigating;</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84"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instability in the geographic regions in which our clinical trial sites are located;</w:t>
      </w:r>
    </w:p>
    <w:p>
      <w:pPr>
        <w:spacing w:after="0" w:line="117"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such trials before completion.</w:t>
      </w:r>
    </w:p>
    <w:p>
      <w:pPr>
        <w:spacing w:after="0" w:line="90"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delays in our clinical trials may result in increased development costs for our drug candidates and jeopardize our ability to obtain regulatory approval for the sale of our drug candidates. Furthermore, even if we are able to enroll a sufficient number of patients for our clinical trials, we may have difficulty maintaining enrollment of such patients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our clinical trials.</w:t>
      </w:r>
    </w:p>
    <w:p>
      <w:pPr>
        <w:spacing w:after="0" w:line="53"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are developing certain of our drug candidates in combination with other therapies, and safety or supply issues with combination use products may delay or prevent development and approval of our therapeutic candidates.</w:t>
      </w:r>
    </w:p>
    <w:p>
      <w:pPr>
        <w:spacing w:after="0" w:line="40"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We are developing certain of our drug candidates in combination with one or more approved or investigational therapies. Even if any drug candidate we develop were to receive marketing approval or be commercialized for use in combination with other existing therapies, we would continue to be subject to the risks that the FDA, European</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Commission, PDMA or similar foreign regulatory authorities could revoke approval of the therapy used in combination with our product or that safety, efficacy, manufacturing or supply issues could arise with any of those existing therapies. If the therapies we use in combination with our drug candidates are replaced as the standard of</w:t>
      </w:r>
    </w:p>
    <w:p>
      <w:pPr>
        <w:spacing w:after="0" w:line="2" w:lineRule="exact"/>
        <w:rPr>
          <w:sz w:val="20"/>
          <w:szCs w:val="20"/>
          <w:color w:val="auto"/>
        </w:rPr>
      </w:pP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care for the indications we choose for any of our drug candidates, the EMA, FDA, PDMA or similar foreign regulatory authorities outside may require us to conduct additional clinical trials. The occurrence of any of these risks could result in our own products, if approved, being removed from the market or being less successful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commercially.</w:t>
      </w:r>
    </w:p>
    <w:p>
      <w:pPr>
        <w:spacing w:after="0" w:line="57"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We also may evaluate our drug candidates in combination with one or more therapies that have not yet been approved for marketing by the FDA, European Commission, PDMA or similar foreign regulatory authorities. We</w:t>
      </w:r>
    </w:p>
    <w:p>
      <w:pPr>
        <w:ind w:left="300"/>
        <w:spacing w:after="0"/>
        <w:rPr>
          <w:sz w:val="20"/>
          <w:szCs w:val="20"/>
          <w:color w:val="auto"/>
        </w:rPr>
      </w:pPr>
      <w:r>
        <w:rPr>
          <w:rFonts w:ascii="Times New Roman" w:cs="Times New Roman" w:eastAsia="Times New Roman" w:hAnsi="Times New Roman"/>
          <w:sz w:val="18"/>
          <w:szCs w:val="18"/>
          <w:color w:val="auto"/>
        </w:rPr>
        <w:t>will not be able to market and sell any drug candidate we develop in combination with an unapproved therapy if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99"/>
        <w:spacing w:after="0" w:line="236" w:lineRule="auto"/>
        <w:rPr>
          <w:sz w:val="20"/>
          <w:szCs w:val="20"/>
          <w:color w:val="auto"/>
        </w:rPr>
      </w:pPr>
      <w:r>
        <w:rPr>
          <w:rFonts w:ascii="Times New Roman" w:cs="Times New Roman" w:eastAsia="Times New Roman" w:hAnsi="Times New Roman"/>
          <w:sz w:val="17"/>
          <w:szCs w:val="17"/>
          <w:color w:val="auto"/>
        </w:rPr>
        <w:t>unapproved therapy does not ultimately obtain marketing approval. In addition, unapproved therapies face the same risks described with respect to our drug candidates currently in development, including the potential for serious</w:t>
      </w: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adverse effects, delay in their clinical trials and lack of FDA, European Commission, PDMA, or similar foreign regulatory authorities approval.</w:t>
      </w:r>
    </w:p>
    <w:p>
      <w:pPr>
        <w:spacing w:after="0" w:line="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If the FDA, European Commission or similar foreign regulatory authorities do not approve these other</w:t>
      </w:r>
    </w:p>
    <w:p>
      <w:pPr>
        <w:spacing w:after="0" w:line="2" w:lineRule="exact"/>
        <w:rPr>
          <w:sz w:val="20"/>
          <w:szCs w:val="20"/>
          <w:color w:val="auto"/>
        </w:rPr>
      </w:pPr>
    </w:p>
    <w:p>
      <w:pPr>
        <w:jc w:val="both"/>
        <w:ind w:left="300" w:right="499"/>
        <w:spacing w:after="0" w:line="218" w:lineRule="auto"/>
        <w:rPr>
          <w:sz w:val="20"/>
          <w:szCs w:val="20"/>
          <w:color w:val="auto"/>
        </w:rPr>
      </w:pPr>
      <w:r>
        <w:rPr>
          <w:rFonts w:ascii="Times New Roman" w:cs="Times New Roman" w:eastAsia="Times New Roman" w:hAnsi="Times New Roman"/>
          <w:sz w:val="18"/>
          <w:szCs w:val="18"/>
          <w:color w:val="auto"/>
        </w:rPr>
        <w:t>therapies or revoke their approval of, or if safety, efficacy, manufacturing or supply issues arise with, the therapies we choose to evaluate in combination with our drug candidates, we may be unable to obtain approval of or market any such drug candidate.</w:t>
      </w:r>
    </w:p>
    <w:p>
      <w:pPr>
        <w:spacing w:after="0" w:line="60" w:lineRule="exact"/>
        <w:rPr>
          <w:sz w:val="20"/>
          <w:szCs w:val="20"/>
          <w:color w:val="auto"/>
        </w:rPr>
      </w:pPr>
    </w:p>
    <w:p>
      <w:pPr>
        <w:ind w:left="300" w:right="69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our drug candidates outside of the U.S., and the FDA may not accept data from such trials, in which case our development plans may be delayed, which could materially harm our business.</w:t>
      </w:r>
    </w:p>
    <w:p>
      <w:pPr>
        <w:spacing w:after="0" w:line="65" w:lineRule="exact"/>
        <w:rPr>
          <w:sz w:val="20"/>
          <w:szCs w:val="20"/>
          <w:color w:val="auto"/>
        </w:rPr>
      </w:pPr>
    </w:p>
    <w:p>
      <w:pPr>
        <w:jc w:val="both"/>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We have in the past conducted clinical trials or a portion of our clinical trials for our drug candidates outside the U.S. The acceptance of study data from clinical trials conducted outside the U.S. or another jurisdiction by the FDA or comparable foreign regulatory authority may be subject to certain conditions or may not be accepted at all.</w:t>
      </w:r>
    </w:p>
    <w:p>
      <w:pPr>
        <w:jc w:val="both"/>
        <w:ind w:left="300" w:right="499"/>
        <w:spacing w:after="0" w:line="220" w:lineRule="auto"/>
        <w:rPr>
          <w:sz w:val="20"/>
          <w:szCs w:val="20"/>
          <w:color w:val="auto"/>
        </w:rPr>
      </w:pPr>
      <w:r>
        <w:rPr>
          <w:rFonts w:ascii="Times New Roman" w:cs="Times New Roman" w:eastAsia="Times New Roman" w:hAnsi="Times New Roman"/>
          <w:sz w:val="17"/>
          <w:szCs w:val="17"/>
          <w:color w:val="auto"/>
        </w:rPr>
        <w:t>In cases where data from foreign clinical trials are intended to serve as the sole basis for marketing approval in the U.S., for example, the FDA will generally not approve the application on the basis of foreign data alone unless (i) the data are applicable to the U.S. population and U.S. medical practice; (ii) the trials were performed by clinical</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foreign study data are not intended to serve as the sole basis for approval, the FDA will not accept the data as</w:t>
      </w:r>
    </w:p>
    <w:p>
      <w:pPr>
        <w:sectPr>
          <w:pgSz w:w="11900" w:h="16838" w:orient="portrait"/>
          <w:cols w:equalWidth="0" w:num="1">
            <w:col w:w="9019"/>
          </w:cols>
          <w:pgMar w:left="1440" w:top="108" w:right="1440" w:bottom="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0"/>
          <w:szCs w:val="10"/>
          <w:color w:val="auto"/>
        </w:rPr>
        <w:t>accordancesupportfor anwithapplicationGCPrequirefor</w:t>
      </w:r>
      <w:r>
        <w:rPr>
          <w:rFonts w:ascii="Times New Roman" w:cs="Times New Roman" w:eastAsia="Times New Roman" w:hAnsi="Times New Roman"/>
          <w:sz w:val="10"/>
          <w:szCs w:val="10"/>
          <w:b w:val="1"/>
          <w:bCs w:val="1"/>
          <w:color w:val="auto"/>
        </w:rPr>
        <w:t>m</w:t>
      </w:r>
      <w:r>
        <w:rPr>
          <w:rFonts w:ascii="Times New Roman" w:cs="Times New Roman" w:eastAsia="Times New Roman" w:hAnsi="Times New Roman"/>
          <w:sz w:val="10"/>
          <w:szCs w:val="10"/>
          <w:color w:val="auto"/>
        </w:rPr>
        <w:t>entsarketiandg theapprovalFDA isunlessable tohevalidatestudyisthewelldata-designedfromtheandstudywellthr-c</w:t>
      </w:r>
      <w:r>
        <w:rPr>
          <w:rFonts w:ascii="Times New Roman" w:cs="Times New Roman" w:eastAsia="Times New Roman" w:hAnsi="Times New Roman"/>
          <w:sz w:val="10"/>
          <w:szCs w:val="10"/>
          <w:b w:val="1"/>
          <w:bCs w:val="1"/>
          <w:color w:val="auto"/>
        </w:rPr>
        <w:t>o</w:t>
      </w:r>
      <w:r>
        <w:rPr>
          <w:rFonts w:ascii="Times New Roman" w:cs="Times New Roman" w:eastAsia="Times New Roman" w:hAnsi="Times New Roman"/>
          <w:sz w:val="10"/>
          <w:szCs w:val="10"/>
          <w:color w:val="auto"/>
        </w:rPr>
        <w:t>nductedughanonsitei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-52070</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line="74"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w:t>
      </w:r>
    </w:p>
    <w:p>
      <w:pPr>
        <w:ind w:left="300"/>
        <w:spacing w:after="0" w:line="206" w:lineRule="auto"/>
        <w:rPr>
          <w:sz w:val="20"/>
          <w:szCs w:val="20"/>
          <w:color w:val="auto"/>
        </w:rPr>
      </w:pPr>
      <w:r>
        <w:rPr>
          <w:rFonts w:ascii="Times New Roman" w:cs="Times New Roman" w:eastAsia="Times New Roman" w:hAnsi="Times New Roman"/>
          <w:sz w:val="18"/>
          <w:szCs w:val="18"/>
          <w:color w:val="auto"/>
        </w:rPr>
        <w:t>comparable foreign regulatory authority will accept data from trials conducted outside of the U.S. or the relevant</w:t>
      </w:r>
    </w:p>
    <w:p>
      <w:pPr>
        <w:ind w:left="300"/>
        <w:spacing w:after="0" w:line="203" w:lineRule="auto"/>
        <w:rPr>
          <w:sz w:val="20"/>
          <w:szCs w:val="20"/>
          <w:color w:val="auto"/>
        </w:rPr>
      </w:pPr>
      <w:r>
        <w:rPr>
          <w:rFonts w:ascii="Times New Roman" w:cs="Times New Roman" w:eastAsia="Times New Roman" w:hAnsi="Times New Roman"/>
          <w:sz w:val="18"/>
          <w:szCs w:val="18"/>
          <w:color w:val="auto"/>
        </w:rPr>
        <w:t>jurisdiction. If the FDA or any comparable foreign regulatory authority does not accept such data, it may result in</w:t>
      </w:r>
    </w:p>
    <w:p>
      <w:pPr>
        <w:ind w:left="300"/>
        <w:spacing w:after="0" w:line="219" w:lineRule="auto"/>
        <w:rPr>
          <w:sz w:val="20"/>
          <w:szCs w:val="20"/>
          <w:color w:val="auto"/>
        </w:rPr>
      </w:pPr>
      <w:r>
        <w:rPr>
          <w:rFonts w:ascii="Times New Roman" w:cs="Times New Roman" w:eastAsia="Times New Roman" w:hAnsi="Times New Roman"/>
          <w:sz w:val="18"/>
          <w:szCs w:val="18"/>
          <w:color w:val="auto"/>
        </w:rPr>
        <w:t>the need for additional trials, which could be costly and time-consuming, and which may result in current or future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drug candidates that we may develop not receiving approval for commercialization in the applicable jurisdiction.</w:t>
      </w:r>
    </w:p>
    <w:p>
      <w:pPr>
        <w:spacing w:after="0" w:line="53" w:lineRule="exact"/>
        <w:rPr>
          <w:sz w:val="20"/>
          <w:szCs w:val="20"/>
          <w:color w:val="auto"/>
        </w:rPr>
      </w:pPr>
    </w:p>
    <w:p>
      <w:pPr>
        <w:ind w:left="300" w:right="699" w:firstLine="4"/>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w:t>
      </w: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verification procedures that could result in material changes in the final data.</w:t>
      </w:r>
    </w:p>
    <w:p>
      <w:pPr>
        <w:spacing w:after="0" w:line="57" w:lineRule="exact"/>
        <w:rPr>
          <w:sz w:val="20"/>
          <w:szCs w:val="20"/>
          <w:color w:val="auto"/>
        </w:rPr>
      </w:pPr>
    </w:p>
    <w:p>
      <w:pPr>
        <w:ind w:left="300" w:right="459" w:firstLine="441"/>
        <w:spacing w:after="0" w:line="22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w:t>
      </w:r>
    </w:p>
    <w:p>
      <w:pPr>
        <w:spacing w:after="0" w:line="2" w:lineRule="exact"/>
        <w:rPr>
          <w:sz w:val="20"/>
          <w:szCs w:val="20"/>
          <w:color w:val="auto"/>
        </w:rPr>
      </w:pPr>
    </w:p>
    <w:p>
      <w:pPr>
        <w:jc w:val="both"/>
        <w:ind w:left="300" w:right="479"/>
        <w:spacing w:after="0" w:line="220" w:lineRule="auto"/>
        <w:rPr>
          <w:sz w:val="20"/>
          <w:szCs w:val="20"/>
          <w:color w:val="auto"/>
        </w:rPr>
      </w:pPr>
      <w:r>
        <w:rPr>
          <w:rFonts w:ascii="Times New Roman" w:cs="Times New Roman" w:eastAsia="Times New Roman" w:hAnsi="Times New Roman"/>
          <w:sz w:val="17"/>
          <w:szCs w:val="17"/>
          <w:color w:val="auto"/>
        </w:rPr>
        <w:t>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w:t>
      </w:r>
    </w:p>
    <w:p>
      <w:pPr>
        <w:spacing w:after="0" w:line="2" w:lineRule="exact"/>
        <w:rPr>
          <w:sz w:val="20"/>
          <w:szCs w:val="20"/>
          <w:color w:val="auto"/>
        </w:rPr>
      </w:pP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the final data being materially different from the top-line or preliminary data we previously published. As a result, top-line and preliminary data should be viewed with caution until the final data are available. Moreover, caution should be exercised in drawing any conclusions from a comparison of data that does not come from head-to-head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analysis.</w:t>
      </w:r>
    </w:p>
    <w:p>
      <w:pPr>
        <w:spacing w:after="0" w:line="57" w:lineRule="exact"/>
        <w:rPr>
          <w:sz w:val="20"/>
          <w:szCs w:val="20"/>
          <w:color w:val="auto"/>
        </w:rPr>
      </w:pPr>
    </w:p>
    <w:p>
      <w:pPr>
        <w:jc w:val="both"/>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Interim data from clinical trials that we may complete are further subject to the risk that one or more of the clinical outcomes may materially change as patient enrollment continues and more patient data become available.</w:t>
      </w: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Adverse differences between interim, top-line or preliminary data and final data could significantly harm our business prospects. Further, disclosure of such data by us or by our competitors could result in volatility in the price of our securities.</w:t>
      </w:r>
    </w:p>
    <w:p>
      <w:pPr>
        <w:spacing w:after="0" w:line="64" w:lineRule="exact"/>
        <w:rPr>
          <w:sz w:val="20"/>
          <w:szCs w:val="20"/>
          <w:color w:val="auto"/>
        </w:rPr>
      </w:pPr>
    </w:p>
    <w:p>
      <w:pPr>
        <w:ind w:left="300" w:right="619" w:firstLine="441"/>
        <w:spacing w:after="0" w:line="229" w:lineRule="auto"/>
        <w:rPr>
          <w:sz w:val="20"/>
          <w:szCs w:val="20"/>
          <w:color w:val="auto"/>
        </w:rPr>
      </w:pPr>
      <w:r>
        <w:rPr>
          <w:rFonts w:ascii="Times New Roman" w:cs="Times New Roman" w:eastAsia="Times New Roman" w:hAnsi="Times New Roman"/>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drug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 w:lineRule="exact"/>
        <w:rPr>
          <w:sz w:val="20"/>
          <w:szCs w:val="20"/>
          <w:color w:val="auto"/>
        </w:rPr>
      </w:pPr>
    </w:p>
    <w:p>
      <w:pPr>
        <w:ind w:left="300" w:right="619"/>
        <w:spacing w:after="0" w:line="231" w:lineRule="auto"/>
        <w:rPr>
          <w:sz w:val="20"/>
          <w:szCs w:val="20"/>
          <w:color w:val="auto"/>
        </w:rPr>
      </w:pPr>
      <w:r>
        <w:rPr>
          <w:rFonts w:ascii="Times New Roman" w:cs="Times New Roman" w:eastAsia="Times New Roman" w:hAnsi="Times New Roman"/>
          <w:sz w:val="17"/>
          <w:szCs w:val="17"/>
          <w:color w:val="auto"/>
        </w:rPr>
        <w:t>and any information we determine not to disclose may ultimately be deemed significant with respect to future decisions, conclusions, views, activities or otherwise regarding a particular drug candidate or our business. If the interim, top-line or preliminary data that we report differ from actual results, or if others, including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59"/>
        <w:spacing w:after="0" w:line="263" w:lineRule="auto"/>
        <w:rPr>
          <w:sz w:val="20"/>
          <w:szCs w:val="20"/>
          <w:color w:val="auto"/>
        </w:rPr>
      </w:pPr>
      <w:r>
        <w:rPr>
          <w:rFonts w:ascii="Times New Roman" w:cs="Times New Roman" w:eastAsia="Times New Roman" w:hAnsi="Times New Roman"/>
          <w:sz w:val="17"/>
          <w:szCs w:val="17"/>
          <w:color w:val="auto"/>
        </w:rPr>
        <w:t>authorities, disagree with the conclusions reached, our ability to obtain approval for, and commercialize, our drug candidates may be harmed, which could harm our business, operating results, prospects or financial condition.</w:t>
      </w:r>
    </w:p>
    <w:p>
      <w:pPr>
        <w:spacing w:after="0" w:line="40" w:lineRule="exact"/>
        <w:rPr>
          <w:sz w:val="20"/>
          <w:szCs w:val="20"/>
          <w:color w:val="auto"/>
        </w:rPr>
      </w:pPr>
    </w:p>
    <w:p>
      <w:pPr>
        <w:ind w:left="300" w:right="459"/>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prevent new or modified products from being developed, reviewed, approved or commercialized in a timely manner or at all, which could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negatively impact our business.</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The ability of the FDA and foreign regulatory authorities to review and approve new products can be affected by a variety of factors, including government budget and funding levels, statutory, regulatory and policy changes,</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to be</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government shutdown occurs, or if a public health crisis prevents the FDA or other regulatory authorities from conducting their regular inspections, reviews, or other regulatory activities, it could significantly impact the ability of the FDA or other regulatory authorities to timely review and process our regulatory submissions, which could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have a material adverse effect on our business.</w:t>
      </w:r>
    </w:p>
    <w:p>
      <w:pPr>
        <w:spacing w:after="0" w:line="53" w:lineRule="exact"/>
        <w:rPr>
          <w:sz w:val="20"/>
          <w:szCs w:val="20"/>
          <w:color w:val="auto"/>
        </w:rPr>
      </w:pPr>
    </w:p>
    <w:p>
      <w:pPr>
        <w:ind w:left="300" w:right="53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w:t>
      </w: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w:t>
      </w:r>
    </w:p>
    <w:p>
      <w:pPr>
        <w:spacing w:after="0" w:line="2" w:lineRule="exact"/>
        <w:rPr>
          <w:sz w:val="20"/>
          <w:szCs w:val="20"/>
          <w:color w:val="auto"/>
        </w:rPr>
      </w:pPr>
    </w:p>
    <w:p>
      <w:pPr>
        <w:ind w:left="300" w:right="939"/>
        <w:spacing w:after="0" w:line="226" w:lineRule="auto"/>
        <w:rPr>
          <w:sz w:val="20"/>
          <w:szCs w:val="20"/>
          <w:color w:val="auto"/>
        </w:rPr>
      </w:pPr>
      <w:r>
        <w:rPr>
          <w:rFonts w:ascii="Times New Roman" w:cs="Times New Roman" w:eastAsia="Times New Roman" w:hAnsi="Times New Roman"/>
          <w:sz w:val="18"/>
          <w:szCs w:val="18"/>
          <w:color w:val="auto"/>
        </w:rPr>
        <w:t>approved by the regulatory authorities, our ability to promote any products will be narrowly limited to those indications that are specifically approved by the FDA.</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U.S.</w:t>
      </w:r>
    </w:p>
    <w:p>
      <w:pPr>
        <w:sectPr>
          <w:pgSz w:w="11900" w:h="16838" w:orient="portrait"/>
          <w:cols w:equalWidth="0" w:num="1">
            <w:col w:w="9019"/>
          </w:cols>
          <w:pgMar w:left="1440" w:top="108" w:right="1440" w:bottom="0" w:gutter="0" w:footer="0" w:header="0"/>
        </w:sectPr>
      </w:pPr>
    </w:p>
    <w:bookmarkStart w:id="17" w:name="page18"/>
    <w:bookmarkEnd w:id="17"/>
    <w:p>
      <w:pPr>
        <w:ind w:left="300" w:right="339"/>
        <w:spacing w:after="0" w:line="260" w:lineRule="auto"/>
        <w:rPr>
          <w:sz w:val="20"/>
          <w:szCs w:val="20"/>
          <w:color w:val="auto"/>
        </w:rPr>
      </w:pPr>
      <w:r>
        <w:rPr>
          <w:rFonts w:ascii="Times New Roman" w:cs="Times New Roman" w:eastAsia="Times New Roman" w:hAnsi="Times New Roman"/>
          <w:sz w:val="17"/>
          <w:szCs w:val="17"/>
          <w:color w:val="auto"/>
          <w:vertAlign w:val="superscript"/>
        </w:rPr>
        <w:t>federal</w:t>
      </w:r>
      <w:r>
        <w:rPr>
          <w:rFonts w:ascii="Times New Roman" w:cs="Times New Roman" w:eastAsia="Times New Roman" w:hAnsi="Times New Roman"/>
          <w:sz w:val="11"/>
          <w:szCs w:val="11"/>
          <w:color w:val="auto"/>
        </w:rPr>
        <w:t>off-label</w:t>
      </w:r>
      <w:r>
        <w:rPr>
          <w:rFonts w:ascii="Times New Roman" w:cs="Times New Roman" w:eastAsia="Times New Roman" w:hAnsi="Times New Roman"/>
          <w:sz w:val="17"/>
          <w:szCs w:val="17"/>
          <w:color w:val="auto"/>
          <w:vertAlign w:val="superscript"/>
        </w:rPr>
        <w:t>gov</w:t>
      </w:r>
      <w:r>
        <w:rPr>
          <w:rFonts w:ascii="Times New Roman" w:cs="Times New Roman" w:eastAsia="Times New Roman" w:hAnsi="Times New Roman"/>
          <w:sz w:val="11"/>
          <w:szCs w:val="11"/>
          <w:color w:val="auto"/>
        </w:rPr>
        <w:t>use</w:t>
      </w:r>
      <w:r>
        <w:rPr>
          <w:rFonts w:ascii="Times New Roman" w:cs="Times New Roman" w:eastAsia="Times New Roman" w:hAnsi="Times New Roman"/>
          <w:sz w:val="17"/>
          <w:szCs w:val="17"/>
          <w:color w:val="auto"/>
          <w:vertAlign w:val="superscript"/>
        </w:rPr>
        <w:t>rnment</w:t>
      </w:r>
      <w:r>
        <w:rPr>
          <w:rFonts w:ascii="Times New Roman" w:cs="Times New Roman" w:eastAsia="Times New Roman" w:hAnsi="Times New Roman"/>
          <w:sz w:val="11"/>
          <w:szCs w:val="11"/>
          <w:color w:val="auto"/>
        </w:rPr>
        <w:t>andhas</w:t>
      </w:r>
      <w:r>
        <w:rPr>
          <w:rFonts w:ascii="Times New Roman" w:cs="Times New Roman" w:eastAsia="Times New Roman" w:hAnsi="Times New Roman"/>
          <w:sz w:val="17"/>
          <w:szCs w:val="17"/>
          <w:color w:val="auto"/>
          <w:vertAlign w:val="superscript"/>
        </w:rPr>
        <w:t>has</w:t>
      </w:r>
      <w:r>
        <w:rPr>
          <w:rFonts w:ascii="Times New Roman" w:cs="Times New Roman" w:eastAsia="Times New Roman" w:hAnsi="Times New Roman"/>
          <w:sz w:val="11"/>
          <w:szCs w:val="11"/>
          <w:color w:val="auto"/>
        </w:rPr>
        <w:t>enjoined</w:t>
      </w:r>
      <w:r>
        <w:rPr>
          <w:rFonts w:ascii="Times New Roman" w:cs="Times New Roman" w:eastAsia="Times New Roman" w:hAnsi="Times New Roman"/>
          <w:sz w:val="17"/>
          <w:szCs w:val="17"/>
          <w:color w:val="auto"/>
          <w:vertAlign w:val="superscript"/>
        </w:rPr>
        <w:t>levied</w:t>
      </w:r>
      <w:r>
        <w:rPr>
          <w:rFonts w:ascii="Times New Roman" w:cs="Times New Roman" w:eastAsia="Times New Roman" w:hAnsi="Times New Roman"/>
          <w:sz w:val="11"/>
          <w:szCs w:val="11"/>
          <w:color w:val="auto"/>
        </w:rPr>
        <w:t xml:space="preserve"> several</w:t>
      </w:r>
      <w:r>
        <w:rPr>
          <w:rFonts w:ascii="Times New Roman" w:cs="Times New Roman" w:eastAsia="Times New Roman" w:hAnsi="Times New Roman"/>
          <w:sz w:val="17"/>
          <w:szCs w:val="17"/>
          <w:color w:val="auto"/>
          <w:vertAlign w:val="superscript"/>
        </w:rPr>
        <w:t>largecivil</w:t>
      </w:r>
      <w:r>
        <w:rPr>
          <w:rFonts w:ascii="Times New Roman" w:cs="Times New Roman" w:eastAsia="Times New Roman" w:hAnsi="Times New Roman"/>
          <w:sz w:val="11"/>
          <w:szCs w:val="11"/>
          <w:color w:val="auto"/>
        </w:rPr>
        <w:t>companies</w:t>
      </w:r>
      <w:r>
        <w:rPr>
          <w:rFonts w:ascii="Times New Roman" w:cs="Times New Roman" w:eastAsia="Times New Roman" w:hAnsi="Times New Roman"/>
          <w:sz w:val="17"/>
          <w:szCs w:val="17"/>
          <w:color w:val="auto"/>
          <w:vertAlign w:val="superscript"/>
        </w:rPr>
        <w:t>andcriminal</w:t>
      </w:r>
      <w:r>
        <w:rPr>
          <w:rFonts w:ascii="Times New Roman" w:cs="Times New Roman" w:eastAsia="Times New Roman" w:hAnsi="Times New Roman"/>
          <w:sz w:val="11"/>
          <w:szCs w:val="11"/>
          <w:color w:val="auto"/>
        </w:rPr>
        <w:t xml:space="preserve">from </w:t>
      </w:r>
      <w:r>
        <w:rPr>
          <w:rFonts w:ascii="Times New Roman" w:cs="Times New Roman" w:eastAsia="Times New Roman" w:hAnsi="Times New Roman"/>
          <w:sz w:val="17"/>
          <w:szCs w:val="17"/>
          <w:color w:val="auto"/>
          <w:vertAlign w:val="superscript"/>
        </w:rPr>
        <w:t>fi</w:t>
      </w:r>
      <w:r>
        <w:rPr>
          <w:rFonts w:ascii="Times New Roman" w:cs="Times New Roman" w:eastAsia="Times New Roman" w:hAnsi="Times New Roman"/>
          <w:sz w:val="11"/>
          <w:szCs w:val="11"/>
          <w:color w:val="auto"/>
        </w:rPr>
        <w:t>en</w:t>
      </w:r>
      <w:r>
        <w:rPr>
          <w:rFonts w:ascii="Times New Roman" w:cs="Times New Roman" w:eastAsia="Times New Roman" w:hAnsi="Times New Roman"/>
          <w:sz w:val="17"/>
          <w:szCs w:val="17"/>
          <w:color w:val="auto"/>
          <w:vertAlign w:val="superscript"/>
        </w:rPr>
        <w:t>es</w:t>
      </w:r>
      <w:r>
        <w:rPr>
          <w:rFonts w:ascii="Times New Roman" w:cs="Times New Roman" w:eastAsia="Times New Roman" w:hAnsi="Times New Roman"/>
          <w:sz w:val="11"/>
          <w:szCs w:val="11"/>
          <w:color w:val="auto"/>
        </w:rPr>
        <w:t>gaging</w:t>
      </w:r>
      <w:r>
        <w:rPr>
          <w:rFonts w:ascii="Times New Roman" w:cs="Times New Roman" w:eastAsia="Times New Roman" w:hAnsi="Times New Roman"/>
          <w:sz w:val="17"/>
          <w:szCs w:val="17"/>
          <w:color w:val="auto"/>
          <w:vertAlign w:val="superscript"/>
        </w:rPr>
        <w:t>against</w:t>
      </w:r>
      <w:r>
        <w:rPr>
          <w:rFonts w:ascii="Times New Roman" w:cs="Times New Roman" w:eastAsia="Times New Roman" w:hAnsi="Times New Roman"/>
          <w:sz w:val="11"/>
          <w:szCs w:val="11"/>
          <w:color w:val="auto"/>
        </w:rPr>
        <w:t>in off</w:t>
      </w:r>
      <w:r>
        <w:rPr>
          <w:rFonts w:ascii="Times New Roman" w:cs="Times New Roman" w:eastAsia="Times New Roman" w:hAnsi="Times New Roman"/>
          <w:sz w:val="17"/>
          <w:szCs w:val="17"/>
          <w:color w:val="auto"/>
          <w:vertAlign w:val="superscript"/>
        </w:rPr>
        <w:t>companies</w:t>
      </w:r>
      <w:r>
        <w:rPr>
          <w:rFonts w:ascii="Times New Roman" w:cs="Times New Roman" w:eastAsia="Times New Roman" w:hAnsi="Times New Roman"/>
          <w:sz w:val="11"/>
          <w:szCs w:val="11"/>
          <w:color w:val="auto"/>
        </w:rPr>
        <w:t>-labelpromotion</w:t>
      </w:r>
      <w:r>
        <w:rPr>
          <w:rFonts w:ascii="Times New Roman" w:cs="Times New Roman" w:eastAsia="Times New Roman" w:hAnsi="Times New Roman"/>
          <w:sz w:val="17"/>
          <w:szCs w:val="17"/>
          <w:color w:val="auto"/>
          <w:vertAlign w:val="superscript"/>
        </w:rPr>
        <w:t>foralleged</w:t>
      </w:r>
      <w:r>
        <w:rPr>
          <w:rFonts w:ascii="Times New Roman" w:cs="Times New Roman" w:eastAsia="Times New Roman" w:hAnsi="Times New Roman"/>
          <w:sz w:val="11"/>
          <w:szCs w:val="11"/>
          <w:color w:val="auto"/>
        </w:rPr>
        <w:t>.The</w:t>
      </w:r>
      <w:r>
        <w:rPr>
          <w:rFonts w:ascii="Times New Roman" w:cs="Times New Roman" w:eastAsia="Times New Roman" w:hAnsi="Times New Roman"/>
          <w:sz w:val="17"/>
          <w:szCs w:val="17"/>
          <w:color w:val="auto"/>
          <w:vertAlign w:val="superscript"/>
        </w:rPr>
        <w:t>improper</w:t>
      </w:r>
      <w:r>
        <w:rPr>
          <w:rFonts w:ascii="Times New Roman" w:cs="Times New Roman" w:eastAsia="Times New Roman" w:hAnsi="Times New Roman"/>
          <w:sz w:val="11"/>
          <w:szCs w:val="11"/>
          <w:color w:val="auto"/>
        </w:rPr>
        <w:t>FDAhas</w:t>
      </w:r>
      <w:r>
        <w:rPr>
          <w:rFonts w:ascii="Times New Roman" w:cs="Times New Roman" w:eastAsia="Times New Roman" w:hAnsi="Times New Roman"/>
          <w:sz w:val="17"/>
          <w:szCs w:val="17"/>
          <w:color w:val="auto"/>
          <w:vertAlign w:val="superscript"/>
        </w:rPr>
        <w:t>promotion</w:t>
      </w:r>
      <w:r>
        <w:rPr>
          <w:rFonts w:ascii="Times New Roman" w:cs="Times New Roman" w:eastAsia="Times New Roman" w:hAnsi="Times New Roman"/>
          <w:sz w:val="11"/>
          <w:szCs w:val="11"/>
          <w:color w:val="auto"/>
        </w:rPr>
        <w:t>alsorequested</w:t>
      </w:r>
      <w:r>
        <w:rPr>
          <w:rFonts w:ascii="Times New Roman" w:cs="Times New Roman" w:eastAsia="Times New Roman" w:hAnsi="Times New Roman"/>
          <w:sz w:val="17"/>
          <w:szCs w:val="17"/>
          <w:color w:val="auto"/>
          <w:vertAlign w:val="superscript"/>
        </w:rPr>
        <w:t>of</w:t>
      </w:r>
      <w:r>
        <w:rPr>
          <w:rFonts w:ascii="Times New Roman" w:cs="Times New Roman" w:eastAsia="Times New Roman" w:hAnsi="Times New Roman"/>
          <w:sz w:val="11"/>
          <w:szCs w:val="11"/>
          <w:color w:val="auto"/>
        </w:rPr>
        <w:t xml:space="preserve"> that companies enter into consent decrees or permanent injunctions under which specified promotional conduct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-248285</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changed or curtailed. Similar requirements and related risks apply outside the U.S. If we cannot successfully manage the promotion of any drug candidates, if approved, we could become subject to significant liability, which would materially adversely affect our business and financial condition.</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industrial partners to pursue the clinical and commercial development of obefazimod.</w:t>
      </w:r>
    </w:p>
    <w:p>
      <w:pPr>
        <w:spacing w:after="0" w:line="81" w:lineRule="exact"/>
        <w:rPr>
          <w:sz w:val="20"/>
          <w:szCs w:val="20"/>
          <w:color w:val="auto"/>
        </w:rPr>
      </w:pPr>
    </w:p>
    <w:p>
      <w:pPr>
        <w:ind w:left="300" w:right="419" w:firstLine="441"/>
        <w:spacing w:after="0" w:line="222" w:lineRule="auto"/>
        <w:rPr>
          <w:sz w:val="20"/>
          <w:szCs w:val="20"/>
          <w:color w:val="auto"/>
        </w:rPr>
      </w:pPr>
      <w:r>
        <w:rPr>
          <w:rFonts w:ascii="Times New Roman" w:cs="Times New Roman" w:eastAsia="Times New Roman" w:hAnsi="Times New Roman"/>
          <w:sz w:val="18"/>
          <w:szCs w:val="18"/>
          <w:color w:val="auto"/>
        </w:rPr>
        <w:t>We may enter into licensing and distribution partnerships with pharmaceutical companies in order to fund the completion of the clinical development and marketing preparation of our lead drug candidate, obefazimod.</w:t>
      </w:r>
    </w:p>
    <w:p>
      <w:pPr>
        <w:ind w:left="300"/>
        <w:spacing w:after="0" w:line="205" w:lineRule="auto"/>
        <w:rPr>
          <w:sz w:val="20"/>
          <w:szCs w:val="20"/>
          <w:color w:val="auto"/>
        </w:rPr>
      </w:pPr>
      <w:r>
        <w:rPr>
          <w:rFonts w:ascii="Times New Roman" w:cs="Times New Roman" w:eastAsia="Times New Roman" w:hAnsi="Times New Roman"/>
          <w:sz w:val="18"/>
          <w:szCs w:val="18"/>
          <w:color w:val="auto"/>
        </w:rPr>
        <w:t>Consequently, we should find partners with sufficient capacity to perform Phase 1, 2 and/or 3 clinical trials on a</w:t>
      </w:r>
    </w:p>
    <w:p>
      <w:pPr>
        <w:ind w:left="300"/>
        <w:spacing w:after="0" w:line="203" w:lineRule="auto"/>
        <w:rPr>
          <w:sz w:val="20"/>
          <w:szCs w:val="20"/>
          <w:color w:val="auto"/>
        </w:rPr>
      </w:pPr>
      <w:r>
        <w:rPr>
          <w:rFonts w:ascii="Times New Roman" w:cs="Times New Roman" w:eastAsia="Times New Roman" w:hAnsi="Times New Roman"/>
          <w:sz w:val="18"/>
          <w:szCs w:val="18"/>
          <w:color w:val="auto"/>
        </w:rPr>
        <w:t>national or international scale and mass-produce, distribute and market immunotherapies and anti-inflammatory</w:t>
      </w:r>
    </w:p>
    <w:p>
      <w:pPr>
        <w:ind w:left="300"/>
        <w:spacing w:after="0" w:line="219" w:lineRule="auto"/>
        <w:rPr>
          <w:sz w:val="20"/>
          <w:szCs w:val="20"/>
          <w:color w:val="auto"/>
        </w:rPr>
      </w:pPr>
      <w:r>
        <w:rPr>
          <w:rFonts w:ascii="Times New Roman" w:cs="Times New Roman" w:eastAsia="Times New Roman" w:hAnsi="Times New Roman"/>
          <w:sz w:val="18"/>
          <w:szCs w:val="18"/>
          <w:color w:val="auto"/>
        </w:rPr>
        <w:t>treatments such as obefazimod. If we were to enter into such partnerships, the commercialization of our products</w:t>
      </w:r>
    </w:p>
    <w:p>
      <w:pPr>
        <w:spacing w:after="0" w:line="1" w:lineRule="exact"/>
        <w:rPr>
          <w:sz w:val="20"/>
          <w:szCs w:val="20"/>
          <w:color w:val="auto"/>
        </w:rPr>
      </w:pPr>
    </w:p>
    <w:p>
      <w:pPr>
        <w:jc w:val="both"/>
        <w:ind w:left="300" w:right="639"/>
        <w:spacing w:after="0" w:line="218" w:lineRule="auto"/>
        <w:rPr>
          <w:sz w:val="20"/>
          <w:szCs w:val="20"/>
          <w:color w:val="auto"/>
        </w:rPr>
      </w:pPr>
      <w:r>
        <w:rPr>
          <w:rFonts w:ascii="Times New Roman" w:cs="Times New Roman" w:eastAsia="Times New Roman" w:hAnsi="Times New Roman"/>
          <w:sz w:val="18"/>
          <w:szCs w:val="18"/>
          <w:color w:val="auto"/>
        </w:rPr>
        <w:t>would depend, in part, on the clinical, industrial, marketing and commercial development efforts of our business partners and the ability of these partners to produce and sell obefazimod. Any failure on the part of our partners could have a material adverse effect on our growth and outlook.</w:t>
      </w:r>
    </w:p>
    <w:p>
      <w:pPr>
        <w:spacing w:after="0" w:line="64" w:lineRule="exact"/>
        <w:rPr>
          <w:sz w:val="20"/>
          <w:szCs w:val="20"/>
          <w:color w:val="auto"/>
        </w:rPr>
      </w:pPr>
    </w:p>
    <w:p>
      <w:pPr>
        <w:ind w:left="300" w:right="359" w:firstLine="441"/>
        <w:spacing w:after="0" w:line="226" w:lineRule="auto"/>
        <w:rPr>
          <w:sz w:val="20"/>
          <w:szCs w:val="20"/>
          <w:color w:val="auto"/>
        </w:rPr>
      </w:pPr>
      <w:r>
        <w:rPr>
          <w:rFonts w:ascii="Times New Roman" w:cs="Times New Roman" w:eastAsia="Times New Roman" w:hAnsi="Times New Roman"/>
          <w:sz w:val="18"/>
          <w:szCs w:val="18"/>
          <w:color w:val="auto"/>
        </w:rPr>
        <w:t>It is also possible that we may not be able to enter into partnerships under economically reasonable conditions or at all. This could have a material adverse effect on our business, outlook, financial position, results and development.</w:t>
      </w:r>
    </w:p>
    <w:p>
      <w:pPr>
        <w:spacing w:after="0" w:line="59" w:lineRule="exact"/>
        <w:rPr>
          <w:sz w:val="20"/>
          <w:szCs w:val="20"/>
          <w:color w:val="auto"/>
        </w:rPr>
      </w:pPr>
    </w:p>
    <w:p>
      <w:pPr>
        <w:ind w:left="300" w:right="37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drug candidates on animals</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w:t>
      </w:r>
    </w:p>
    <w:p>
      <w:pPr>
        <w:spacing w:after="0" w:line="2" w:lineRule="exact"/>
        <w:rPr>
          <w:sz w:val="20"/>
          <w:szCs w:val="20"/>
          <w:color w:val="auto"/>
        </w:rPr>
      </w:pPr>
    </w:p>
    <w:p>
      <w:pPr>
        <w:ind w:left="300" w:right="519"/>
        <w:spacing w:after="0" w:line="226" w:lineRule="auto"/>
        <w:rPr>
          <w:sz w:val="20"/>
          <w:szCs w:val="20"/>
          <w:color w:val="auto"/>
        </w:rPr>
      </w:pPr>
      <w:r>
        <w:rPr>
          <w:rFonts w:ascii="Times New Roman" w:cs="Times New Roman" w:eastAsia="Times New Roman" w:hAnsi="Times New Roman"/>
          <w:sz w:val="18"/>
          <w:szCs w:val="18"/>
          <w:color w:val="auto"/>
        </w:rPr>
        <w:t>protests and other means. To the extent the activities of these groups are successful, our research and development activities may be interrupted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Strategic Development</w:t>
      </w:r>
    </w:p>
    <w:p>
      <w:pPr>
        <w:spacing w:after="0" w:line="77" w:lineRule="exact"/>
        <w:rPr>
          <w:sz w:val="20"/>
          <w:szCs w:val="20"/>
          <w:color w:val="auto"/>
        </w:rPr>
      </w:pPr>
    </w:p>
    <w:p>
      <w:pPr>
        <w:ind w:left="300" w:right="5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37" w:lineRule="exact"/>
        <w:rPr>
          <w:sz w:val="20"/>
          <w:szCs w:val="20"/>
          <w:color w:val="auto"/>
        </w:rPr>
      </w:pPr>
    </w:p>
    <w:p>
      <w:pPr>
        <w:jc w:val="both"/>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In order to manage our anticipated development and expansion, including the potential commercialization of our drug candidates in Europe and the United States, we must continue to implement and improve our managerial,</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recruit and train additional qualified personnel. The expansion of our operations may lead to significant costs and may divert the attention of our management and business development resources away from day-to-day activities and devote a substantial amount of time to managing internal or external growth. Our inability to manage growth or</w:t>
      </w:r>
    </w:p>
    <w:p>
      <w:pPr>
        <w:spacing w:after="0" w:line="2" w:lineRule="exact"/>
        <w:rPr>
          <w:sz w:val="20"/>
          <w:szCs w:val="20"/>
          <w:color w:val="auto"/>
        </w:rPr>
      </w:pP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unexpected difficulties encountered during expansion could have a material adverse effect on our business, income, financial position, growth and outlook.</w:t>
      </w:r>
    </w:p>
    <w:p>
      <w:pPr>
        <w:spacing w:after="0" w:line="45" w:lineRule="exact"/>
        <w:rPr>
          <w:sz w:val="20"/>
          <w:szCs w:val="20"/>
          <w:color w:val="auto"/>
        </w:rPr>
      </w:pPr>
    </w:p>
    <w:p>
      <w:pPr>
        <w:ind w:left="300" w:right="5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various risks, and our failure to manage these risks could adversely affect our results of operations.</w:t>
      </w:r>
    </w:p>
    <w:p>
      <w:pPr>
        <w:spacing w:after="0" w:line="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face significant operational risks as a result of doing business internationally, such as:</w:t>
      </w:r>
    </w:p>
    <w:p>
      <w:pPr>
        <w:spacing w:after="0" w:line="77" w:lineRule="exact"/>
        <w:rPr>
          <w:sz w:val="20"/>
          <w:szCs w:val="20"/>
          <w:color w:val="auto"/>
        </w:rPr>
      </w:pPr>
    </w:p>
    <w:p>
      <w:pPr>
        <w:ind w:left="1280" w:hanging="32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0" w:lineRule="exact"/>
        <w:rPr>
          <w:rFonts w:ascii="Times New Roman" w:cs="Times New Roman" w:eastAsia="Times New Roman" w:hAnsi="Times New Roman"/>
          <w:sz w:val="18"/>
          <w:szCs w:val="18"/>
          <w:color w:val="auto"/>
        </w:rPr>
      </w:pPr>
    </w:p>
    <w:p>
      <w:pPr>
        <w:ind w:left="1280" w:right="639" w:hanging="328"/>
        <w:spacing w:after="0" w:line="237"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the accounting standards, which may influence our financial situation and results;</w:t>
      </w:r>
    </w:p>
    <w:p>
      <w:pPr>
        <w:spacing w:after="0" w:line="90" w:lineRule="exact"/>
        <w:rPr>
          <w:rFonts w:ascii="Times New Roman" w:cs="Times New Roman" w:eastAsia="Times New Roman" w:hAnsi="Times New Roman"/>
          <w:sz w:val="18"/>
          <w:szCs w:val="18"/>
          <w:color w:val="auto"/>
        </w:rPr>
      </w:pPr>
    </w:p>
    <w:p>
      <w:pPr>
        <w:ind w:left="1280" w:right="659" w:hanging="328"/>
        <w:spacing w:after="0" w:line="263" w:lineRule="auto"/>
        <w:tabs>
          <w:tab w:leader="none" w:pos="1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becoming subject to the different, complex and changing laws, regulations and court systems of multiple jurisdictions and compliance with a wide variety of foreign laws, treaties and regulations;</w:t>
      </w:r>
    </w:p>
    <w:p>
      <w:pPr>
        <w:spacing w:after="0" w:line="30" w:lineRule="exact"/>
        <w:rPr>
          <w:rFonts w:ascii="Times New Roman" w:cs="Times New Roman" w:eastAsia="Times New Roman" w:hAnsi="Times New Roman"/>
          <w:sz w:val="17"/>
          <w:szCs w:val="17"/>
          <w:color w:val="auto"/>
        </w:rPr>
      </w:pPr>
    </w:p>
    <w:p>
      <w:pPr>
        <w:ind w:left="1280" w:right="699" w:hanging="328"/>
        <w:spacing w:after="0" w:line="250"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or significant difficulties in enforcing, intellectual property rights in certain countries;</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w:t>
      </w:r>
    </w:p>
    <w:p>
      <w:pPr>
        <w:spacing w:after="0" w:line="76" w:lineRule="exact"/>
        <w:rPr>
          <w:rFonts w:ascii="Times New Roman" w:cs="Times New Roman" w:eastAsia="Times New Roman" w:hAnsi="Times New Roman"/>
          <w:sz w:val="18"/>
          <w:szCs w:val="18"/>
          <w:color w:val="auto"/>
        </w:rPr>
      </w:pPr>
    </w:p>
    <w:p>
      <w:pPr>
        <w:ind w:left="1280" w:right="859" w:hanging="328"/>
        <w:spacing w:after="0" w:line="250"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 including unilateral cancellation or modification of contracts;</w:t>
      </w:r>
    </w:p>
    <w:p>
      <w:pPr>
        <w:spacing w:after="0" w:line="41" w:lineRule="exact"/>
        <w:rPr>
          <w:rFonts w:ascii="Times New Roman" w:cs="Times New Roman" w:eastAsia="Times New Roman" w:hAnsi="Times New Roman"/>
          <w:sz w:val="18"/>
          <w:szCs w:val="18"/>
          <w:color w:val="auto"/>
        </w:rPr>
      </w:pPr>
    </w:p>
    <w:p>
      <w:pPr>
        <w:ind w:left="1280" w:right="379" w:hanging="328"/>
        <w:spacing w:after="0" w:line="231"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50" w:lineRule="exact"/>
        <w:rPr>
          <w:rFonts w:ascii="Times New Roman" w:cs="Times New Roman" w:eastAsia="Times New Roman" w:hAnsi="Times New Roman"/>
          <w:sz w:val="18"/>
          <w:szCs w:val="18"/>
          <w:color w:val="auto"/>
        </w:rPr>
      </w:pPr>
    </w:p>
    <w:p>
      <w:pPr>
        <w:ind w:left="1280" w:right="439" w:hanging="328"/>
        <w:spacing w:after="0" w:line="237"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other trade barriers, including any governmental responses thereto.</w:t>
      </w:r>
    </w:p>
    <w:p>
      <w:pPr>
        <w:spacing w:after="0" w:line="60" w:lineRule="exact"/>
        <w:rPr>
          <w:sz w:val="20"/>
          <w:szCs w:val="20"/>
          <w:color w:val="auto"/>
        </w:rPr>
      </w:pPr>
    </w:p>
    <w:p>
      <w:pPr>
        <w:ind w:left="300" w:right="4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drug candidates may be limited to patients who are ineligible for or have failed prior treatments and may be small or different from our estimates.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current IBD treatment approach is influenced by multiple factors, including disease severity, previous</w:t>
      </w:r>
    </w:p>
    <w:p>
      <w:pPr>
        <w:spacing w:after="0" w:line="2" w:lineRule="exact"/>
        <w:rPr>
          <w:sz w:val="20"/>
          <w:szCs w:val="20"/>
          <w:color w:val="auto"/>
        </w:rPr>
      </w:pPr>
    </w:p>
    <w:p>
      <w:pPr>
        <w:ind w:left="300" w:right="519"/>
        <w:spacing w:after="0" w:line="231" w:lineRule="auto"/>
        <w:rPr>
          <w:sz w:val="20"/>
          <w:szCs w:val="20"/>
          <w:color w:val="auto"/>
        </w:rPr>
      </w:pPr>
      <w:r>
        <w:rPr>
          <w:rFonts w:ascii="Times New Roman" w:cs="Times New Roman" w:eastAsia="Times New Roman" w:hAnsi="Times New Roman"/>
          <w:sz w:val="17"/>
          <w:szCs w:val="17"/>
          <w:color w:val="auto"/>
        </w:rPr>
        <w:t>response to treatment, side effects and co-morbidities. The current standard of care for treatment of patients with mild IBD involves the use of conventional anti-inflammatory therapies. Conventional anti-inflammatory therapies include: aminosalicylates (e.g., 5-ASA), immunosuppressants or immunomodulators (e.g., 6-mercaptopurine (“6-</w:t>
      </w:r>
    </w:p>
    <w:p>
      <w:pPr>
        <w:sectPr>
          <w:pgSz w:w="11900" w:h="16838" w:orient="portrait"/>
          <w:cols w:equalWidth="0" w:num="1">
            <w:col w:w="9019"/>
          </w:cols>
          <w:pgMar w:left="1440" w:top="108" w:right="1440" w:bottom="0" w:gutter="0" w:footer="0" w:header="0"/>
        </w:sectPr>
      </w:pPr>
    </w:p>
    <w:bookmarkStart w:id="18" w:name="page19"/>
    <w:bookmarkEnd w:id="18"/>
    <w:p>
      <w:pPr>
        <w:spacing w:after="0" w:line="92" w:lineRule="exact"/>
        <w:rPr>
          <w:sz w:val="20"/>
          <w:szCs w:val="20"/>
          <w:color w:val="auto"/>
        </w:rPr>
      </w:pPr>
    </w:p>
    <w:p>
      <w:pPr>
        <w:ind w:left="300" w:right="339"/>
        <w:spacing w:after="0" w:line="221" w:lineRule="auto"/>
        <w:rPr>
          <w:sz w:val="20"/>
          <w:szCs w:val="20"/>
          <w:color w:val="auto"/>
        </w:rPr>
      </w:pPr>
      <w:r>
        <w:rPr>
          <w:rFonts w:ascii="Times New Roman" w:cs="Times New Roman" w:eastAsia="Times New Roman" w:hAnsi="Times New Roman"/>
          <w:sz w:val="20"/>
          <w:szCs w:val="20"/>
          <w:color w:val="auto"/>
          <w:vertAlign w:val="superscript"/>
        </w:rPr>
        <w:t>MP”),</w:t>
      </w:r>
      <w:r>
        <w:rPr>
          <w:rFonts w:ascii="Times New Roman" w:cs="Times New Roman" w:eastAsia="Times New Roman" w:hAnsi="Times New Roman"/>
          <w:sz w:val="12"/>
          <w:szCs w:val="12"/>
          <w:color w:val="auto"/>
        </w:rPr>
        <w:t>flare-ups</w:t>
      </w:r>
      <w:r>
        <w:rPr>
          <w:rFonts w:ascii="Times New Roman" w:cs="Times New Roman" w:eastAsia="Times New Roman" w:hAnsi="Times New Roman"/>
          <w:sz w:val="20"/>
          <w:szCs w:val="20"/>
          <w:color w:val="auto"/>
          <w:vertAlign w:val="superscript"/>
        </w:rPr>
        <w:t>methotrexate</w:t>
      </w:r>
      <w:r>
        <w:rPr>
          <w:rFonts w:ascii="Times New Roman" w:cs="Times New Roman" w:eastAsia="Times New Roman" w:hAnsi="Times New Roman"/>
          <w:sz w:val="12"/>
          <w:szCs w:val="12"/>
          <w:color w:val="auto"/>
        </w:rPr>
        <w:t>.Despitethese</w:t>
      </w:r>
      <w:r>
        <w:rPr>
          <w:rFonts w:ascii="Times New Roman" w:cs="Times New Roman" w:eastAsia="Times New Roman" w:hAnsi="Times New Roman"/>
          <w:sz w:val="20"/>
          <w:szCs w:val="20"/>
          <w:color w:val="auto"/>
          <w:vertAlign w:val="superscript"/>
        </w:rPr>
        <w:t>(“MTX”))</w:t>
      </w:r>
      <w:r>
        <w:rPr>
          <w:rFonts w:ascii="Times New Roman" w:cs="Times New Roman" w:eastAsia="Times New Roman" w:hAnsi="Times New Roman"/>
          <w:sz w:val="12"/>
          <w:szCs w:val="12"/>
          <w:color w:val="auto"/>
        </w:rPr>
        <w:t>conventional</w:t>
      </w:r>
      <w:r>
        <w:rPr>
          <w:rFonts w:ascii="Times New Roman" w:cs="Times New Roman" w:eastAsia="Times New Roman" w:hAnsi="Times New Roman"/>
          <w:sz w:val="20"/>
          <w:szCs w:val="20"/>
          <w:color w:val="auto"/>
          <w:vertAlign w:val="superscript"/>
        </w:rPr>
        <w:t>andcorticosteroids</w:t>
      </w:r>
      <w:r>
        <w:rPr>
          <w:rFonts w:ascii="Times New Roman" w:cs="Times New Roman" w:eastAsia="Times New Roman" w:hAnsi="Times New Roman"/>
          <w:sz w:val="12"/>
          <w:szCs w:val="12"/>
          <w:color w:val="auto"/>
        </w:rPr>
        <w:t>therapies,patien</w:t>
      </w:r>
      <w:r>
        <w:rPr>
          <w:rFonts w:ascii="Times New Roman" w:cs="Times New Roman" w:eastAsia="Times New Roman" w:hAnsi="Times New Roman"/>
          <w:sz w:val="20"/>
          <w:szCs w:val="20"/>
          <w:color w:val="auto"/>
          <w:vertAlign w:val="superscript"/>
        </w:rPr>
        <w:t>tha</w:t>
      </w:r>
      <w:r>
        <w:rPr>
          <w:rFonts w:ascii="Times New Roman" w:cs="Times New Roman" w:eastAsia="Times New Roman" w:hAnsi="Times New Roman"/>
          <w:sz w:val="12"/>
          <w:szCs w:val="12"/>
          <w:color w:val="auto"/>
        </w:rPr>
        <w:t>ts</w:t>
      </w:r>
      <w:r>
        <w:rPr>
          <w:rFonts w:ascii="Times New Roman" w:cs="Times New Roman" w:eastAsia="Times New Roman" w:hAnsi="Times New Roman"/>
          <w:sz w:val="20"/>
          <w:szCs w:val="20"/>
          <w:color w:val="auto"/>
          <w:vertAlign w:val="superscript"/>
        </w:rPr>
        <w:t>are</w:t>
      </w:r>
      <w:r>
        <w:rPr>
          <w:rFonts w:ascii="Times New Roman" w:cs="Times New Roman" w:eastAsia="Times New Roman" w:hAnsi="Times New Roman"/>
          <w:sz w:val="12"/>
          <w:szCs w:val="12"/>
          <w:color w:val="auto"/>
        </w:rPr>
        <w:t>suffering</w:t>
      </w:r>
      <w:r>
        <w:rPr>
          <w:rFonts w:ascii="Times New Roman" w:cs="Times New Roman" w:eastAsia="Times New Roman" w:hAnsi="Times New Roman"/>
          <w:sz w:val="20"/>
          <w:szCs w:val="20"/>
          <w:color w:val="auto"/>
          <w:vertAlign w:val="superscript"/>
        </w:rPr>
        <w:t>usually</w:t>
      </w:r>
      <w:r>
        <w:rPr>
          <w:rFonts w:ascii="Times New Roman" w:cs="Times New Roman" w:eastAsia="Times New Roman" w:hAnsi="Times New Roman"/>
          <w:sz w:val="12"/>
          <w:szCs w:val="12"/>
          <w:color w:val="auto"/>
        </w:rPr>
        <w:t>from</w:t>
      </w:r>
      <w:r>
        <w:rPr>
          <w:rFonts w:ascii="Times New Roman" w:cs="Times New Roman" w:eastAsia="Times New Roman" w:hAnsi="Times New Roman"/>
          <w:sz w:val="20"/>
          <w:szCs w:val="20"/>
          <w:color w:val="auto"/>
          <w:vertAlign w:val="superscript"/>
        </w:rPr>
        <w:t>prescribed</w:t>
      </w:r>
      <w:r>
        <w:rPr>
          <w:rFonts w:ascii="Times New Roman" w:cs="Times New Roman" w:eastAsia="Times New Roman" w:hAnsi="Times New Roman"/>
          <w:sz w:val="12"/>
          <w:szCs w:val="12"/>
          <w:color w:val="auto"/>
        </w:rPr>
        <w:t>mildIBD</w:t>
      </w:r>
      <w:r>
        <w:rPr>
          <w:rFonts w:ascii="Times New Roman" w:cs="Times New Roman" w:eastAsia="Times New Roman" w:hAnsi="Times New Roman"/>
          <w:sz w:val="20"/>
          <w:szCs w:val="20"/>
          <w:color w:val="auto"/>
          <w:vertAlign w:val="superscript"/>
        </w:rPr>
        <w:t>for short</w:t>
      </w:r>
      <w:r>
        <w:rPr>
          <w:rFonts w:ascii="Times New Roman" w:cs="Times New Roman" w:eastAsia="Times New Roman" w:hAnsi="Times New Roman"/>
          <w:sz w:val="12"/>
          <w:szCs w:val="12"/>
          <w:color w:val="auto"/>
        </w:rPr>
        <w:t>may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evolve</w:t>
      </w:r>
      <w:r>
        <w:rPr>
          <w:rFonts w:ascii="Times New Roman" w:cs="Times New Roman" w:eastAsia="Times New Roman" w:hAnsi="Times New Roman"/>
          <w:sz w:val="20"/>
          <w:szCs w:val="20"/>
          <w:color w:val="auto"/>
          <w:vertAlign w:val="superscript"/>
        </w:rPr>
        <w:t>termtreatment</w:t>
      </w:r>
      <w:r>
        <w:rPr>
          <w:rFonts w:ascii="Times New Roman" w:cs="Times New Roman" w:eastAsia="Times New Roman" w:hAnsi="Times New Roman"/>
          <w:sz w:val="12"/>
          <w:szCs w:val="12"/>
          <w:color w:val="auto"/>
        </w:rPr>
        <w:t>towards moderate</w:t>
      </w:r>
      <w:r>
        <w:rPr>
          <w:rFonts w:ascii="Times New Roman" w:cs="Times New Roman" w:eastAsia="Times New Roman" w:hAnsi="Times New Roman"/>
          <w:sz w:val="20"/>
          <w:szCs w:val="20"/>
          <w:color w:val="auto"/>
          <w:vertAlign w:val="superscript"/>
        </w:rPr>
        <w:t>tomanage</w:t>
      </w:r>
      <w:r>
        <w:rPr>
          <w:rFonts w:ascii="Times New Roman" w:cs="Times New Roman" w:eastAsia="Times New Roman" w:hAnsi="Times New Roman"/>
          <w:sz w:val="12"/>
          <w:szCs w:val="12"/>
          <w:color w:val="auto"/>
        </w:rPr>
        <w:t>and severe forms of IBD requiring the use of advanced therapies. However, available therapies often only have moderate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-248285</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efficacy that changes or may wane over time, as patients have the potential to stop responding or do not respond at all to these treatments and thus require new therapeutic management options.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While we hope to position obefazimod as a potential first-line advanced therapy, there is no guarantee that</w:t>
      </w:r>
    </w:p>
    <w:p>
      <w:pPr>
        <w:spacing w:after="0" w:line="2" w:lineRule="exact"/>
        <w:rPr>
          <w:sz w:val="20"/>
          <w:szCs w:val="20"/>
          <w:color w:val="auto"/>
        </w:rPr>
      </w:pPr>
    </w:p>
    <w:p>
      <w:pPr>
        <w:ind w:left="300" w:right="679"/>
        <w:spacing w:after="0" w:line="218" w:lineRule="auto"/>
        <w:rPr>
          <w:sz w:val="20"/>
          <w:szCs w:val="20"/>
          <w:color w:val="auto"/>
        </w:rPr>
      </w:pPr>
      <w:r>
        <w:rPr>
          <w:rFonts w:ascii="Times New Roman" w:cs="Times New Roman" w:eastAsia="Times New Roman" w:hAnsi="Times New Roman"/>
          <w:sz w:val="18"/>
          <w:szCs w:val="18"/>
          <w:color w:val="auto"/>
        </w:rPr>
        <w:t>even if approved, it would be approved for first-line advanced therapy. This could limit our potential market opportunity. In addition, we may have to conduct additional clinical trials prior to gaining approval for first-line advanced therapy.</w:t>
      </w:r>
    </w:p>
    <w:p>
      <w:pPr>
        <w:spacing w:after="0" w:line="60" w:lineRule="exact"/>
        <w:rPr>
          <w:sz w:val="20"/>
          <w:szCs w:val="20"/>
          <w:color w:val="auto"/>
        </w:rPr>
      </w:pPr>
    </w:p>
    <w:p>
      <w:pPr>
        <w:ind w:left="300" w:right="35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20-F may prove to be inaccurate, and even if the markets in which we compete achieve the forecasted growth, our business may not grow at similar rates, or at all.</w:t>
      </w:r>
    </w:p>
    <w:p>
      <w:pPr>
        <w:spacing w:after="0" w:line="65" w:lineRule="exact"/>
        <w:rPr>
          <w:sz w:val="20"/>
          <w:szCs w:val="20"/>
          <w:color w:val="auto"/>
        </w:rPr>
      </w:pPr>
    </w:p>
    <w:p>
      <w:pPr>
        <w:ind w:left="300" w:right="319" w:firstLine="441"/>
        <w:spacing w:after="0" w:line="21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20-F are subject to significant uncertainty and are based on assumptions and estimates which may not prove to be accurate. The estimates and forecasts included in this Annual Report on Form 20-F relating to size and expected growth of our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target market may prove to be inaccurate. Even if the markets in which we compete meet the size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spacing w:after="0" w:line="236" w:lineRule="auto"/>
        <w:rPr>
          <w:sz w:val="20"/>
          <w:szCs w:val="20"/>
          <w:color w:val="auto"/>
        </w:rPr>
      </w:pPr>
      <w:r>
        <w:rPr>
          <w:rFonts w:ascii="Times New Roman" w:cs="Times New Roman" w:eastAsia="Times New Roman" w:hAnsi="Times New Roman"/>
          <w:sz w:val="17"/>
          <w:szCs w:val="17"/>
          <w:color w:val="auto"/>
        </w:rPr>
        <w:t>growth forecasts included in this Annual Report on Form 20-F, our business may not grow at similar rates, or at all. Our growth is subject to many factors, including our success in implementing our business strategy, which is subject</w:t>
      </w:r>
    </w:p>
    <w:p>
      <w:pPr>
        <w:ind w:left="300"/>
        <w:spacing w:after="0"/>
        <w:rPr>
          <w:sz w:val="20"/>
          <w:szCs w:val="20"/>
          <w:color w:val="auto"/>
        </w:rPr>
      </w:pPr>
      <w:r>
        <w:rPr>
          <w:rFonts w:ascii="Times New Roman" w:cs="Times New Roman" w:eastAsia="Times New Roman" w:hAnsi="Times New Roman"/>
          <w:sz w:val="18"/>
          <w:szCs w:val="18"/>
          <w:color w:val="auto"/>
        </w:rPr>
        <w:t>to many risks and uncertainties.</w:t>
      </w:r>
    </w:p>
    <w:p>
      <w:pPr>
        <w:spacing w:after="0" w:line="53"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Sales of our drug candidates, if approved, could be adversely impacted by the reluctance of physicians, healthcare payors, patients or the medical community in general to adopt them and by the availability of competing drugs.</w:t>
      </w:r>
    </w:p>
    <w:p>
      <w:pPr>
        <w:spacing w:after="0" w:line="40"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Even if we obtain regulatory approval for one or more of our drug candidates, physicians, healthcare payors, patients or the medical community in general may be reluctant to try a new drug due to the high degree of risk associated with the application of new drugs in the field of human medicine, especially if the new drug differs from</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the currently prevailing medication for a given complaint. We will need to expend significant sums of money to market our products to increase the public’s awareness within numerous limits set by the regulations concerning the promotion of drugs. If our products do not achieve an adequate level of acceptance, we may not generate enough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revenues to become profitable or the profitability may occur much later.</w:t>
      </w:r>
    </w:p>
    <w:p>
      <w:pPr>
        <w:spacing w:after="0" w:line="57" w:lineRule="exact"/>
        <w:rPr>
          <w:sz w:val="20"/>
          <w:szCs w:val="20"/>
          <w:color w:val="auto"/>
        </w:rPr>
      </w:pPr>
    </w:p>
    <w:p>
      <w:pPr>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Competing drug candidates in the chronic inflammatory disease field are being manufactured and marketed by other companies, including, but not limited to, AbbVie, Eli Lilly, Johnson &amp; Johnson, Pfizer and Takeda. Merck,</w:t>
      </w:r>
    </w:p>
    <w:p>
      <w:pPr>
        <w:spacing w:after="0" w:line="2" w:lineRule="exact"/>
        <w:rPr>
          <w:sz w:val="20"/>
          <w:szCs w:val="20"/>
          <w:color w:val="auto"/>
        </w:rPr>
      </w:pPr>
    </w:p>
    <w:p>
      <w:pPr>
        <w:ind w:left="300" w:right="659"/>
        <w:spacing w:after="0" w:line="208" w:lineRule="auto"/>
        <w:rPr>
          <w:sz w:val="20"/>
          <w:szCs w:val="20"/>
          <w:color w:val="auto"/>
        </w:rPr>
      </w:pPr>
      <w:r>
        <w:rPr>
          <w:rFonts w:ascii="Times New Roman" w:cs="Times New Roman" w:eastAsia="Times New Roman" w:hAnsi="Times New Roman"/>
          <w:sz w:val="18"/>
          <w:szCs w:val="18"/>
          <w:color w:val="auto"/>
        </w:rPr>
        <w:t>Roche, and Teva/Sanofi are all potential future competitors based on recent acquisitions of TL1A molecules. To compete with other drugs, particularly any that sell at lower prices, our drug candidates will have to provide medically significant advantages or be more cost-effective. Even if we can overcome physician reluctance and</w:t>
      </w:r>
    </w:p>
    <w:p>
      <w:pPr>
        <w:spacing w:after="0" w:line="2" w:lineRule="exact"/>
        <w:rPr>
          <w:sz w:val="20"/>
          <w:szCs w:val="20"/>
          <w:color w:val="auto"/>
        </w:rPr>
      </w:pP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compete with products that are currently on the market, our competitors may succeed in developing new, safer, more accurate or more cost-effective treatments or therapeutic indications that could render our drug candidates obsolete or non-competitive.</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could materially adversely impact demand for our drug candidates.</w:t>
      </w:r>
    </w:p>
    <w:p>
      <w:pPr>
        <w:spacing w:after="0" w:line="81"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Our operations and performance depend significantly on economic conditions. Global financial conditions continue to be subject to volatility arising from international geopolitical developments, such as the wars in Ukraine</w:t>
      </w: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and Iran, tariffs and global economic phenomena, as well as general financial market turbulence, natural phenomena and any public health crisis. Uncertainty about global economic conditions could result in:</w:t>
      </w:r>
    </w:p>
    <w:p>
      <w:pPr>
        <w:spacing w:after="0" w:line="49" w:lineRule="exact"/>
        <w:rPr>
          <w:sz w:val="20"/>
          <w:szCs w:val="20"/>
          <w:color w:val="auto"/>
        </w:rPr>
      </w:pPr>
    </w:p>
    <w:p>
      <w:pPr>
        <w:ind w:left="1280" w:right="359" w:hanging="328"/>
        <w:spacing w:after="0" w:line="224"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being unable to produce components for our drug candidates in the same quantity or on the same timeline or being unable to deliver such parts and components as quickly as before or subject to price fluctuations, which could have a material adverse effect on our production or the cost of such production; and</w:t>
      </w:r>
    </w:p>
    <w:p>
      <w:pPr>
        <w:spacing w:after="0" w:line="50" w:lineRule="exact"/>
        <w:rPr>
          <w:rFonts w:ascii="Times New Roman" w:cs="Times New Roman" w:eastAsia="Times New Roman" w:hAnsi="Times New Roman"/>
          <w:sz w:val="18"/>
          <w:szCs w:val="18"/>
          <w:color w:val="auto"/>
        </w:rPr>
      </w:pPr>
    </w:p>
    <w:p>
      <w:pPr>
        <w:ind w:left="1280" w:right="319" w:hanging="328"/>
        <w:spacing w:after="0" w:line="224"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our drug candidates are available for sale, customers postponing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51" w:lineRule="exact"/>
        <w:rPr>
          <w:sz w:val="20"/>
          <w:szCs w:val="20"/>
          <w:color w:val="auto"/>
        </w:rPr>
      </w:pPr>
    </w:p>
    <w:p>
      <w:pPr>
        <w:ind w:left="300" w:right="679" w:firstLine="441"/>
        <w:spacing w:after="0" w:line="250" w:lineRule="auto"/>
        <w:rPr>
          <w:sz w:val="20"/>
          <w:szCs w:val="20"/>
          <w:color w:val="auto"/>
        </w:rPr>
      </w:pPr>
      <w:r>
        <w:rPr>
          <w:rFonts w:ascii="Times New Roman" w:cs="Times New Roman" w:eastAsia="Times New Roman" w:hAnsi="Times New Roman"/>
          <w:sz w:val="18"/>
          <w:szCs w:val="18"/>
          <w:color w:val="auto"/>
        </w:rPr>
        <w:t>either of which could, accordingly, have a material adverse effect on our business, results of operations or financial condition.</w:t>
      </w:r>
    </w:p>
    <w:p>
      <w:pPr>
        <w:spacing w:after="0" w:line="41"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Access to public financing and credit can be negatively affected by the effect of these events on European, U.S. and global credit markets. The health of the global financing and credit markets may affect our ability to obtain</w:t>
      </w: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equity or debt financing in the future and the terms at which financing or credit is available to us. These instances of volatility and market turmoil could adversely affect our operations and the trading price of our ordinary shares.</w:t>
      </w:r>
    </w:p>
    <w:p>
      <w:pPr>
        <w:spacing w:after="0" w:line="45" w:lineRule="exact"/>
        <w:rPr>
          <w:sz w:val="20"/>
          <w:szCs w:val="20"/>
          <w:color w:val="auto"/>
        </w:rPr>
      </w:pPr>
    </w:p>
    <w:p>
      <w:pPr>
        <w:ind w:left="300" w:right="9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3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Changes in laws and policies governing foreign trade could adversely affect our business. As a result of recent and future policy changes, there may be greater restrictions and economic disincentives on international trade. Such</w:t>
      </w: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changes have the potential to adversely impact the global and local economies, our industry and global demand for our drug candidates and, as a result, could have a material adverse effect on our business, financial condition and results of operations.</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significantly impact our results of operations.</w:t>
      </w:r>
    </w:p>
    <w:p>
      <w:pPr>
        <w:spacing w:after="0" w:line="81" w:lineRule="exact"/>
        <w:rPr>
          <w:sz w:val="20"/>
          <w:szCs w:val="20"/>
          <w:color w:val="auto"/>
        </w:rPr>
      </w:pPr>
    </w:p>
    <w:p>
      <w:pPr>
        <w:ind w:left="300" w:right="299" w:firstLine="441"/>
        <w:spacing w:after="0" w:line="236" w:lineRule="auto"/>
        <w:rPr>
          <w:sz w:val="20"/>
          <w:szCs w:val="20"/>
          <w:color w:val="auto"/>
        </w:rPr>
      </w:pPr>
      <w:r>
        <w:rPr>
          <w:rFonts w:ascii="Times New Roman" w:cs="Times New Roman" w:eastAsia="Times New Roman" w:hAnsi="Times New Roman"/>
          <w:sz w:val="17"/>
          <w:szCs w:val="17"/>
          <w:color w:val="auto"/>
        </w:rPr>
        <w:t>Our business is located, and our operations are conducted, in Europe. As a result, we are exposed to an exchange rate risk between the U.S. dollar and the Euro. The exchange rates between these currencies in recent years</w:t>
      </w:r>
    </w:p>
    <w:p>
      <w:pPr>
        <w:ind w:left="300" w:right="559"/>
        <w:spacing w:after="0" w:line="231" w:lineRule="auto"/>
        <w:rPr>
          <w:sz w:val="20"/>
          <w:szCs w:val="20"/>
          <w:color w:val="auto"/>
        </w:rPr>
      </w:pPr>
      <w:r>
        <w:rPr>
          <w:rFonts w:ascii="Times New Roman" w:cs="Times New Roman" w:eastAsia="Times New Roman" w:hAnsi="Times New Roman"/>
          <w:sz w:val="17"/>
          <w:szCs w:val="17"/>
          <w:color w:val="auto"/>
        </w:rPr>
        <w:t>have fluctuated significantly and may continue to do so in the future. An appreciation of the Euro against the U.S. dollar could increase the relative cost of our drug candidates outside of Europe, which could have a negative effect on sales. Conversely, to the extent that we are required to pay for goods or services in U.S. dollars, the</w:t>
      </w:r>
    </w:p>
    <w:p>
      <w:pPr>
        <w:sectPr>
          <w:pgSz w:w="11900" w:h="16931" w:orient="portrait"/>
          <w:cols w:equalWidth="0" w:num="1">
            <w:col w:w="9019"/>
          </w:cols>
          <w:pgMar w:left="1440" w:top="108" w:right="1440" w:bottom="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color w:val="auto"/>
        </w:rPr>
        <w:t>depreciation of the Euro against the U.S. dollar would increase the cost of such goods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57" w:lineRule="exact"/>
        <w:rPr>
          <w:sz w:val="20"/>
          <w:szCs w:val="20"/>
          <w:color w:val="auto"/>
        </w:rPr>
      </w:pPr>
    </w:p>
    <w:p>
      <w:pPr>
        <w:ind w:left="300" w:right="319" w:firstLine="441"/>
        <w:spacing w:after="0" w:line="263" w:lineRule="auto"/>
        <w:rPr>
          <w:sz w:val="20"/>
          <w:szCs w:val="20"/>
          <w:color w:val="auto"/>
        </w:rPr>
      </w:pPr>
      <w:r>
        <w:rPr>
          <w:rFonts w:ascii="Times New Roman" w:cs="Times New Roman" w:eastAsia="Times New Roman" w:hAnsi="Times New Roman"/>
          <w:sz w:val="17"/>
          <w:szCs w:val="17"/>
          <w:color w:val="auto"/>
        </w:rPr>
        <w:t>We do not hedge our currency exposure and, therefore, we incur currency transaction risk whenever we enter into either a purchase or sale transaction using a currency other than the Euro. Given the volatility of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19"/>
        <w:spacing w:after="0" w:line="237" w:lineRule="auto"/>
        <w:rPr>
          <w:sz w:val="20"/>
          <w:szCs w:val="20"/>
          <w:color w:val="auto"/>
        </w:rPr>
      </w:pPr>
      <w:r>
        <w:rPr>
          <w:rFonts w:ascii="Times New Roman" w:cs="Times New Roman" w:eastAsia="Times New Roman" w:hAnsi="Times New Roman"/>
          <w:sz w:val="18"/>
          <w:szCs w:val="18"/>
          <w:color w:val="auto"/>
        </w:rPr>
        <w:t>we might not be able to effectively manage our currency transaction risks, and volatility in currency exchange rates might have a material adverse effect on our business, financial condition or results of operations.</w:t>
      </w:r>
    </w:p>
    <w:p>
      <w:pPr>
        <w:spacing w:after="0" w:line="60" w:lineRule="exact"/>
        <w:rPr>
          <w:sz w:val="20"/>
          <w:szCs w:val="20"/>
          <w:color w:val="auto"/>
        </w:rPr>
      </w:pPr>
    </w:p>
    <w:p>
      <w:pPr>
        <w:ind w:left="300" w:right="77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rely on a small number of third-party suppliers and manufacturers, and in certain cases a single-source supplier, and we may be in a position of dependence with respect to these third parties.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do not own or operate manufacturing facilities and have no current plans to develop our own clinical or</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commercial-scale manufacturing capabilities. We currently rely, and expect to continue to rely, on a small number of third-party suppliers, and in certain cases a single-source supplier, for the supply of various raw materials and chemical products and clinical batches needed for our preclinical studies and clinical trials. In the case of certain</w:t>
      </w:r>
    </w:p>
    <w:p>
      <w:pPr>
        <w:spacing w:after="0" w:line="2" w:lineRule="exact"/>
        <w:rPr>
          <w:sz w:val="20"/>
          <w:szCs w:val="20"/>
          <w:color w:val="auto"/>
        </w:rPr>
      </w:pP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manufactured and clinical supplies, we rely on single-source suppliers. The supply of specific raw materials and products required for conducting clinical trials and manufacturing our products cannot be guaranteed.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dependent on third parties for the supply of various materials, including chemical or biological</w:t>
      </w:r>
    </w:p>
    <w:p>
      <w:pPr>
        <w:spacing w:after="0" w:line="2" w:lineRule="exact"/>
        <w:rPr>
          <w:sz w:val="20"/>
          <w:szCs w:val="20"/>
          <w:color w:val="auto"/>
        </w:rPr>
      </w:pPr>
    </w:p>
    <w:p>
      <w:pPr>
        <w:ind w:left="300" w:right="799"/>
        <w:spacing w:after="0" w:line="226" w:lineRule="auto"/>
        <w:rPr>
          <w:sz w:val="20"/>
          <w:szCs w:val="20"/>
          <w:color w:val="auto"/>
        </w:rPr>
      </w:pPr>
      <w:r>
        <w:rPr>
          <w:rFonts w:ascii="Times New Roman" w:cs="Times New Roman" w:eastAsia="Times New Roman" w:hAnsi="Times New Roman"/>
          <w:sz w:val="18"/>
          <w:szCs w:val="18"/>
          <w:color w:val="auto"/>
        </w:rPr>
        <w:t>products that can barely be substituted and are necessary to produce drug candidates for our clinical trials and, ultimately, commercial supply for any of our drug candidates that may receive approval.</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facilities used by our third-party manufacturers must be approved for the manufacture of our drug</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candidates by the FDA, the national competent authorities of EU Member States and any comparable foreign regulatory authorities in other jurisdictions, pursuant to inspections that may be conducted after we submit an NDA to the FDA, a marketing authorization application ("MAA") to the EMA, or submit a comparable marketing</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application to a comparable regulatory authority. We do not control the manufacturing process of, and are completely dependent on, third-party manufacturers for compliance with GMP requirements for manufacture of our drug candidates. If these third-party manufacturers cannot successfully manufacture material that conforms to our</w:t>
      </w:r>
    </w:p>
    <w:p>
      <w:pPr>
        <w:spacing w:after="0" w:line="2" w:lineRule="exact"/>
        <w:rPr>
          <w:sz w:val="20"/>
          <w:szCs w:val="20"/>
          <w:color w:val="auto"/>
        </w:rPr>
      </w:pP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specifications and the strict regulatory requirements of any applicable regulatory authority, they will not be able to secure and/or maintain regulatory approval for the use of their manufacturing facilities.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addition, we have no control over the ability of third-party manufacturers to maintain adequate quality</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control, quality assurance and qualified personnel. If any regulatory authority does not approve these facilities for the manufacture of our drug candidates, or if such authorities withdraw any such approval in the future, we may be required to find alternative manufacturing facilities, which would significantly impact our ability to develop, obtain</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regulatory approval for or market our drug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w:t>
      </w:r>
    </w:p>
    <w:p>
      <w:pPr>
        <w:spacing w:after="0" w:line="2"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operating restrictions and criminal prosecutions, any of which could significantly and adversely affect our financial position.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w:t>
      </w:r>
    </w:p>
    <w:p>
      <w:pPr>
        <w:spacing w:after="0" w:line="2" w:lineRule="exact"/>
        <w:rPr>
          <w:sz w:val="20"/>
          <w:szCs w:val="20"/>
          <w:color w:val="auto"/>
        </w:rPr>
      </w:pPr>
    </w:p>
    <w:p>
      <w:pPr>
        <w:ind w:left="300" w:right="559"/>
        <w:spacing w:after="0" w:line="226" w:lineRule="auto"/>
        <w:rPr>
          <w:sz w:val="20"/>
          <w:szCs w:val="20"/>
          <w:color w:val="auto"/>
        </w:rPr>
      </w:pPr>
      <w:r>
        <w:rPr>
          <w:rFonts w:ascii="Times New Roman" w:cs="Times New Roman" w:eastAsia="Times New Roman" w:hAnsi="Times New Roman"/>
          <w:sz w:val="18"/>
          <w:szCs w:val="18"/>
          <w:color w:val="auto"/>
        </w:rPr>
        <w:t>and in compliance with GMP or other regulatory requirements could adversely affect our business in a number of ways, including:</w:t>
      </w:r>
    </w:p>
    <w:p>
      <w:pPr>
        <w:spacing w:after="0" w:line="49" w:lineRule="exact"/>
        <w:rPr>
          <w:sz w:val="20"/>
          <w:szCs w:val="20"/>
          <w:color w:val="auto"/>
        </w:rPr>
      </w:pPr>
    </w:p>
    <w:p>
      <w:pPr>
        <w:ind w:left="1280" w:hanging="32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complete clinical trials of our drug candidates in a timely manner;</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our drug candidates;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to additional inspections by regulatory authorities;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drug candidates; and</w:t>
      </w:r>
    </w:p>
    <w:p>
      <w:pPr>
        <w:spacing w:after="0" w:line="90" w:lineRule="exact"/>
        <w:rPr>
          <w:rFonts w:ascii="Times New Roman" w:cs="Times New Roman" w:eastAsia="Times New Roman" w:hAnsi="Times New Roman"/>
          <w:sz w:val="18"/>
          <w:szCs w:val="18"/>
          <w:color w:val="auto"/>
        </w:rPr>
      </w:pPr>
    </w:p>
    <w:p>
      <w:pPr>
        <w:ind w:left="1280" w:right="999" w:hanging="328"/>
        <w:spacing w:after="0" w:line="237"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any drug candidate, an inability to meet commercial demands.</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any third-party</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manufacturers. We may be unable to establish any long-term supply agreements with third-party manufacturers or to do so on acceptable terms, which increases the risk of failing to timely obtain sufficient quantities of our drug candidates or such quantities at an acceptable cost. Any performance failure on the part of our existing or future</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manufacturers or suppliers could delay clinical development or marketing approval, and any related remedial measures may be costly or time consuming to implement. We do not currently have second source for all required raw materials used in the manufacture of our drug candidates. If our existing or future third-party manufacturers</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cannot perform as agreed, we may be required to replace such manufacturers and we may be unable to replace them on a timely basis or at all, which would have a material adverse impact on our financial position.</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 If these third parties do not</w:t>
      </w:r>
    </w:p>
    <w:p>
      <w:pPr>
        <w:spacing w:after="0" w:line="6" w:lineRule="exact"/>
        <w:rPr>
          <w:sz w:val="20"/>
          <w:szCs w:val="20"/>
          <w:color w:val="auto"/>
        </w:rPr>
      </w:pPr>
    </w:p>
    <w:p>
      <w:pPr>
        <w:ind w:left="300" w:right="29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successfully carry out their contractual duties or meet expected deadlines, we may not be able to obtain regulatory approval for or commercialize our drug candidates and our business could be substantially harmed.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studies. Specifically, we rely</w:t>
      </w:r>
    </w:p>
    <w:p>
      <w:pPr>
        <w:spacing w:after="0" w:line="2" w:lineRule="exact"/>
        <w:rPr>
          <w:sz w:val="20"/>
          <w:szCs w:val="20"/>
          <w:color w:val="auto"/>
        </w:rPr>
      </w:pPr>
    </w:p>
    <w:p>
      <w:pPr>
        <w:ind w:left="300" w:right="359"/>
        <w:spacing w:after="0" w:line="231" w:lineRule="auto"/>
        <w:rPr>
          <w:sz w:val="20"/>
          <w:szCs w:val="20"/>
          <w:color w:val="auto"/>
        </w:rPr>
      </w:pPr>
      <w:r>
        <w:rPr>
          <w:rFonts w:ascii="Times New Roman" w:cs="Times New Roman" w:eastAsia="Times New Roman" w:hAnsi="Times New Roman"/>
          <w:sz w:val="17"/>
          <w:szCs w:val="17"/>
          <w:color w:val="auto"/>
        </w:rPr>
        <w:t>on, and will continue to rely on, medical institutions, clinical investigators, CROs and consultants to conduct preclinical studies and clinical trials, in each case in accordance with trial protocols and regulatory requirements. These CROs, investigators and other third parties play a significant role in the conduct and timing of these trials and</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08" w:right="1440" w:bottom="0" w:gutter="0" w:footer="0" w:header="0"/>
          <w:type w:val="continuous"/>
        </w:sectPr>
      </w:pPr>
    </w:p>
    <w:bookmarkStart w:id="20" w:name="page21"/>
    <w:bookmarkEnd w:id="20"/>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r>
    </w:p>
    <w:p>
      <w:pPr>
        <w:ind w:left="300" w:right="799"/>
        <w:spacing w:after="0" w:line="236" w:lineRule="auto"/>
        <w:rPr>
          <w:sz w:val="20"/>
          <w:szCs w:val="20"/>
          <w:color w:val="auto"/>
        </w:rPr>
      </w:pPr>
      <w:r>
        <w:rPr>
          <w:rFonts w:ascii="Times New Roman" w:cs="Times New Roman" w:eastAsia="Times New Roman" w:hAnsi="Times New Roman"/>
          <w:sz w:val="17"/>
          <w:szCs w:val="17"/>
          <w:color w:val="auto"/>
        </w:rPr>
        <w:t>subsequent collection and analysis of data. Though we expect to carefully manage our relationships with such CROs, investigators and other third parties, there can be no assurance that we will not encounter challenges or</w:t>
      </w: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w:t>
      </w:r>
    </w:p>
    <w:p>
      <w:pPr>
        <w:spacing w:after="0" w:line="2" w:lineRule="exact"/>
        <w:rPr>
          <w:sz w:val="20"/>
          <w:szCs w:val="20"/>
          <w:color w:val="auto"/>
        </w:rPr>
      </w:pP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for ensuring that each of our clinical trials is conducted in accordance with the applicable protocol and legal, regulatory and scientific standards and requirements, and our reliance on our CROs and other third parties does not relieve us of our regulatory responsibilities.</w:t>
      </w:r>
    </w:p>
    <w:p>
      <w:pPr>
        <w:spacing w:after="0" w:line="64" w:lineRule="exact"/>
        <w:rPr>
          <w:sz w:val="20"/>
          <w:szCs w:val="20"/>
          <w:color w:val="auto"/>
        </w:rPr>
      </w:pPr>
    </w:p>
    <w:p>
      <w:pPr>
        <w:ind w:left="300" w:right="319" w:firstLine="441"/>
        <w:spacing w:after="0" w:line="216" w:lineRule="auto"/>
        <w:rPr>
          <w:sz w:val="20"/>
          <w:szCs w:val="20"/>
          <w:color w:val="auto"/>
        </w:rPr>
      </w:pPr>
      <w:r>
        <w:rPr>
          <w:rFonts w:ascii="Times New Roman" w:cs="Times New Roman" w:eastAsia="Times New Roman" w:hAnsi="Times New Roman"/>
          <w:sz w:val="18"/>
          <w:szCs w:val="18"/>
          <w:color w:val="auto"/>
        </w:rPr>
        <w:t>In addition, we and our CROs are required to comply with stringent standards governing the conduct of preclinical studies and clinical trials, including Good Laboratory Practice (“GLP”) and GCP requirements, which are regulations and guidelines enforced by the FDA and comparable foreign regulatory authorities, for our drug</w:t>
      </w:r>
    </w:p>
    <w:p>
      <w:pPr>
        <w:spacing w:after="0" w:line="1"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candidates in clinical development. Regulatory authorities enforce GCPs through periodic inspections of trial sponsors, principal investigators and trial sites. If we or any of our CROs or trial sites fail to comply with applicable GLP, GCP or other requirements, the data generated in our clinical trials may be deemed unreliable, and the FDA or</w:t>
      </w:r>
    </w:p>
    <w:p>
      <w:pPr>
        <w:ind w:left="300"/>
        <w:spacing w:after="0" w:line="206" w:lineRule="auto"/>
        <w:rPr>
          <w:sz w:val="20"/>
          <w:szCs w:val="20"/>
          <w:color w:val="auto"/>
        </w:rPr>
      </w:pPr>
      <w:r>
        <w:rPr>
          <w:rFonts w:ascii="Times New Roman" w:cs="Times New Roman" w:eastAsia="Times New Roman" w:hAnsi="Times New Roman"/>
          <w:sz w:val="18"/>
          <w:szCs w:val="18"/>
          <w:color w:val="auto"/>
        </w:rPr>
        <w:t>comparable foreign regulatory authorities may require us to perform additional clinical trials before approving our</w:t>
      </w:r>
    </w:p>
    <w:p>
      <w:pPr>
        <w:ind w:left="300"/>
        <w:spacing w:after="0" w:line="203" w:lineRule="auto"/>
        <w:rPr>
          <w:sz w:val="20"/>
          <w:szCs w:val="20"/>
          <w:color w:val="auto"/>
        </w:rPr>
      </w:pPr>
      <w:r>
        <w:rPr>
          <w:rFonts w:ascii="Times New Roman" w:cs="Times New Roman" w:eastAsia="Times New Roman" w:hAnsi="Times New Roman"/>
          <w:sz w:val="18"/>
          <w:szCs w:val="18"/>
          <w:color w:val="auto"/>
        </w:rPr>
        <w:t>marketing applications, if ever. Furthermore, our clinical trials must be conducted with materials manufactured in</w:t>
      </w:r>
    </w:p>
    <w:p>
      <w:pPr>
        <w:ind w:left="300"/>
        <w:spacing w:after="0" w:line="219" w:lineRule="auto"/>
        <w:rPr>
          <w:sz w:val="20"/>
          <w:szCs w:val="20"/>
          <w:color w:val="auto"/>
        </w:rPr>
      </w:pPr>
      <w:r>
        <w:rPr>
          <w:rFonts w:ascii="Times New Roman" w:cs="Times New Roman" w:eastAsia="Times New Roman" w:hAnsi="Times New Roman"/>
          <w:sz w:val="18"/>
          <w:szCs w:val="18"/>
          <w:color w:val="auto"/>
        </w:rPr>
        <w:t>accordance with GMP regulations. Failure to comply with these regulations may require us to repeat clinical trials,</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would delay the regulatory approval process.</w:t>
      </w:r>
    </w:p>
    <w:p>
      <w:pPr>
        <w:spacing w:after="0" w:line="57"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There is no guarantee that any of our CROs, investigators or other third parties will devote adequate time and resources to such trials or studies or perform as contractually required. If any of these third parties fails to meet</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whom they may also be conducting clinical trials or other activities that could harm our competitive position. In addition, principal investigators for our clinical trials may be asked to serve as scientific advisors or consultants to us from time to time and may receive cash or equity compensation in connection with such services. If these</w:t>
      </w:r>
    </w:p>
    <w:p>
      <w:pPr>
        <w:ind w:left="300"/>
        <w:spacing w:after="0" w:line="205" w:lineRule="auto"/>
        <w:rPr>
          <w:sz w:val="20"/>
          <w:szCs w:val="20"/>
          <w:color w:val="auto"/>
        </w:rPr>
      </w:pPr>
      <w:r>
        <w:rPr>
          <w:rFonts w:ascii="Times New Roman" w:cs="Times New Roman" w:eastAsia="Times New Roman" w:hAnsi="Times New Roman"/>
          <w:sz w:val="18"/>
          <w:szCs w:val="18"/>
          <w:color w:val="auto"/>
        </w:rPr>
        <w:t>relationships and any related compensation result in perceived or actual conflicts of interest, or the FDA concludes</w:t>
      </w:r>
    </w:p>
    <w:p>
      <w:pPr>
        <w:ind w:left="300"/>
        <w:spacing w:after="0" w:line="204" w:lineRule="auto"/>
        <w:rPr>
          <w:sz w:val="20"/>
          <w:szCs w:val="20"/>
          <w:color w:val="auto"/>
        </w:rPr>
      </w:pPr>
      <w:r>
        <w:rPr>
          <w:rFonts w:ascii="Times New Roman" w:cs="Times New Roman" w:eastAsia="Times New Roman" w:hAnsi="Times New Roman"/>
          <w:sz w:val="18"/>
          <w:szCs w:val="18"/>
          <w:color w:val="auto"/>
        </w:rPr>
        <w:t>that the financial relationship may have affected the interpretation of the study, the integrity of the data generated at</w:t>
      </w:r>
    </w:p>
    <w:p>
      <w:pPr>
        <w:ind w:left="300"/>
        <w:spacing w:after="0" w:line="219" w:lineRule="auto"/>
        <w:rPr>
          <w:sz w:val="20"/>
          <w:szCs w:val="20"/>
          <w:color w:val="auto"/>
        </w:rPr>
      </w:pPr>
      <w:r>
        <w:rPr>
          <w:rFonts w:ascii="Times New Roman" w:cs="Times New Roman" w:eastAsia="Times New Roman" w:hAnsi="Times New Roman"/>
          <w:sz w:val="18"/>
          <w:szCs w:val="18"/>
          <w:color w:val="auto"/>
        </w:rPr>
        <w:t>the applicable clinical trial site may be questioned and the utility of the clinical trial itself may be jeopardized, which</w:t>
      </w: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could result in the delay or rejection by the FDA of any NDA we submit. Any such delay or rejection could prevent us from commercializing our drug candidates.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our CROs have the right to terminate their agreements with us in the event of an uncured material</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w:t>
      </w:r>
    </w:p>
    <w:p>
      <w:pPr>
        <w:spacing w:after="0" w:line="2" w:lineRule="exact"/>
        <w:rPr>
          <w:sz w:val="20"/>
          <w:szCs w:val="20"/>
          <w:color w:val="auto"/>
        </w:rPr>
      </w:pPr>
    </w:p>
    <w:p>
      <w:pPr>
        <w:ind w:left="300" w:right="519"/>
        <w:spacing w:after="0" w:line="226" w:lineRule="auto"/>
        <w:rPr>
          <w:sz w:val="20"/>
          <w:szCs w:val="20"/>
          <w:color w:val="auto"/>
        </w:rPr>
      </w:pPr>
      <w:r>
        <w:rPr>
          <w:rFonts w:ascii="Times New Roman" w:cs="Times New Roman" w:eastAsia="Times New Roman" w:hAnsi="Times New Roman"/>
          <w:sz w:val="18"/>
          <w:szCs w:val="18"/>
          <w:color w:val="auto"/>
        </w:rPr>
        <w:t>can be no assurance that we will not encounter challenges or delays in the future or that these delays or challenges will not have a material adverse impact on our business, financial condition and prospects.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impact on our business, financial condition and prospects.</w:t>
      </w:r>
    </w:p>
    <w:p>
      <w:pPr>
        <w:spacing w:after="0" w:line="53" w:lineRule="exact"/>
        <w:rPr>
          <w:sz w:val="20"/>
          <w:szCs w:val="20"/>
          <w:color w:val="auto"/>
        </w:rPr>
      </w:pPr>
    </w:p>
    <w:p>
      <w:pPr>
        <w:ind w:left="300" w:right="9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executives and to attract, retain and motivate qualified personnel.</w:t>
      </w:r>
    </w:p>
    <w:p>
      <w:pPr>
        <w:spacing w:after="0" w:line="64" w:lineRule="exact"/>
        <w:rPr>
          <w:sz w:val="20"/>
          <w:szCs w:val="20"/>
          <w:color w:val="auto"/>
        </w:rPr>
      </w:pPr>
    </w:p>
    <w:p>
      <w:pPr>
        <w:jc w:val="both"/>
        <w:ind w:left="300" w:right="479" w:firstLine="441"/>
        <w:spacing w:after="0" w:line="229" w:lineRule="auto"/>
        <w:rPr>
          <w:sz w:val="20"/>
          <w:szCs w:val="20"/>
          <w:color w:val="auto"/>
        </w:rPr>
      </w:pPr>
      <w:r>
        <w:rPr>
          <w:rFonts w:ascii="Times New Roman" w:cs="Times New Roman" w:eastAsia="Times New Roman" w:hAnsi="Times New Roman"/>
          <w:sz w:val="17"/>
          <w:szCs w:val="17"/>
          <w:color w:val="auto"/>
        </w:rPr>
        <w:t>We are highly dependent on our management, scientific and medical personnel whose services are critical to our success. Our success depends greatly on the involvement and expertise of our senior executives and qualified scientific staff. We do not maintain key person insurance. The temporary or permanent unavailability of our</w:t>
      </w:r>
    </w:p>
    <w:p>
      <w:pPr>
        <w:ind w:left="300"/>
        <w:spacing w:after="0"/>
        <w:rPr>
          <w:sz w:val="20"/>
          <w:szCs w:val="20"/>
          <w:color w:val="auto"/>
        </w:rPr>
      </w:pPr>
      <w:r>
        <w:rPr>
          <w:rFonts w:ascii="Times New Roman" w:cs="Times New Roman" w:eastAsia="Times New Roman" w:hAnsi="Times New Roman"/>
          <w:sz w:val="18"/>
          <w:szCs w:val="18"/>
          <w:color w:val="auto"/>
        </w:rPr>
        <w:t>management and scientific staff could lead to:</w:t>
      </w:r>
    </w:p>
    <w:p>
      <w:pPr>
        <w:spacing w:after="0" w:line="57" w:lineRule="exact"/>
        <w:rPr>
          <w:sz w:val="20"/>
          <w:szCs w:val="20"/>
          <w:color w:val="auto"/>
        </w:rPr>
      </w:pPr>
    </w:p>
    <w:p>
      <w:pPr>
        <w:ind w:left="1280" w:right="1039" w:hanging="328"/>
        <w:spacing w:after="0" w:line="237"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know-how and weakening of certain activities, especially in the case of transfer to the competition; and</w:t>
      </w:r>
    </w:p>
    <w:p>
      <w:pPr>
        <w:spacing w:after="0" w:line="63" w:lineRule="exact"/>
        <w:rPr>
          <w:rFonts w:ascii="Times New Roman" w:cs="Times New Roman" w:eastAsia="Times New Roman" w:hAnsi="Times New Roman"/>
          <w:sz w:val="18"/>
          <w:szCs w:val="18"/>
          <w:color w:val="auto"/>
        </w:rPr>
      </w:pPr>
    </w:p>
    <w:p>
      <w:pPr>
        <w:ind w:left="1280" w:right="379" w:hanging="328"/>
        <w:spacing w:after="0" w:line="237"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terms of technical skills that could slow down activity and ultimately impair our ability to reach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242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firstLine="441"/>
        <w:spacing w:after="0" w:line="222" w:lineRule="auto"/>
        <w:rPr>
          <w:sz w:val="20"/>
          <w:szCs w:val="20"/>
          <w:color w:val="auto"/>
        </w:rPr>
      </w:pPr>
      <w:r>
        <w:rPr>
          <w:rFonts w:ascii="Times New Roman" w:cs="Times New Roman" w:eastAsia="Times New Roman" w:hAnsi="Times New Roman"/>
          <w:sz w:val="18"/>
          <w:szCs w:val="18"/>
          <w:color w:val="auto"/>
        </w:rPr>
        <w:t>Recruiting and retaining additional qualified management and scientific, clinical, manufacturing and sales and marketing personnel will also be critical to our success, particularly as we expand in order to acquire additional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skills, such as manufacturing, quality assurance and regulatory and medical affairs. The loss of the services of our</w:t>
      </w:r>
    </w:p>
    <w:p>
      <w:pPr>
        <w:sectPr>
          <w:pgSz w:w="11900" w:h="16838" w:orient="portrait"/>
          <w:cols w:equalWidth="0" w:num="1">
            <w:col w:w="9019"/>
          </w:cols>
          <w:pgMar w:left="1440" w:top="1440" w:right="1440" w:bottom="0" w:gutter="0" w:footer="0" w:header="0"/>
        </w:sectPr>
      </w:pPr>
    </w:p>
    <w:bookmarkStart w:id="21" w:name="page22"/>
    <w:bookmarkEnd w:id="21"/>
    <w:p>
      <w:pPr>
        <w:spacing w:after="0" w:line="74" w:lineRule="exact"/>
        <w:rPr>
          <w:sz w:val="20"/>
          <w:szCs w:val="20"/>
          <w:color w:val="auto"/>
        </w:rPr>
      </w:pPr>
    </w:p>
    <w:p>
      <w:pPr>
        <w:ind w:left="300" w:right="519"/>
        <w:spacing w:after="0" w:line="183" w:lineRule="auto"/>
        <w:rPr>
          <w:sz w:val="20"/>
          <w:szCs w:val="20"/>
          <w:color w:val="auto"/>
        </w:rPr>
      </w:pPr>
      <w:r>
        <w:rPr>
          <w:rFonts w:ascii="Times New Roman" w:cs="Times New Roman" w:eastAsia="Times New Roman" w:hAnsi="Times New Roman"/>
          <w:sz w:val="15"/>
          <w:szCs w:val="15"/>
          <w:color w:val="auto"/>
        </w:rPr>
        <w:t>senior management team or other key employees could impede the achievement of our research, development and commercialization objectives and seriously harm our ability to successfully implement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-146050</wp:posOffset>
            </wp:positionV>
            <wp:extent cx="7016115" cy="7820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candidates. Competition to hire from</w:t>
      </w:r>
    </w:p>
    <w:p>
      <w:pPr>
        <w:spacing w:after="0" w:line="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this limited pool is intense, and we may be unable to hire, train, retain or motivate these key personnel on acceptable terms given the competition among numerous pharmaceutical and biotechnology companies for similar personnel.</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also experience intense competition for the hiring of scientific and clinical personnel from other</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companies, universities and research institutions. We may not be able to attract or retain qualified management and scientific personnel in the future due to intense competition for a limited number of qualified personnel. Many of those that compete with us for qualified personnel have greater financial and other resources, different risk profiles</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and a longer history in the industry than we do. Our competitors may also provide more diverse opportunities and better chances for career advancement. An inability to attract and retain high quality personnel will have a material adverse effect on our business, prospects, financial condition, cash flow or results of operations.</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w:t>
      </w:r>
    </w:p>
    <w:p>
      <w:pPr>
        <w:ind w:left="300" w:right="579"/>
        <w:spacing w:after="0" w:line="218" w:lineRule="auto"/>
        <w:rPr>
          <w:sz w:val="20"/>
          <w:szCs w:val="20"/>
          <w:color w:val="auto"/>
        </w:rPr>
      </w:pPr>
      <w:r>
        <w:rPr>
          <w:rFonts w:ascii="Times New Roman" w:cs="Times New Roman" w:eastAsia="Times New Roman" w:hAnsi="Times New Roman"/>
          <w:sz w:val="18"/>
          <w:szCs w:val="18"/>
          <w:color w:val="auto"/>
        </w:rPr>
        <w:t>entities that may limit their availability to us. If we are unable to continue to attract and retain high quality personnel, the marketing and production of our drugs could be delayed or prevented, which could, in turn, have a material adverse effect on our business, prospects, financial condition, cash flows or results of operations.</w:t>
      </w:r>
    </w:p>
    <w:p>
      <w:pPr>
        <w:spacing w:after="0" w:line="60"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and commercial partners. Misconduct by these parties could include intentional failures, reckless and/or negligent conduct or unauthorized activity that violates (i) the laws and regulations of the European Economic Area (“EEA”) countries, the European Union, FDA and other regulatory authorities, including those laws requiring the reporting of</w:t>
      </w:r>
    </w:p>
    <w:p>
      <w:pPr>
        <w:spacing w:after="0" w:line="2" w:lineRule="exact"/>
        <w:rPr>
          <w:sz w:val="20"/>
          <w:szCs w:val="20"/>
          <w:color w:val="auto"/>
        </w:rPr>
      </w:pPr>
    </w:p>
    <w:p>
      <w:pPr>
        <w:ind w:left="300" w:right="439"/>
        <w:spacing w:after="0" w:line="208" w:lineRule="auto"/>
        <w:rPr>
          <w:sz w:val="20"/>
          <w:szCs w:val="20"/>
          <w:color w:val="auto"/>
        </w:rPr>
      </w:pPr>
      <w:r>
        <w:rPr>
          <w:rFonts w:ascii="Times New Roman" w:cs="Times New Roman" w:eastAsia="Times New Roman" w:hAnsi="Times New Roman"/>
          <w:sz w:val="18"/>
          <w:szCs w:val="18"/>
          <w:color w:val="auto"/>
        </w:rPr>
        <w:t>true, complete and accurate information to such authorities, (ii) manufacturing standards, (iii) federal and state data privacy, security, fraud and abuse and other healthcare laws and regulations in Europe, the United States and elsewhere, (iv) laws that require the true, complete and accurate reporting of financial information or data and (v)</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insider trading laws of the European Union, the United States or other jurisdictions. In particular, sales, marketing and business arrangements in the healthcare industry are subject to extensive laws and regulations intended to prevent fraud, misconduct, kickbacks, self-dealing and other abusive practices. These laws and regulations restrict or</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w:t>
      </w:r>
    </w:p>
    <w:p>
      <w:pPr>
        <w:spacing w:after="0" w:line="2" w:lineRule="exact"/>
        <w:rPr>
          <w:sz w:val="20"/>
          <w:szCs w:val="20"/>
          <w:color w:val="auto"/>
        </w:rPr>
      </w:pP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w:t>
      </w:r>
    </w:p>
    <w:p>
      <w:pPr>
        <w:spacing w:after="0" w:line="2" w:lineRule="exact"/>
        <w:rPr>
          <w:sz w:val="20"/>
          <w:szCs w:val="20"/>
          <w:color w:val="auto"/>
        </w:rPr>
      </w:pPr>
    </w:p>
    <w:p>
      <w:pPr>
        <w:ind w:left="300" w:right="839"/>
        <w:spacing w:after="0" w:line="220" w:lineRule="auto"/>
        <w:rPr>
          <w:sz w:val="20"/>
          <w:szCs w:val="20"/>
          <w:color w:val="auto"/>
        </w:rPr>
      </w:pPr>
      <w:r>
        <w:rPr>
          <w:rFonts w:ascii="Times New Roman" w:cs="Times New Roman" w:eastAsia="Times New Roman" w:hAnsi="Times New Roman"/>
          <w:sz w:val="17"/>
          <w:szCs w:val="17"/>
          <w:color w:val="auto"/>
        </w:rPr>
        <w:t>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negative impact on our business, financial condition, results of operations and prospects.</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Moreover, governmental investigations by health regulatory agencies such as the FDA or EMA or securities regulatory agencies, such as the AMF or SEC, litigation or other legal proceedings may cause us to incur significant</w:t>
      </w: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adverse effect on the price of our ordinary shares. Such investigations,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relating to applicable laws and regulations could have an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61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infrastructure in market access, sales, marketing and distribution.</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lack infrastructure and resources in the fields of sales, marketing and distribution. We need to develop our</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own marketing and sales capacity, either alone or with partners once marketing authorizations have been obtained. As part of setting up our sales and marketing infrastructure, we will need to incur additional expenses, mobilize management resources, implement new skills and take the time necessary to set up the appropriate organization and</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structure to support the products in accordance with current legislation and, more generally, optimize commercialization efforts. We compete with many companies that currently have extensive, experienced and well-funded market access, marketing and sales operations to recruit, hire, train and retain marketing and sales personnel,</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and will have to compete with those companies to recruit, hire, train and retain any of our own market access, marketing and sales personnel. If we are unable to expand our sales and marketing team, we may be unable to compete successfully against these more established companies. Alternatively, if we choose to collaborate, either</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the proposed collaboration. If we are unable to enter into such arrangements when needed, on acceptable terms, or</w:t>
      </w:r>
    </w:p>
    <w:p>
      <w:pPr>
        <w:sectPr>
          <w:pgSz w:w="11900" w:h="16913" w:orient="portrait"/>
          <w:cols w:equalWidth="0" w:num="1">
            <w:col w:w="9019"/>
          </w:cols>
          <w:pgMar w:left="1440" w:top="108" w:right="1440" w:bottom="0" w:gutter="0" w:footer="0" w:header="0"/>
        </w:sectPr>
      </w:pPr>
    </w:p>
    <w:bookmarkStart w:id="22" w:name="page23"/>
    <w:bookmarkEnd w:id="22"/>
    <w:p>
      <w:pPr>
        <w:ind w:left="300" w:right="359"/>
        <w:spacing w:after="0" w:line="227" w:lineRule="auto"/>
        <w:rPr>
          <w:sz w:val="20"/>
          <w:szCs w:val="20"/>
          <w:color w:val="auto"/>
        </w:rPr>
      </w:pPr>
      <w:r>
        <w:rPr>
          <w:rFonts w:ascii="Times New Roman" w:cs="Times New Roman" w:eastAsia="Times New Roman" w:hAnsi="Times New Roman"/>
          <w:sz w:val="17"/>
          <w:szCs w:val="17"/>
          <w:color w:val="auto"/>
        </w:rPr>
        <w:t>at all, we may not be able to successfully commercialize any of our drug candidates that receive regulatory approval or any such commercialization may experience delays or limitations. Factors that may inhibit our efforts to build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-213995</wp:posOffset>
            </wp:positionV>
            <wp:extent cx="7016115" cy="6448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sales, marketing and distribution organization include:</w:t>
      </w:r>
    </w:p>
    <w:p>
      <w:pPr>
        <w:spacing w:after="0" w:line="57" w:lineRule="exact"/>
        <w:rPr>
          <w:sz w:val="20"/>
          <w:szCs w:val="20"/>
          <w:color w:val="auto"/>
        </w:rPr>
      </w:pPr>
    </w:p>
    <w:p>
      <w:pPr>
        <w:ind w:left="1280" w:hanging="328"/>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76" w:lineRule="exact"/>
        <w:rPr>
          <w:rFonts w:ascii="Times New Roman" w:cs="Times New Roman" w:eastAsia="Times New Roman" w:hAnsi="Times New Roman"/>
          <w:sz w:val="18"/>
          <w:szCs w:val="18"/>
          <w:color w:val="auto"/>
        </w:rPr>
      </w:pPr>
    </w:p>
    <w:p>
      <w:pPr>
        <w:ind w:left="1280" w:right="619" w:hanging="328"/>
        <w:spacing w:after="0" w:line="231"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educate physicians about patients for whom our drug candidates may be appropriate treatment options and attain adequate numbers of physicians to prescribe any drugs;</w:t>
      </w:r>
    </w:p>
    <w:p>
      <w:pPr>
        <w:spacing w:after="0" w:line="50" w:lineRule="exact"/>
        <w:rPr>
          <w:rFonts w:ascii="Times New Roman" w:cs="Times New Roman" w:eastAsia="Times New Roman" w:hAnsi="Times New Roman"/>
          <w:sz w:val="18"/>
          <w:szCs w:val="18"/>
          <w:color w:val="auto"/>
        </w:rPr>
      </w:pPr>
    </w:p>
    <w:p>
      <w:pPr>
        <w:ind w:left="1280" w:right="1079" w:hanging="328"/>
        <w:spacing w:after="0" w:line="250"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7" w:lineRule="exact"/>
        <w:rPr>
          <w:rFonts w:ascii="Times New Roman" w:cs="Times New Roman" w:eastAsia="Times New Roman" w:hAnsi="Times New Roman"/>
          <w:sz w:val="18"/>
          <w:szCs w:val="18"/>
          <w:color w:val="auto"/>
        </w:rPr>
      </w:pPr>
    </w:p>
    <w:p>
      <w:pPr>
        <w:ind w:left="1280" w:right="339" w:hanging="328"/>
        <w:spacing w:after="0" w:line="250"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41" w:lineRule="exact"/>
        <w:rPr>
          <w:rFonts w:ascii="Times New Roman" w:cs="Times New Roman" w:eastAsia="Times New Roman" w:hAnsi="Times New Roman"/>
          <w:sz w:val="18"/>
          <w:szCs w:val="18"/>
          <w:color w:val="auto"/>
        </w:rPr>
      </w:pPr>
    </w:p>
    <w:p>
      <w:pPr>
        <w:ind w:left="1280" w:right="1059" w:hanging="328"/>
        <w:spacing w:after="0" w:line="237"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63" w:lineRule="exact"/>
        <w:rPr>
          <w:rFonts w:ascii="Times New Roman" w:cs="Times New Roman" w:eastAsia="Times New Roman" w:hAnsi="Times New Roman"/>
          <w:sz w:val="18"/>
          <w:szCs w:val="18"/>
          <w:color w:val="auto"/>
        </w:rPr>
      </w:pPr>
    </w:p>
    <w:p>
      <w:pPr>
        <w:ind w:left="1280" w:right="1159" w:hanging="328"/>
        <w:spacing w:after="0" w:line="237"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are numerous competitors in the market for therapeutic treatments of inflammatory diseases.</w:t>
      </w:r>
    </w:p>
    <w:p>
      <w:pPr>
        <w:spacing w:after="0" w:line="9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The biotechnology and pharmaceutical industries are highly competitive and subject to significant and rapid technological change as researchers learn more about diseases and develop new technologies and treatments. Many pharmaceutical companies, biotech companies, institutions, universities and other research organizations are actively</w:t>
      </w:r>
    </w:p>
    <w:p>
      <w:pPr>
        <w:ind w:left="300" w:right="319"/>
        <w:spacing w:after="0" w:line="215" w:lineRule="auto"/>
        <w:rPr>
          <w:sz w:val="20"/>
          <w:szCs w:val="20"/>
          <w:color w:val="auto"/>
        </w:rPr>
      </w:pPr>
      <w:r>
        <w:rPr>
          <w:rFonts w:ascii="Times New Roman" w:cs="Times New Roman" w:eastAsia="Times New Roman" w:hAnsi="Times New Roman"/>
          <w:sz w:val="17"/>
          <w:szCs w:val="17"/>
          <w:color w:val="auto"/>
        </w:rPr>
        <w:t>engaged in the research, discovery, development and commercialization of therapeutic responses for the treatment of the diseases targeted by us. Significant competitive factors in our industry include: (i) product efficacy and safety;</w:t>
      </w:r>
    </w:p>
    <w:p>
      <w:pPr>
        <w:spacing w:after="0" w:line="1" w:lineRule="exact"/>
        <w:rPr>
          <w:sz w:val="20"/>
          <w:szCs w:val="20"/>
          <w:color w:val="auto"/>
        </w:rPr>
      </w:pPr>
    </w:p>
    <w:p>
      <w:pPr>
        <w:ind w:left="300" w:right="299" w:hanging="8"/>
        <w:spacing w:after="0" w:line="212" w:lineRule="auto"/>
        <w:tabs>
          <w:tab w:leader="none" w:pos="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breadth of an organization’s technology; (iii) skill of an organization’s employees and its ability to recruit and retain key employees; (iv) timing and scope of regulatory approvals; (v) government reimbursement rates for, and the average selling price of, pharmaceutical products; (vi) the availability of raw materials and qualified manufacturing capacity; (vii) manufacturing costs; (viii) intellectual property and patent rights and their protection; and (ix) sales and marketing capabilities. Given the intense competition in our industry, we cannot assure you that any of the products that we successfully develop will be clinically superior or scientifically preferable to products developed or introduced by our competitors. In addition, significant delays in the development of our drug candidates could allow our competitors to succeed in obtaining European Commission, FDA, PMDA or other regulatory approvals for their drug candidates more rapidly than us, which could place us at a significant competitive disadvantage or deny us marketing exclusivity rights.</w:t>
      </w:r>
    </w:p>
    <w:p>
      <w:pPr>
        <w:spacing w:after="0" w:line="69"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Our competitors in the chronic inflammatory disease field are primarily large pharmaceuticals companies including, but not limited to AbbVie, Eli Lilly, Johnson &amp; Johnson, Pfizer and Takeda. Several lines of research are being developed to improve the treatment of IBD. Many companies are working to develop new, more effective and</w:t>
      </w:r>
    </w:p>
    <w:p>
      <w:pPr>
        <w:jc w:val="both"/>
        <w:ind w:left="300" w:right="439"/>
        <w:spacing w:after="0" w:line="218" w:lineRule="auto"/>
        <w:rPr>
          <w:sz w:val="20"/>
          <w:szCs w:val="20"/>
          <w:color w:val="auto"/>
        </w:rPr>
      </w:pPr>
      <w:r>
        <w:rPr>
          <w:rFonts w:ascii="Times New Roman" w:cs="Times New Roman" w:eastAsia="Times New Roman" w:hAnsi="Times New Roman"/>
          <w:sz w:val="18"/>
          <w:szCs w:val="18"/>
          <w:color w:val="auto"/>
        </w:rPr>
        <w:t>better tolerated treatments with more practical formulations, especially small molecules administered orally, better accepted than monoclonal antibodies that require administration by injection. See “Item 4.C. Business Overview— Competition.”</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Further, our competitors may be more effective at using their technologies to develop commercial products. Many of the organizations competing with us have significantly greater financial resources and expertise in research and development, manufacturing, preclinical studies, conducting clinical trials, obtaining regulatory approvals and</w:t>
      </w:r>
    </w:p>
    <w:p>
      <w:pPr>
        <w:jc w:val="both"/>
        <w:ind w:left="300" w:right="579"/>
        <w:spacing w:after="0" w:line="231" w:lineRule="auto"/>
        <w:rPr>
          <w:sz w:val="20"/>
          <w:szCs w:val="20"/>
          <w:color w:val="auto"/>
        </w:rPr>
      </w:pPr>
      <w:r>
        <w:rPr>
          <w:rFonts w:ascii="Times New Roman" w:cs="Times New Roman" w:eastAsia="Times New Roman" w:hAnsi="Times New Roman"/>
          <w:sz w:val="17"/>
          <w:szCs w:val="17"/>
          <w:color w:val="auto"/>
        </w:rPr>
        <w:t>marketing. Mergers and acquisitions in the pharmaceutical and biotechnology industries may result in even more resources being concentrated among a smaller number of our competitors. Smaller or early-stage companies may also prove to be significant competitors, particularly through partnership arrangements with large and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98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79"/>
        <w:spacing w:after="0" w:line="236" w:lineRule="auto"/>
        <w:rPr>
          <w:sz w:val="20"/>
          <w:szCs w:val="20"/>
          <w:color w:val="auto"/>
        </w:rPr>
      </w:pPr>
      <w:r>
        <w:rPr>
          <w:rFonts w:ascii="Times New Roman" w:cs="Times New Roman" w:eastAsia="Times New Roman" w:hAnsi="Times New Roman"/>
          <w:sz w:val="17"/>
          <w:szCs w:val="17"/>
          <w:color w:val="auto"/>
        </w:rPr>
        <w:t>companies. These companies also compete with us in recruiting and retaining qualified scientific and management personnel and establishing clinical trial sites and patient registration for clinical trials, as well as in acquiring</w:t>
      </w:r>
    </w:p>
    <w:p>
      <w:pPr>
        <w:ind w:left="300"/>
        <w:spacing w:after="0"/>
        <w:rPr>
          <w:sz w:val="20"/>
          <w:szCs w:val="20"/>
          <w:color w:val="auto"/>
        </w:rPr>
      </w:pPr>
      <w:r>
        <w:rPr>
          <w:rFonts w:ascii="Times New Roman" w:cs="Times New Roman" w:eastAsia="Times New Roman" w:hAnsi="Times New Roman"/>
          <w:sz w:val="18"/>
          <w:szCs w:val="18"/>
          <w:color w:val="auto"/>
        </w:rPr>
        <w:t>technologies complementary to, or necessary for, our programs.</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The development potential in the markets in which we operate is such that the arrival of new competition is probable. New market entrants, increased competition in specific areas, or in general, would have a material adverse</w:t>
      </w:r>
    </w:p>
    <w:p>
      <w:pPr>
        <w:ind w:left="300"/>
        <w:spacing w:after="0"/>
        <w:rPr>
          <w:sz w:val="20"/>
          <w:szCs w:val="20"/>
          <w:color w:val="auto"/>
        </w:rPr>
      </w:pPr>
      <w:r>
        <w:rPr>
          <w:rFonts w:ascii="Times New Roman" w:cs="Times New Roman" w:eastAsia="Times New Roman" w:hAnsi="Times New Roman"/>
          <w:sz w:val="18"/>
          <w:szCs w:val="18"/>
          <w:color w:val="auto"/>
        </w:rPr>
        <w:t>effect on our business, income, financial position and outlook for growth.</w:t>
      </w:r>
    </w:p>
    <w:p>
      <w:pPr>
        <w:spacing w:after="0" w:line="53" w:lineRule="exact"/>
        <w:rPr>
          <w:sz w:val="20"/>
          <w:szCs w:val="20"/>
          <w:color w:val="auto"/>
        </w:rPr>
      </w:pPr>
    </w:p>
    <w:p>
      <w:pPr>
        <w:ind w:left="300" w:right="55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depend on, and will continue to depend on, collaboration and strategic alliances with third partners. To the extent we are able to enter into collaborative arrangements or strategic alliances, we will be exposed to risks</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related to those collaborations and alliances.</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An important element of our strategy for developing, manufacturing and commercializing our drug candidates is entering into partnerships and strategic alliances with other pharmaceutical companies or other industry</w:t>
      </w: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participants. The collaboration agreements that we have established, and any collaboration arrangements that we may enter into in the future, may not be successful, which would have a negative impact on our business, results of operations, financial condition and growth prospects.</w:t>
      </w:r>
    </w:p>
    <w:p>
      <w:pPr>
        <w:spacing w:after="0" w:line="64" w:lineRule="exact"/>
        <w:rPr>
          <w:sz w:val="20"/>
          <w:szCs w:val="20"/>
          <w:color w:val="auto"/>
        </w:rPr>
      </w:pPr>
    </w:p>
    <w:p>
      <w:pPr>
        <w:ind w:left="300" w:right="579" w:firstLine="441"/>
        <w:spacing w:after="0" w:line="229" w:lineRule="auto"/>
        <w:rPr>
          <w:sz w:val="20"/>
          <w:szCs w:val="20"/>
          <w:color w:val="auto"/>
        </w:rPr>
      </w:pPr>
      <w:r>
        <w:rPr>
          <w:rFonts w:ascii="Times New Roman" w:cs="Times New Roman" w:eastAsia="Times New Roman" w:hAnsi="Times New Roman"/>
          <w:sz w:val="17"/>
          <w:szCs w:val="17"/>
          <w:color w:val="auto"/>
        </w:rPr>
        <w:t>Any partnerships or alliance we have or may have in the future may be terminated for reasons beyond our control or we may not be able to negotiate future alliances on acceptable terms, if at all. These arrangements may result in us receiving less revenue than if we sold our products directly, may place the development, sales and</w:t>
      </w: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marketing of our products outside of our control, may require us to relinquish important rights or may otherwise be on unfavorable terms. Collaborative arrangements or strategic alliances will also subject us to a number of risks, including the risk that:</w:t>
      </w:r>
    </w:p>
    <w:p>
      <w:pPr>
        <w:spacing w:after="0" w:line="64" w:lineRule="exact"/>
        <w:rPr>
          <w:sz w:val="20"/>
          <w:szCs w:val="20"/>
          <w:color w:val="auto"/>
        </w:rPr>
      </w:pPr>
    </w:p>
    <w:p>
      <w:pPr>
        <w:ind w:left="1280" w:right="1159" w:hanging="328"/>
        <w:spacing w:after="0" w:line="237"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partner/ collaborators may devote to the drug candidates;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partner/collaborators may experience financial difficulties;</w:t>
      </w:r>
    </w:p>
    <w:p>
      <w:pPr>
        <w:sectPr>
          <w:pgSz w:w="11900" w:h="16838" w:orient="portrait"/>
          <w:cols w:equalWidth="0" w:num="1">
            <w:col w:w="9019"/>
          </w:cols>
          <w:pgMar w:left="1440" w:top="108" w:right="1440" w:bottom="0" w:gutter="0" w:footer="0" w:header="0"/>
        </w:sectPr>
      </w:pPr>
    </w:p>
    <w:bookmarkStart w:id="23" w:name="page24"/>
    <w:bookmarkEnd w:id="23"/>
    <w:p>
      <w:pPr>
        <w:ind w:left="1280" w:right="639" w:hanging="328"/>
        <w:spacing w:after="0" w:line="190"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collaborate with third parties may delay, prevent or otherwise impair the development or commercialization of our drug candidates or revenue expectations;</w:t>
      </w:r>
    </w:p>
    <w:p>
      <w:pPr>
        <w:spacing w:after="0" w:line="50" w:lineRule="exact"/>
        <w:rPr>
          <w:rFonts w:ascii="Times New Roman" w:cs="Times New Roman" w:eastAsia="Times New Roman" w:hAnsi="Times New Roman"/>
          <w:sz w:val="18"/>
          <w:szCs w:val="18"/>
          <w:color w:val="auto"/>
        </w:rPr>
      </w:pPr>
    </w:p>
    <w:p>
      <w:pPr>
        <w:ind w:left="1280" w:right="639" w:hanging="328"/>
        <w:spacing w:after="0" w:line="250"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being developed by partners/collaborators may never reach commercial stage resulting in reduced or even no milestone or royalty payments;</w:t>
      </w:r>
    </w:p>
    <w:p>
      <w:pPr>
        <w:spacing w:after="0" w:line="41" w:lineRule="exact"/>
        <w:rPr>
          <w:rFonts w:ascii="Times New Roman" w:cs="Times New Roman" w:eastAsia="Times New Roman" w:hAnsi="Times New Roman"/>
          <w:sz w:val="18"/>
          <w:szCs w:val="18"/>
          <w:color w:val="auto"/>
        </w:rPr>
      </w:pPr>
    </w:p>
    <w:p>
      <w:pPr>
        <w:ind w:left="1280" w:right="439" w:hanging="328"/>
        <w:spacing w:after="0" w:line="23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their obligations under any arrangement;</w:t>
      </w:r>
    </w:p>
    <w:p>
      <w:pPr>
        <w:spacing w:after="0" w:line="63" w:lineRule="exact"/>
        <w:rPr>
          <w:rFonts w:ascii="Times New Roman" w:cs="Times New Roman" w:eastAsia="Times New Roman" w:hAnsi="Times New Roman"/>
          <w:sz w:val="18"/>
          <w:szCs w:val="18"/>
          <w:color w:val="auto"/>
        </w:rPr>
      </w:pPr>
    </w:p>
    <w:p>
      <w:pPr>
        <w:ind w:left="1280" w:right="1039" w:hanging="328"/>
        <w:spacing w:after="0" w:line="23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product developed either independently or in collaboration with others, including our competitors; and</w:t>
      </w:r>
    </w:p>
    <w:p>
      <w:pPr>
        <w:spacing w:after="0" w:line="50" w:lineRule="exact"/>
        <w:rPr>
          <w:rFonts w:ascii="Times New Roman" w:cs="Times New Roman" w:eastAsia="Times New Roman" w:hAnsi="Times New Roman"/>
          <w:sz w:val="18"/>
          <w:szCs w:val="18"/>
          <w:color w:val="auto"/>
        </w:rPr>
      </w:pPr>
    </w:p>
    <w:p>
      <w:pPr>
        <w:ind w:left="1280" w:right="1079" w:hanging="328"/>
        <w:spacing w:after="0" w:line="250"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-1384300</wp:posOffset>
            </wp:positionV>
            <wp:extent cx="7016115" cy="5076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partnerships and licensing agreements relating to the technologies belonging to us may not be successful.</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various drug candidates developed by us arise from proprietary or licensed technologies with leading</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 xml:space="preserve">academic partners, including Scripps Research Institute, University of Chicago, Brigham Young University, the Montpellier Institute of Molecular Genetics at the </w:t>
      </w:r>
      <w:r>
        <w:rPr>
          <w:rFonts w:ascii="Times New Roman" w:cs="Times New Roman" w:eastAsia="Times New Roman" w:hAnsi="Times New Roman"/>
          <w:sz w:val="17"/>
          <w:szCs w:val="17"/>
          <w:i w:val="1"/>
          <w:iCs w:val="1"/>
          <w:color w:val="auto"/>
        </w:rPr>
        <w:t>Centre National de la Recherche Scientifique</w:t>
      </w:r>
      <w:r>
        <w:rPr>
          <w:rFonts w:ascii="Times New Roman" w:cs="Times New Roman" w:eastAsia="Times New Roman" w:hAnsi="Times New Roman"/>
          <w:sz w:val="17"/>
          <w:szCs w:val="17"/>
          <w:color w:val="auto"/>
        </w:rPr>
        <w:t xml:space="preserve"> (“CNRS”) and the </w:t>
      </w:r>
      <w:r>
        <w:rPr>
          <w:rFonts w:ascii="Times New Roman" w:cs="Times New Roman" w:eastAsia="Times New Roman" w:hAnsi="Times New Roman"/>
          <w:sz w:val="17"/>
          <w:szCs w:val="17"/>
          <w:i w:val="1"/>
          <w:iCs w:val="1"/>
          <w:color w:val="auto"/>
        </w:rPr>
        <w:t>Institut Curie</w:t>
      </w:r>
      <w:r>
        <w:rPr>
          <w:rFonts w:ascii="Times New Roman" w:cs="Times New Roman" w:eastAsia="Times New Roman" w:hAnsi="Times New Roman"/>
          <w:sz w:val="17"/>
          <w:szCs w:val="17"/>
          <w:color w:val="auto"/>
        </w:rPr>
        <w:t>. If the clinical trials conducted by us were to reveal safety and/or therapeutic efficacy problems or if</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the use of one of the platforms were to violate an intellectual property right held by a third party, this could threaten the use and operation of some of our technology platforms and require additional research and development efforts and additional time and expense to address these difficulties, with success not being guaranteed. The development of</w:t>
      </w:r>
    </w:p>
    <w:p>
      <w:pPr>
        <w:spacing w:after="0" w:line="2" w:lineRule="exact"/>
        <w:rPr>
          <w:sz w:val="20"/>
          <w:szCs w:val="20"/>
          <w:color w:val="auto"/>
        </w:rPr>
      </w:pP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a portion of our product portfolio would be affected, which would have a material adverse effect on our business, outlook, growth, financial position and income.</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reimbursement of drugs and treatments is beyond our control.</w:t>
      </w:r>
    </w:p>
    <w:p>
      <w:pPr>
        <w:spacing w:after="0" w:line="94" w:lineRule="exact"/>
        <w:rPr>
          <w:sz w:val="20"/>
          <w:szCs w:val="20"/>
          <w:color w:val="auto"/>
        </w:rPr>
      </w:pPr>
    </w:p>
    <w:p>
      <w:pPr>
        <w:ind w:left="300" w:right="479" w:firstLine="441"/>
        <w:spacing w:after="0" w:line="229" w:lineRule="auto"/>
        <w:rPr>
          <w:sz w:val="20"/>
          <w:szCs w:val="20"/>
          <w:color w:val="auto"/>
        </w:rPr>
      </w:pPr>
      <w:r>
        <w:rPr>
          <w:rFonts w:ascii="Times New Roman" w:cs="Times New Roman" w:eastAsia="Times New Roman" w:hAnsi="Times New Roman"/>
          <w:sz w:val="17"/>
          <w:szCs w:val="17"/>
          <w:color w:val="auto"/>
        </w:rPr>
        <w:t>After achieving regulatory authorization and once marketing authorization is granted, the process of setting the sales price of drugs and their reimbursement rates begins. The conditions for setting the sales price and reimbursement rate for drugs are beyond the control of pharmaceutical companies. They are decided by competent</w:t>
      </w:r>
    </w:p>
    <w:p>
      <w:pPr>
        <w:ind w:left="300" w:right="299"/>
        <w:spacing w:after="0" w:line="231" w:lineRule="auto"/>
        <w:rPr>
          <w:sz w:val="20"/>
          <w:szCs w:val="20"/>
          <w:color w:val="auto"/>
        </w:rPr>
      </w:pPr>
      <w:r>
        <w:rPr>
          <w:rFonts w:ascii="Times New Roman" w:cs="Times New Roman" w:eastAsia="Times New Roman" w:hAnsi="Times New Roman"/>
          <w:sz w:val="17"/>
          <w:szCs w:val="17"/>
          <w:color w:val="auto"/>
        </w:rPr>
        <w:t>public committees and bodies and by social security or private insurance companies. In this context, we or our partners could be asked to perform additional studies on our products. These studies could generate additional costs for us or our partners and lead to delays in marketing the drug, which could have an impact on our financial position.</w:t>
      </w:r>
    </w:p>
    <w:p>
      <w:pPr>
        <w:spacing w:after="0" w:line="64" w:lineRule="exact"/>
        <w:rPr>
          <w:sz w:val="20"/>
          <w:szCs w:val="20"/>
          <w:color w:val="auto"/>
        </w:rPr>
      </w:pPr>
    </w:p>
    <w:p>
      <w:pPr>
        <w:ind w:left="300" w:right="559" w:firstLine="441"/>
        <w:spacing w:after="0" w:line="263" w:lineRule="auto"/>
        <w:rPr>
          <w:sz w:val="20"/>
          <w:szCs w:val="20"/>
          <w:color w:val="auto"/>
        </w:rPr>
      </w:pPr>
      <w:r>
        <w:rPr>
          <w:rFonts w:ascii="Times New Roman" w:cs="Times New Roman" w:eastAsia="Times New Roman" w:hAnsi="Times New Roman"/>
          <w:sz w:val="17"/>
          <w:szCs w:val="17"/>
          <w:color w:val="auto"/>
        </w:rPr>
        <w:t>There is significant uncertainty related to the reimbursement of newly-approved drugs. The level of reimbursement will impact market acceptance and sale of our drug candidates. Reimbursement by a third-party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356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99"/>
        <w:spacing w:after="0" w:line="237" w:lineRule="auto"/>
        <w:rPr>
          <w:sz w:val="20"/>
          <w:szCs w:val="20"/>
          <w:color w:val="auto"/>
        </w:rPr>
      </w:pPr>
      <w:r>
        <w:rPr>
          <w:rFonts w:ascii="Times New Roman" w:cs="Times New Roman" w:eastAsia="Times New Roman" w:hAnsi="Times New Roman"/>
          <w:sz w:val="18"/>
          <w:szCs w:val="18"/>
          <w:color w:val="auto"/>
        </w:rPr>
        <w:t>dependent on a number of factors, including, without limitation, the third-party payor’s determination that use of a product is:</w:t>
      </w:r>
    </w:p>
    <w:p>
      <w:pPr>
        <w:spacing w:after="0" w:line="64" w:lineRule="exact"/>
        <w:rPr>
          <w:sz w:val="20"/>
          <w:szCs w:val="20"/>
          <w:color w:val="auto"/>
        </w:rPr>
      </w:pPr>
    </w:p>
    <w:p>
      <w:pPr>
        <w:ind w:left="1280" w:hanging="328"/>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possibility that we could receive royalties from our industrial partner or partners on the sale of some of</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our products and our ability to make sufficient profits on the marketing of our treatments or those for which we have entered into distribution contracts will depend on these reimbursement conditions. If delays in the price negotiation procedure result in a significant delay in marketing, if our product does not obtain an appropriate level of</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reimbursement, or if the accepted price level and reimbursement rate of the treatments we market are changed, our profitability will be reduced.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also unable to guarantee that we will succeed in maintaining, over time, the price level of our products</w:t>
      </w:r>
    </w:p>
    <w:p>
      <w:pPr>
        <w:spacing w:after="0" w:line="2" w:lineRule="exact"/>
        <w:rPr>
          <w:sz w:val="20"/>
          <w:szCs w:val="20"/>
          <w:color w:val="auto"/>
        </w:rPr>
      </w:pP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or those for which licenses have been granted, or the accepted reimbursement rate. Under these conditions, there could be a material adverse effect on our business, financial position and results of operations.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newly-approved products is uncertain. Failure to</w:t>
      </w:r>
    </w:p>
    <w:p>
      <w:pPr>
        <w:spacing w:after="0" w:line="6" w:lineRule="exact"/>
        <w:rPr>
          <w:sz w:val="20"/>
          <w:szCs w:val="20"/>
          <w:color w:val="auto"/>
        </w:rPr>
      </w:pPr>
    </w:p>
    <w:p>
      <w:pPr>
        <w:ind w:left="300" w:right="51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obtain or maintain adequate coverage and reimbursement for our drug candidates, if approved, could limit our ability to market those products and decrease our ability to generate product revenue.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Successful sales of our drug candidates, if approved, depend on the availability of coverage and adequate</w:t>
      </w:r>
    </w:p>
    <w:p>
      <w:pPr>
        <w:spacing w:after="0" w:line="2" w:lineRule="exact"/>
        <w:rPr>
          <w:sz w:val="20"/>
          <w:szCs w:val="20"/>
          <w:color w:val="auto"/>
        </w:rPr>
      </w:pPr>
    </w:p>
    <w:p>
      <w:pPr>
        <w:ind w:left="300" w:right="819"/>
        <w:spacing w:after="0" w:line="220" w:lineRule="auto"/>
        <w:rPr>
          <w:sz w:val="20"/>
          <w:szCs w:val="20"/>
          <w:color w:val="auto"/>
        </w:rPr>
      </w:pPr>
      <w:r>
        <w:rPr>
          <w:rFonts w:ascii="Times New Roman" w:cs="Times New Roman" w:eastAsia="Times New Roman" w:hAnsi="Times New Roman"/>
          <w:sz w:val="17"/>
          <w:szCs w:val="17"/>
          <w:color w:val="auto"/>
        </w:rPr>
        <w:t>reimbursement from third-party payors including governmental healthcare programs, such as Medicare and Medicaid in the United States, managed care organizations and commercial payors, among others. Significant uncertainty exists as to the coverage and reimbursement status of any drug candidates for which we obtain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regulatory approval.</w:t>
      </w:r>
    </w:p>
    <w:p>
      <w:pPr>
        <w:spacing w:after="0" w:line="57"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In the United States, no uniform policy for coverage and reimbursement exists, and coverage and reimbursement for drug products can differ significantly from payor to payor. Therefore, one payor’s determination</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to provide coverage for a drug product does not assure that other payors will also provide coverage for the drug product. Third-party payors often follow Medicare coverage policy and payment limitations in setting their own reimbursement rates, but also have their own methods and approval process apart from Medicare determinations. As</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Moreover,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coverage policies and third-party reimbursement rates may change at any time. Even if favorable coverage and</w:t>
      </w:r>
    </w:p>
    <w:p>
      <w:pPr>
        <w:sectPr>
          <w:pgSz w:w="11900" w:h="16838" w:orient="portrait"/>
          <w:cols w:equalWidth="0" w:num="1">
            <w:col w:w="9019"/>
          </w:cols>
          <w:pgMar w:left="1440" w:top="108" w:right="1440" w:bottom="0" w:gutter="0" w:footer="0" w:header="0"/>
        </w:sectPr>
      </w:pPr>
    </w:p>
    <w:bookmarkStart w:id="24" w:name="page25"/>
    <w:bookmarkEnd w:id="24"/>
    <w:p>
      <w:pPr>
        <w:spacing w:after="0" w:line="20" w:lineRule="exact"/>
        <w:rPr>
          <w:sz w:val="20"/>
          <w:szCs w:val="20"/>
          <w:color w:val="auto"/>
        </w:rPr>
      </w:pPr>
    </w:p>
    <w:p>
      <w:pPr>
        <w:ind w:left="300" w:right="479"/>
        <w:spacing w:after="0" w:line="188" w:lineRule="auto"/>
        <w:rPr>
          <w:sz w:val="20"/>
          <w:szCs w:val="20"/>
          <w:color w:val="auto"/>
        </w:rPr>
      </w:pPr>
      <w:r>
        <w:rPr>
          <w:rFonts w:ascii="Times New Roman" w:cs="Times New Roman" w:eastAsia="Times New Roman" w:hAnsi="Times New Roman"/>
          <w:sz w:val="12"/>
          <w:szCs w:val="12"/>
          <w:color w:val="auto"/>
        </w:rPr>
        <w:t xml:space="preserve">reimbursement status is attained for one or </w:t>
      </w:r>
      <w:r>
        <w:rPr>
          <w:rFonts w:ascii="Times New Roman" w:cs="Times New Roman" w:eastAsia="Times New Roman" w:hAnsi="Times New Roman"/>
          <w:sz w:val="20"/>
          <w:szCs w:val="20"/>
          <w:color w:val="auto"/>
          <w:vertAlign w:val="superscript"/>
        </w:rPr>
        <w:t>m</w:t>
      </w:r>
      <w:r>
        <w:rPr>
          <w:rFonts w:ascii="Times New Roman" w:cs="Times New Roman" w:eastAsia="Times New Roman" w:hAnsi="Times New Roman"/>
          <w:sz w:val="12"/>
          <w:szCs w:val="12"/>
          <w:color w:val="auto"/>
        </w:rPr>
        <w:t>ore products for wh</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2"/>
          <w:szCs w:val="12"/>
          <w:color w:val="auto"/>
        </w:rPr>
        <w:t>ch we receive regulatory approval, less favorable coverage policies and reimbursement rates ay be implemented 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3705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43" w:lineRule="exact"/>
        <w:rPr>
          <w:sz w:val="20"/>
          <w:szCs w:val="20"/>
          <w:color w:val="auto"/>
        </w:rPr>
      </w:pPr>
    </w:p>
    <w:p>
      <w:pPr>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w:t>
      </w:r>
    </w:p>
    <w:p>
      <w:pPr>
        <w:jc w:val="both"/>
        <w:ind w:left="300" w:right="439"/>
        <w:spacing w:after="0" w:line="220" w:lineRule="auto"/>
        <w:rPr>
          <w:sz w:val="20"/>
          <w:szCs w:val="20"/>
          <w:color w:val="auto"/>
        </w:rPr>
      </w:pPr>
      <w:r>
        <w:rPr>
          <w:rFonts w:ascii="Times New Roman" w:cs="Times New Roman" w:eastAsia="Times New Roman" w:hAnsi="Times New Roman"/>
          <w:sz w:val="17"/>
          <w:szCs w:val="17"/>
          <w:color w:val="auto"/>
        </w:rPr>
        <w:t>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cost of our products. Therefore, coverage and adequate reimbursement is critical to new product acceptance.</w:t>
      </w:r>
    </w:p>
    <w:p>
      <w:pPr>
        <w:spacing w:after="0" w:line="57"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Additionally, we or our collaborators may develop companion diagnostic tests for use with our drug candidates. We or our collaborators will be required to obtain coverage and reimbursement for these tests separate</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and apart from the coverage and reimbursement we seek for our drug candidates, once approved. Similar challenges to obtaining coverage and reimbursement, applicable to pharmaceutical or biological products, will apply to companion diagnostics. Our inability to promptly obtain coverage and adequate reimbursement from both third-</w:t>
      </w:r>
    </w:p>
    <w:p>
      <w:pPr>
        <w:spacing w:after="0" w:line="2" w:lineRule="exact"/>
        <w:rPr>
          <w:sz w:val="20"/>
          <w:szCs w:val="20"/>
          <w:color w:val="auto"/>
        </w:rPr>
      </w:pP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party payors for the drug candidates and companion diagnostic tests that we or our collaborators develop and for which we obtain regulatory approval could have a material and adverse effect on our business, financial condition, results of operations and prospects.</w:t>
      </w:r>
    </w:p>
    <w:p>
      <w:pPr>
        <w:spacing w:after="0" w:line="6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available therapies. EU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company profits. The downward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pressure on health care costs has become intense. In addition, EU Member States may require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728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79"/>
        <w:spacing w:after="0" w:line="236" w:lineRule="auto"/>
        <w:rPr>
          <w:sz w:val="20"/>
          <w:szCs w:val="20"/>
          <w:color w:val="auto"/>
        </w:rPr>
      </w:pPr>
      <w:r>
        <w:rPr>
          <w:rFonts w:ascii="Times New Roman" w:cs="Times New Roman" w:eastAsia="Times New Roman" w:hAnsi="Times New Roman"/>
          <w:sz w:val="17"/>
          <w:szCs w:val="17"/>
          <w:color w:val="auto"/>
        </w:rPr>
        <w:t>additional health technology assessments that compare the cost- effectiveness of a particular product candidate to currently available therapies. This Health Technology Assessment (HTA) process is the procedure according to</w:t>
      </w:r>
    </w:p>
    <w:p>
      <w:pPr>
        <w:jc w:val="both"/>
        <w:ind w:left="300" w:right="359"/>
        <w:spacing w:after="0" w:line="208" w:lineRule="auto"/>
        <w:rPr>
          <w:sz w:val="20"/>
          <w:szCs w:val="20"/>
          <w:color w:val="auto"/>
        </w:rPr>
      </w:pPr>
      <w:r>
        <w:rPr>
          <w:rFonts w:ascii="Times New Roman" w:cs="Times New Roman" w:eastAsia="Times New Roman" w:hAnsi="Times New Roman"/>
          <w:sz w:val="18"/>
          <w:szCs w:val="18"/>
          <w:color w:val="auto"/>
        </w:rPr>
        <w:t>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these medicinal products by the competent authorities of individual EU Member States. At the EU level, Regulation No 2021/2282 on Health Technology Assessment (“HTA Regulation”) amending Directive 2011/24/EU, was adopted on December 13, 2021 and entered into application on January 12, 2025 through a phased implementation.</w:t>
      </w:r>
    </w:p>
    <w:p>
      <w:pPr>
        <w:spacing w:after="0" w:line="2" w:lineRule="exact"/>
        <w:rPr>
          <w:sz w:val="20"/>
          <w:szCs w:val="20"/>
          <w:color w:val="auto"/>
        </w:rPr>
      </w:pPr>
    </w:p>
    <w:p>
      <w:pPr>
        <w:jc w:val="both"/>
        <w:ind w:left="300" w:right="639"/>
        <w:spacing w:after="0" w:line="220" w:lineRule="auto"/>
        <w:rPr>
          <w:sz w:val="20"/>
          <w:szCs w:val="20"/>
          <w:color w:val="auto"/>
        </w:rPr>
      </w:pPr>
      <w:r>
        <w:rPr>
          <w:rFonts w:ascii="Times New Roman" w:cs="Times New Roman" w:eastAsia="Times New Roman" w:hAnsi="Times New Roman"/>
          <w:sz w:val="17"/>
          <w:szCs w:val="17"/>
          <w:color w:val="auto"/>
        </w:rPr>
        <w:t>The HTA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among Member States in assessing health technologies, including new medicinal products. The HTA Regulation establishes a framework for EU level joint clinical assessments, joint scientific consultations, and the early identification of emerging health technologies, in order to speed up the availability of innovative products on the EU</w:t>
      </w:r>
    </w:p>
    <w:p>
      <w:pPr>
        <w:spacing w:after="0" w:line="2" w:lineRule="exact"/>
        <w:rPr>
          <w:sz w:val="20"/>
          <w:szCs w:val="20"/>
          <w:color w:val="auto"/>
        </w:rPr>
      </w:pPr>
    </w:p>
    <w:p>
      <w:pPr>
        <w:ind w:left="300" w:right="439"/>
        <w:spacing w:after="0" w:line="208" w:lineRule="auto"/>
        <w:rPr>
          <w:sz w:val="20"/>
          <w:szCs w:val="20"/>
          <w:color w:val="auto"/>
        </w:rPr>
      </w:pPr>
      <w:r>
        <w:rPr>
          <w:rFonts w:ascii="Times New Roman" w:cs="Times New Roman" w:eastAsia="Times New Roman" w:hAnsi="Times New Roman"/>
          <w:sz w:val="18"/>
          <w:szCs w:val="18"/>
          <w:color w:val="auto"/>
        </w:rPr>
        <w:t>market. The HTA Regulation permits EU Member States to use common tools, methodologies, and procedures and requires them to rely on and take into consideration EU level joint clinical assessment reports for the clinical components of their national HTA evaluations. Individual EU Member States will continue to be responsible for</w:t>
      </w:r>
    </w:p>
    <w:p>
      <w:pPr>
        <w:spacing w:after="0" w:line="2" w:lineRule="exact"/>
        <w:rPr>
          <w:sz w:val="20"/>
          <w:szCs w:val="20"/>
          <w:color w:val="auto"/>
        </w:rPr>
      </w:pPr>
    </w:p>
    <w:p>
      <w:pPr>
        <w:ind w:left="300" w:right="779"/>
        <w:spacing w:after="0" w:line="226" w:lineRule="auto"/>
        <w:rPr>
          <w:sz w:val="20"/>
          <w:szCs w:val="20"/>
          <w:color w:val="auto"/>
        </w:rPr>
      </w:pPr>
      <w:r>
        <w:rPr>
          <w:rFonts w:ascii="Times New Roman" w:cs="Times New Roman" w:eastAsia="Times New Roman" w:hAnsi="Times New Roman"/>
          <w:sz w:val="18"/>
          <w:szCs w:val="18"/>
          <w:color w:val="auto"/>
        </w:rPr>
        <w:t>assessing non-clinical (e.g., economic, social, ethical) aspects of health technologies, and making decisions on pricing and reimbursement.</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In addition, in some</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countries, cross-border imports from low-priced markets exert competitive pressure that may reduce pricing within a country. Any country that has price controls or reimbursement limitations may not allow favorable reimbursement and pricing arrangements, and prices are usually revised periodically, such that any given price may decrease upon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various occurrences.</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Additionally, the containment of healthcare costs has become a priority of federal and state governments, and the prices of drugs have been a focus of this effort. The U.S. government, state legislatures and foreign governments</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could further limit our net revenue and results.</w:t>
      </w:r>
    </w:p>
    <w:p>
      <w:pPr>
        <w:spacing w:after="0" w:line="53" w:lineRule="exact"/>
        <w:rPr>
          <w:sz w:val="20"/>
          <w:szCs w:val="20"/>
          <w:color w:val="auto"/>
        </w:rPr>
      </w:pPr>
    </w:p>
    <w:p>
      <w:pPr>
        <w:ind w:left="300" w:right="113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markets in which we operate, which may negatively affect our future profitability.</w:t>
      </w:r>
    </w:p>
    <w:p>
      <w:pPr>
        <w:spacing w:after="0" w:line="64" w:lineRule="exact"/>
        <w:rPr>
          <w:sz w:val="20"/>
          <w:szCs w:val="20"/>
          <w:color w:val="auto"/>
        </w:rPr>
      </w:pPr>
    </w:p>
    <w:p>
      <w:pPr>
        <w:ind w:left="300" w:right="459" w:firstLine="441"/>
        <w:spacing w:after="0" w:line="216"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w:t>
      </w:r>
    </w:p>
    <w:p>
      <w:pPr>
        <w:spacing w:after="0" w:line="1"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set at unsatisfactory levels, there could be a material adverse effect on our business, financial condition or results of operations.</w:t>
      </w:r>
    </w:p>
    <w:p>
      <w:pPr>
        <w:sectPr>
          <w:pgSz w:w="11900" w:h="16859" w:orient="portrait"/>
          <w:cols w:equalWidth="0" w:num="1">
            <w:col w:w="9019"/>
          </w:cols>
          <w:pgMar w:left="1440" w:top="108" w:right="1440" w:bottom="0" w:gutter="0" w:footer="0" w:header="0"/>
        </w:sectPr>
      </w:pPr>
    </w:p>
    <w:p>
      <w:pPr>
        <w:spacing w:after="0" w:line="45"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of the third parties with whom we work, or our data are or were compromised, we could experience adverse consequences resulting from such compromise, including but not</w:t>
      </w:r>
    </w:p>
    <w:p>
      <w:pPr>
        <w:sectPr>
          <w:pgSz w:w="11900" w:h="16859" w:orient="portrait"/>
          <w:cols w:equalWidth="0" w:num="1">
            <w:col w:w="9019"/>
          </w:cols>
          <w:pgMar w:left="1440" w:top="108" w:right="1440" w:bottom="0" w:gutter="0" w:footer="0" w:header="0"/>
          <w:type w:val="continuous"/>
        </w:sectPr>
      </w:pPr>
    </w:p>
    <w:bookmarkStart w:id="25" w:name="page26"/>
    <w:bookmarkEnd w:id="25"/>
    <w:p>
      <w:pPr>
        <w:spacing w:after="0" w:line="11" w:lineRule="exact"/>
        <w:rPr>
          <w:sz w:val="20"/>
          <w:szCs w:val="20"/>
          <w:color w:val="auto"/>
        </w:rPr>
      </w:pPr>
    </w:p>
    <w:p>
      <w:pPr>
        <w:ind w:left="300" w:right="939"/>
        <w:spacing w:after="0" w:line="190" w:lineRule="auto"/>
        <w:rPr>
          <w:sz w:val="20"/>
          <w:szCs w:val="20"/>
          <w:color w:val="auto"/>
        </w:rPr>
      </w:pPr>
      <w:r>
        <w:rPr>
          <w:rFonts w:ascii="Times New Roman" w:cs="Times New Roman" w:eastAsia="Times New Roman" w:hAnsi="Times New Roman"/>
          <w:sz w:val="16"/>
          <w:szCs w:val="16"/>
          <w:b w:val="1"/>
          <w:bCs w:val="1"/>
          <w:i w:val="1"/>
          <w:iCs w:val="1"/>
          <w:color w:val="auto"/>
        </w:rPr>
        <w:t>limited to: regulatory investigations or actions; litigation; fines and penalties; disruptions of our business operations; reputational harm; loss of revenue and profits; and other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-161290</wp:posOffset>
            </wp:positionV>
            <wp:extent cx="7016115" cy="2333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4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process personal data (including data we collect about trial participants in connection with clinical trials) and other sensitive information, including proprietary and confidential business data, trade secrets, intellectual property, sensitive third-party data,</w:t>
      </w: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business plans, transactions, and financial information (collectively, sensitive data). We and the third parties with whom we work face a variety of evolving threats to information technology systems and data.</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organized criminal threat actors, personnel (such as through error, theft or misuse), sophisticated nation states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10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39"/>
        <w:spacing w:after="0" w:line="236" w:lineRule="auto"/>
        <w:rPr>
          <w:sz w:val="20"/>
          <w:szCs w:val="20"/>
          <w:color w:val="auto"/>
        </w:rPr>
      </w:pPr>
      <w:r>
        <w:rPr>
          <w:rFonts w:ascii="Times New Roman" w:cs="Times New Roman" w:eastAsia="Times New Roman" w:hAnsi="Times New Roman"/>
          <w:sz w:val="17"/>
          <w:szCs w:val="17"/>
          <w:color w:val="auto"/>
        </w:rPr>
        <w:t>nation-state-supported actors. For geopolitical reasons and in conjunction with military conflicts and defense activities, some actors have in the past and are expected to in the future engage in nefarious cybersecurity attacks.</w:t>
      </w:r>
    </w:p>
    <w:p>
      <w:pPr>
        <w:ind w:left="300" w:right="579"/>
        <w:spacing w:after="0" w:line="218" w:lineRule="auto"/>
        <w:rPr>
          <w:sz w:val="20"/>
          <w:szCs w:val="20"/>
          <w:color w:val="auto"/>
        </w:rPr>
      </w:pPr>
      <w:r>
        <w:rPr>
          <w:rFonts w:ascii="Times New Roman" w:cs="Times New Roman" w:eastAsia="Times New Roman" w:hAnsi="Times New Roman"/>
          <w:sz w:val="18"/>
          <w:szCs w:val="18"/>
          <w:color w:val="auto"/>
        </w:rPr>
        <w:t>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services.</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We and the third parties with whom we work are subject to and have experienced a variety of evolving threats, including but not limited to social-engineering attacks (including through deep fakes, which may be increasingly more difficult to identify as a fake, and phishing attacks), malicious code (such as viruses and worms), malware</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w:t>
      </w:r>
    </w:p>
    <w:p>
      <w:pPr>
        <w:spacing w:after="0" w:line="2" w:lineRule="exact"/>
        <w:rPr>
          <w:sz w:val="20"/>
          <w:szCs w:val="20"/>
          <w:color w:val="auto"/>
        </w:rPr>
      </w:pPr>
    </w:p>
    <w:p>
      <w:pPr>
        <w:jc w:val="both"/>
        <w:ind w:left="300" w:right="339"/>
        <w:spacing w:after="0" w:line="208" w:lineRule="auto"/>
        <w:rPr>
          <w:sz w:val="20"/>
          <w:szCs w:val="20"/>
          <w:color w:val="auto"/>
        </w:rPr>
      </w:pPr>
      <w:r>
        <w:rPr>
          <w:rFonts w:ascii="Times New Roman" w:cs="Times New Roman" w:eastAsia="Times New Roman" w:hAnsi="Times New Roman"/>
          <w:sz w:val="18"/>
          <w:szCs w:val="18"/>
          <w:color w:val="auto"/>
        </w:rPr>
        <w:t>telecommunications failures, earthquakes, fires, floods, other natural disasters, attacks enhanced or facilitated by AI, and other similar threats. In particular, severe ransomware attacks are becoming increasingly prevalent and can lead to significant interruptions in our operations, ability to provide our services, loss of sensitive data and income,</w:t>
      </w:r>
    </w:p>
    <w:p>
      <w:pPr>
        <w:spacing w:after="0" w:line="2" w:lineRule="exact"/>
        <w:rPr>
          <w:sz w:val="20"/>
          <w:szCs w:val="20"/>
          <w:color w:val="auto"/>
        </w:rPr>
      </w:pPr>
    </w:p>
    <w:p>
      <w:pPr>
        <w:ind w:left="300" w:right="539"/>
        <w:spacing w:after="0" w:line="218" w:lineRule="auto"/>
        <w:rPr>
          <w:sz w:val="20"/>
          <w:szCs w:val="20"/>
          <w:color w:val="auto"/>
        </w:rPr>
      </w:pPr>
      <w:r>
        <w:rPr>
          <w:rFonts w:ascii="Times New Roman" w:cs="Times New Roman" w:eastAsia="Times New Roman" w:hAnsi="Times New Roman"/>
          <w:sz w:val="18"/>
          <w:szCs w:val="18"/>
          <w:color w:val="auto"/>
        </w:rPr>
        <w:t>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In addition,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materially comply with these contractual requirements, we may be subject to investigations, audits or other adverse consequences.</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our personnel utilize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w:t>
      </w:r>
    </w:p>
    <w:p>
      <w:pPr>
        <w:spacing w:after="0" w:line="2" w:lineRule="exact"/>
        <w:rPr>
          <w:sz w:val="20"/>
          <w:szCs w:val="20"/>
          <w:color w:val="auto"/>
        </w:rPr>
      </w:pPr>
    </w:p>
    <w:p>
      <w:pPr>
        <w:ind w:left="300" w:right="519"/>
        <w:spacing w:after="0" w:line="218" w:lineRule="auto"/>
        <w:rPr>
          <w:sz w:val="20"/>
          <w:szCs w:val="20"/>
          <w:color w:val="auto"/>
        </w:rPr>
      </w:pPr>
      <w:r>
        <w:rPr>
          <w:rFonts w:ascii="Times New Roman" w:cs="Times New Roman" w:eastAsia="Times New Roman" w:hAnsi="Times New Roman"/>
          <w:sz w:val="18"/>
          <w:szCs w:val="18"/>
          <w:color w:val="auto"/>
        </w:rPr>
        <w:t>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64" w:lineRule="exact"/>
        <w:rPr>
          <w:sz w:val="20"/>
          <w:szCs w:val="20"/>
          <w:color w:val="auto"/>
        </w:rPr>
      </w:pPr>
    </w:p>
    <w:p>
      <w:pPr>
        <w:ind w:left="300" w:right="519" w:firstLine="441"/>
        <w:spacing w:after="0" w:line="229" w:lineRule="auto"/>
        <w:rPr>
          <w:sz w:val="20"/>
          <w:szCs w:val="20"/>
          <w:color w:val="auto"/>
        </w:rPr>
      </w:pPr>
      <w:r>
        <w:rPr>
          <w:rFonts w:ascii="Times New Roman" w:cs="Times New Roman" w:eastAsia="Times New Roman" w:hAnsi="Times New Roman"/>
          <w:sz w:val="17"/>
          <w:szCs w:val="17"/>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w:t>
      </w: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contexts, including, without limitation, cloud-based infrastructure, cybersecurity monitoring, data hosting, personnel email, and other functions. We also rely on third-party service providers to provide other products, services, parts, or otherwise to operate our business. Our ability to monitor these third parties’ information security practices is limited,</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and these third parties may not have adequate information security measures in place. Our third-party service providers have in the past and may in the future experience a security incident or other interruption. While we may be entitled to damages if our third-party service providers fail to satisfy their privacy or security-related obligations</w:t>
      </w:r>
    </w:p>
    <w:p>
      <w:pPr>
        <w:spacing w:after="0" w:line="2"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64" w:lineRule="exact"/>
        <w:rPr>
          <w:sz w:val="20"/>
          <w:szCs w:val="20"/>
          <w:color w:val="auto"/>
        </w:rPr>
      </w:pPr>
    </w:p>
    <w:p>
      <w:pPr>
        <w:ind w:left="300" w:right="439" w:firstLine="441"/>
        <w:spacing w:after="0" w:line="21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have been or will be effective. We take steps designed to detect, mitigate, and remediate vulnerabilities in our information systems (such as our hardware and/or software, including that of third</w:t>
      </w:r>
    </w:p>
    <w:p>
      <w:pPr>
        <w:spacing w:after="0" w:line="1"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parties with whom we work). We have not and may not in the future, however, detect and remediate all such vulnerabilities including on a timely and effective basis. Further, we have and may in the future experience delays in developing and deploying remedial measures and patches designed to address identified vulnerabilities. These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vulnerabilities could be exploited and result in a security incident.</w:t>
      </w:r>
    </w:p>
    <w:p>
      <w:pPr>
        <w:spacing w:after="0" w:line="57" w:lineRule="exact"/>
        <w:rPr>
          <w:sz w:val="20"/>
          <w:szCs w:val="20"/>
          <w:color w:val="auto"/>
        </w:rPr>
      </w:pPr>
    </w:p>
    <w:p>
      <w:pPr>
        <w:ind w:left="300" w:right="339" w:firstLine="441"/>
        <w:spacing w:after="0" w:line="222"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w:t>
      </w:r>
    </w:p>
    <w:p>
      <w:pPr>
        <w:spacing w:after="0" w:line="2" w:lineRule="exact"/>
        <w:rPr>
          <w:sz w:val="20"/>
          <w:szCs w:val="20"/>
          <w:color w:val="auto"/>
        </w:rPr>
      </w:pPr>
    </w:p>
    <w:p>
      <w:pPr>
        <w:ind w:left="300" w:right="299"/>
        <w:spacing w:after="0" w:line="226" w:lineRule="auto"/>
        <w:rPr>
          <w:sz w:val="20"/>
          <w:szCs w:val="20"/>
          <w:color w:val="auto"/>
        </w:rPr>
      </w:pPr>
      <w:r>
        <w:rPr>
          <w:rFonts w:ascii="Times New Roman" w:cs="Times New Roman" w:eastAsia="Times New Roman" w:hAnsi="Times New Roman"/>
          <w:sz w:val="18"/>
          <w:szCs w:val="18"/>
          <w:color w:val="auto"/>
        </w:rPr>
        <w:t>gain access to other parts of our environment, or leverage a compromise of our networks or systems to gain access to the networks or systems of third parties with whom we work, such as through phishing or supply chain attacks.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Any of the previously identified or similar threats have in the past caused and could in the future cause a</w:t>
      </w:r>
    </w:p>
    <w:p>
      <w:pPr>
        <w:spacing w:after="0" w:line="2" w:lineRule="exact"/>
        <w:rPr>
          <w:sz w:val="20"/>
          <w:szCs w:val="20"/>
          <w:color w:val="auto"/>
        </w:rPr>
      </w:pPr>
    </w:p>
    <w:p>
      <w:pPr>
        <w:ind w:left="300" w:right="399"/>
        <w:spacing w:after="0" w:line="231" w:lineRule="auto"/>
        <w:rPr>
          <w:sz w:val="20"/>
          <w:szCs w:val="20"/>
          <w:color w:val="auto"/>
        </w:rPr>
      </w:pPr>
      <w:r>
        <w:rPr>
          <w:rFonts w:ascii="Times New Roman" w:cs="Times New Roman" w:eastAsia="Times New Roman" w:hAnsi="Times New Roman"/>
          <w:sz w:val="17"/>
          <w:szCs w:val="17"/>
          <w:color w:val="auto"/>
        </w:rPr>
        <w:t>security incident or other interruption that has caused in the past or could in the future result in unauthorized, unlawful, or accidental acquisition, modification, destruction, loss, alteration, encryption, disclosure of, or access to or other compromise of our sensitive data or our information technology systems, or those of the third parties upon</w:t>
      </w:r>
    </w:p>
    <w:p>
      <w:pPr>
        <w:sectPr>
          <w:pgSz w:w="11900" w:h="16850" w:orient="portrait"/>
          <w:cols w:equalWidth="0" w:num="1">
            <w:col w:w="9019"/>
          </w:cols>
          <w:pgMar w:left="1440" w:top="104" w:right="1440" w:bottom="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62025"/>
                    </a:xfrm>
                    <a:prstGeom prst="rect">
                      <a:avLst/>
                    </a:prstGeom>
                    <a:noFill/>
                  </pic:spPr>
                </pic:pic>
              </a:graphicData>
            </a:graphic>
          </wp:anchor>
        </w:drawing>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1201" w:right="1440"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319"/>
        <w:spacing w:after="0" w:line="237" w:lineRule="auto"/>
        <w:rPr>
          <w:sz w:val="20"/>
          <w:szCs w:val="20"/>
          <w:color w:val="auto"/>
        </w:rPr>
      </w:pPr>
      <w:r>
        <w:rPr>
          <w:rFonts w:ascii="Times New Roman" w:cs="Times New Roman" w:eastAsia="Times New Roman" w:hAnsi="Times New Roman"/>
          <w:sz w:val="18"/>
          <w:szCs w:val="18"/>
          <w:color w:val="auto"/>
        </w:rPr>
        <w:t>whom we rely. A security incident or other interruption could disrupt our ability (and that of third parties with whom we work) to provide our services.</w:t>
      </w:r>
    </w:p>
    <w:p>
      <w:pPr>
        <w:spacing w:after="0" w:line="64" w:lineRule="exact"/>
        <w:rPr>
          <w:sz w:val="20"/>
          <w:szCs w:val="20"/>
          <w:color w:val="auto"/>
        </w:rPr>
      </w:pPr>
    </w:p>
    <w:p>
      <w:pPr>
        <w:jc w:val="both"/>
        <w:ind w:left="300" w:right="479" w:firstLine="441"/>
        <w:spacing w:after="0" w:line="229"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(including our clinical trial activities) to try to protect against security incidents. Additionally, certain data privacy and security obligations require us to implement and maintain specific security measures or industry-standard or reasonable security measures to protect</w:t>
      </w:r>
    </w:p>
    <w:p>
      <w:pPr>
        <w:ind w:left="300"/>
        <w:spacing w:after="0"/>
        <w:rPr>
          <w:sz w:val="20"/>
          <w:szCs w:val="20"/>
          <w:color w:val="auto"/>
        </w:rPr>
      </w:pPr>
      <w:r>
        <w:rPr>
          <w:rFonts w:ascii="Times New Roman" w:cs="Times New Roman" w:eastAsia="Times New Roman" w:hAnsi="Times New Roman"/>
          <w:sz w:val="18"/>
          <w:szCs w:val="18"/>
          <w:color w:val="auto"/>
        </w:rPr>
        <w:t>our information technology systems and sensitive data.</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w:t>
      </w:r>
    </w:p>
    <w:p>
      <w:pPr>
        <w:jc w:val="center"/>
        <w:ind w:right="19"/>
        <w:spacing w:after="0" w:line="232" w:lineRule="auto"/>
        <w:rPr>
          <w:sz w:val="20"/>
          <w:szCs w:val="20"/>
          <w:color w:val="auto"/>
        </w:rPr>
      </w:pPr>
      <w:r>
        <w:rPr>
          <w:rFonts w:ascii="Times New Roman" w:cs="Times New Roman" w:eastAsia="Times New Roman" w:hAnsi="Times New Roman"/>
          <w:sz w:val="17"/>
          <w:szCs w:val="17"/>
          <w:color w:val="auto"/>
        </w:rPr>
        <w:t>relevant stakeholders, including affected individuals, regulators, investors and others, of security incidents, or to take</w:t>
      </w:r>
    </w:p>
    <w:p>
      <w:pPr>
        <w:ind w:left="300" w:right="379"/>
        <w:spacing w:after="0" w:line="218" w:lineRule="auto"/>
        <w:rPr>
          <w:sz w:val="20"/>
          <w:szCs w:val="20"/>
          <w:color w:val="auto"/>
        </w:rPr>
      </w:pPr>
      <w:r>
        <w:rPr>
          <w:rFonts w:ascii="Times New Roman" w:cs="Times New Roman" w:eastAsia="Times New Roman" w:hAnsi="Times New Roman"/>
          <w:sz w:val="18"/>
          <w:szCs w:val="18"/>
          <w:color w:val="auto"/>
        </w:rPr>
        <w:t>other actions, such as providing credit monitoring and identity theft protection services. We have in the past notified relevant stakeholders of such security incidents. Such disclosures and related actions can be costly, and the disclosure or the failure to comply with such applicable requirements could lead to adverse consequences.</w:t>
      </w:r>
    </w:p>
    <w:p>
      <w:pPr>
        <w:spacing w:after="0" w:line="64" w:lineRule="exact"/>
        <w:rPr>
          <w:sz w:val="20"/>
          <w:szCs w:val="20"/>
          <w:color w:val="auto"/>
        </w:rPr>
      </w:pPr>
    </w:p>
    <w:p>
      <w:pPr>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w:t>
      </w: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2" w:lineRule="exact"/>
        <w:rPr>
          <w:sz w:val="20"/>
          <w:szCs w:val="20"/>
          <w:color w:val="auto"/>
        </w:rPr>
      </w:pP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Security incidents and attendant consequences may cause relevant stakeholders to stop using our services, deter new stakeholders from using our services, and negatively impact our ability to grow and operate our business.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w:t>
      </w:r>
    </w:p>
    <w:p>
      <w:pPr>
        <w:spacing w:after="0" w:line="2" w:lineRule="exact"/>
        <w:rPr>
          <w:sz w:val="20"/>
          <w:szCs w:val="20"/>
          <w:color w:val="auto"/>
        </w:rPr>
      </w:pPr>
    </w:p>
    <w:p>
      <w:pPr>
        <w:jc w:val="both"/>
        <w:ind w:left="300" w:right="479"/>
        <w:spacing w:after="0" w:line="220" w:lineRule="auto"/>
        <w:rPr>
          <w:sz w:val="20"/>
          <w:szCs w:val="20"/>
          <w:color w:val="auto"/>
        </w:rPr>
      </w:pPr>
      <w:r>
        <w:rPr>
          <w:rFonts w:ascii="Times New Roman" w:cs="Times New Roman" w:eastAsia="Times New Roman" w:hAnsi="Times New Roman"/>
          <w:sz w:val="17"/>
          <w:szCs w:val="17"/>
          <w:color w:val="auto"/>
        </w:rPr>
        <w:t>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continue to be available on commercially reasonable terms or at all, or that such coverage will pay future claims.</w:t>
      </w:r>
    </w:p>
    <w:p>
      <w:pPr>
        <w:spacing w:after="0" w:line="57" w:lineRule="exact"/>
        <w:rPr>
          <w:sz w:val="20"/>
          <w:szCs w:val="20"/>
          <w:color w:val="auto"/>
        </w:rPr>
      </w:pPr>
    </w:p>
    <w:p>
      <w:pPr>
        <w:ind w:left="300" w:right="399" w:firstLine="441"/>
        <w:spacing w:after="0" w:line="237" w:lineRule="auto"/>
        <w:rPr>
          <w:sz w:val="20"/>
          <w:szCs w:val="20"/>
          <w:color w:val="auto"/>
        </w:rPr>
      </w:pPr>
      <w:r>
        <w:rPr>
          <w:rFonts w:ascii="Times New Roman" w:cs="Times New Roman" w:eastAsia="Times New Roman" w:hAnsi="Times New Roman"/>
          <w:sz w:val="18"/>
          <w:szCs w:val="18"/>
          <w:color w:val="auto"/>
        </w:rPr>
        <w:t>Additionally, sensitive information of the Company could be leaked, disclosed, or revealed as a result of or in connection with our personnel’s or vendors’ use of generative AI technologies.</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 outbreak of communicable diseases around the world may cause disruption to our business.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Any public health crisis due to the outbreak of communicable diseases may cause any of the following:</w:t>
      </w:r>
    </w:p>
    <w:p>
      <w:pPr>
        <w:spacing w:after="0" w:line="77" w:lineRule="exact"/>
        <w:rPr>
          <w:sz w:val="20"/>
          <w:szCs w:val="20"/>
          <w:color w:val="auto"/>
        </w:rPr>
      </w:pPr>
    </w:p>
    <w:p>
      <w:pPr>
        <w:ind w:left="1280" w:hanging="328"/>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recruiting patients for our clinical trials;</w:t>
      </w:r>
    </w:p>
    <w:p>
      <w:pPr>
        <w:spacing w:after="0" w:line="90" w:lineRule="exact"/>
        <w:rPr>
          <w:rFonts w:ascii="Times New Roman" w:cs="Times New Roman" w:eastAsia="Times New Roman" w:hAnsi="Times New Roman"/>
          <w:sz w:val="18"/>
          <w:szCs w:val="18"/>
          <w:color w:val="auto"/>
        </w:rPr>
      </w:pPr>
    </w:p>
    <w:p>
      <w:pPr>
        <w:ind w:left="1280" w:right="559" w:hanging="328"/>
        <w:spacing w:after="0" w:line="237" w:lineRule="auto"/>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launching clinical trial sites, including difficulties in recruiting investigators and clinical site staff; and</w:t>
      </w:r>
    </w:p>
    <w:p>
      <w:pPr>
        <w:spacing w:after="0" w:line="50" w:lineRule="exact"/>
        <w:rPr>
          <w:rFonts w:ascii="Times New Roman" w:cs="Times New Roman" w:eastAsia="Times New Roman" w:hAnsi="Times New Roman"/>
          <w:sz w:val="18"/>
          <w:szCs w:val="18"/>
          <w:color w:val="auto"/>
        </w:rPr>
      </w:pPr>
    </w:p>
    <w:p>
      <w:pPr>
        <w:ind w:left="1280" w:right="579" w:hanging="328"/>
        <w:spacing w:after="0" w:line="237" w:lineRule="auto"/>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 care resources from the conduct of clinical trials, of hospital staff supporting the conduct of clinical trials.</w:t>
      </w:r>
    </w:p>
    <w:p>
      <w:pPr>
        <w:spacing w:after="0" w:line="50" w:lineRule="exact"/>
        <w:rPr>
          <w:sz w:val="20"/>
          <w:szCs w:val="20"/>
          <w:color w:val="auto"/>
        </w:rPr>
      </w:pPr>
    </w:p>
    <w:p>
      <w:pPr>
        <w:ind w:left="300" w:right="499" w:firstLine="441"/>
        <w:spacing w:after="0" w:line="250" w:lineRule="auto"/>
        <w:rPr>
          <w:sz w:val="20"/>
          <w:szCs w:val="20"/>
          <w:color w:val="auto"/>
        </w:rPr>
      </w:pPr>
      <w:r>
        <w:rPr>
          <w:rFonts w:ascii="Times New Roman" w:cs="Times New Roman" w:eastAsia="Times New Roman" w:hAnsi="Times New Roman"/>
          <w:sz w:val="18"/>
          <w:szCs w:val="18"/>
          <w:color w:val="auto"/>
        </w:rPr>
        <w:t>In addition to the risks listed above, and as part of our clinical trials in countries in pandemic zones, we may also experience the following adverse effects:</w:t>
      </w:r>
    </w:p>
    <w:p>
      <w:pPr>
        <w:spacing w:after="0" w:line="41" w:lineRule="exact"/>
        <w:rPr>
          <w:sz w:val="20"/>
          <w:szCs w:val="20"/>
          <w:color w:val="auto"/>
        </w:rPr>
      </w:pPr>
    </w:p>
    <w:p>
      <w:pPr>
        <w:ind w:left="1280" w:right="959" w:hanging="328"/>
        <w:spacing w:after="0" w:line="237"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the conduct of our research and preclinical studies, preventing research and preclinical studies from being conducted as planned;</w:t>
      </w:r>
    </w:p>
    <w:p>
      <w:pPr>
        <w:spacing w:after="0" w:line="63" w:lineRule="exact"/>
        <w:rPr>
          <w:rFonts w:ascii="Times New Roman" w:cs="Times New Roman" w:eastAsia="Times New Roman" w:hAnsi="Times New Roman"/>
          <w:sz w:val="18"/>
          <w:szCs w:val="18"/>
          <w:color w:val="auto"/>
        </w:rPr>
      </w:pPr>
    </w:p>
    <w:p>
      <w:pPr>
        <w:ind w:left="1280" w:right="319" w:hanging="328"/>
        <w:spacing w:after="0" w:line="237"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authorizations from the administrative and regulatory authorities required to launch the planned preclinical studies and clinical trials;</w:t>
      </w:r>
    </w:p>
    <w:p>
      <w:pPr>
        <w:spacing w:after="0" w:line="50" w:lineRule="exact"/>
        <w:rPr>
          <w:rFonts w:ascii="Times New Roman" w:cs="Times New Roman" w:eastAsia="Times New Roman" w:hAnsi="Times New Roman"/>
          <w:sz w:val="18"/>
          <w:szCs w:val="18"/>
          <w:color w:val="auto"/>
        </w:rPr>
      </w:pPr>
    </w:p>
    <w:p>
      <w:pPr>
        <w:ind w:left="1280" w:right="419" w:hanging="328"/>
        <w:spacing w:after="0" w:line="250"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receipt of supplies and equipment necessary for the completion of our research activities and our preclinical studies and clinical trials;</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affecting the activity of contractors who provide research services to us;</w:t>
      </w:r>
    </w:p>
    <w:p>
      <w:pPr>
        <w:spacing w:after="0" w:line="76" w:lineRule="exact"/>
        <w:rPr>
          <w:rFonts w:ascii="Times New Roman" w:cs="Times New Roman" w:eastAsia="Times New Roman" w:hAnsi="Times New Roman"/>
          <w:sz w:val="18"/>
          <w:szCs w:val="18"/>
          <w:color w:val="auto"/>
        </w:rPr>
      </w:pPr>
    </w:p>
    <w:p>
      <w:pPr>
        <w:ind w:left="1280" w:right="759" w:hanging="328"/>
        <w:spacing w:after="0" w:line="250"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competent regulatory authorities to accept data from clinical trials conducted in the geographical areas affected by the pandemic;</w:t>
      </w:r>
    </w:p>
    <w:p>
      <w:pPr>
        <w:spacing w:after="0" w:line="41" w:lineRule="exact"/>
        <w:rPr>
          <w:rFonts w:ascii="Times New Roman" w:cs="Times New Roman" w:eastAsia="Times New Roman" w:hAnsi="Times New Roman"/>
          <w:sz w:val="18"/>
          <w:szCs w:val="18"/>
          <w:color w:val="auto"/>
        </w:rPr>
      </w:pPr>
    </w:p>
    <w:p>
      <w:pPr>
        <w:ind w:left="1280" w:right="639" w:hanging="328"/>
        <w:spacing w:after="0" w:line="231"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global maritime trade could affect the transportation of research materials for preclinical studies and clinical trials, such as experimental drugs and comparator drugs used in our clinical trials; and</w:t>
      </w:r>
    </w:p>
    <w:p>
      <w:pPr>
        <w:spacing w:after="0" w:line="50" w:lineRule="exact"/>
        <w:rPr>
          <w:rFonts w:ascii="Times New Roman" w:cs="Times New Roman" w:eastAsia="Times New Roman" w:hAnsi="Times New Roman"/>
          <w:sz w:val="18"/>
          <w:szCs w:val="18"/>
          <w:color w:val="auto"/>
        </w:rPr>
      </w:pPr>
    </w:p>
    <w:p>
      <w:pPr>
        <w:ind w:left="1280" w:right="599" w:hanging="328"/>
        <w:spacing w:after="0" w:line="231"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necessary interactions with local authorities, ethics committees or other important and third-party co-contracting bodies due to limitations in human resources or forced leave of state employees.</w:t>
      </w:r>
    </w:p>
    <w:p>
      <w:pPr>
        <w:spacing w:after="0" w:line="50" w:lineRule="exact"/>
        <w:rPr>
          <w:sz w:val="20"/>
          <w:szCs w:val="20"/>
          <w:color w:val="auto"/>
        </w:rPr>
      </w:pPr>
    </w:p>
    <w:p>
      <w:pPr>
        <w:ind w:left="300" w:right="319" w:firstLine="441"/>
        <w:spacing w:after="0" w:line="263" w:lineRule="auto"/>
        <w:rPr>
          <w:sz w:val="20"/>
          <w:szCs w:val="20"/>
          <w:color w:val="auto"/>
        </w:rPr>
      </w:pPr>
      <w:r>
        <w:rPr>
          <w:rFonts w:ascii="Times New Roman" w:cs="Times New Roman" w:eastAsia="Times New Roman" w:hAnsi="Times New Roman"/>
          <w:sz w:val="17"/>
          <w:szCs w:val="17"/>
          <w:color w:val="auto"/>
        </w:rPr>
        <w:t>If one or more of the above risks were to materialize, the planned and ongoing clinical trials and, therefore, the publication of the data and results of these studies and all subsequent steps leading to the commercialization of drug</w:t>
      </w:r>
    </w:p>
    <w:p>
      <w:pPr>
        <w:sectPr>
          <w:pgSz w:w="11900" w:h="16838" w:orient="portrait"/>
          <w:cols w:equalWidth="0" w:num="1">
            <w:col w:w="9019"/>
          </w:cols>
          <w:pgMar w:left="1440" w:top="1201" w:right="1440" w:bottom="4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16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1201" w:right="1440" w:bottom="447" w:gutter="0" w:footer="0" w:header="0"/>
          <w:type w:val="continuous"/>
        </w:sectPr>
      </w:pPr>
    </w:p>
    <w:bookmarkStart w:id="27" w:name="page28"/>
    <w:bookmarkEnd w:id="27"/>
    <w:p>
      <w:pPr>
        <w:ind w:left="300" w:right="319"/>
        <w:spacing w:after="0" w:line="23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candidates being studied, could be significantly delayed. Such a situation could have a material adverse effect on our business, income, financial position and growth.</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The extent to which the outbreak of communicable diseases around the world may impact our activity and clinical trials will depend on future developments, which cannot be predicted with certainty, such as the emergence of diseases that may be resistant to the vaccines or treatments currently available, access to vaccines and treatments</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for the various populations worldwide, the final geographical spread of the disease, its duration, travel restrictions and social distancing measures in the European Union, the United States and other countries, business closures or disruptions, and the effectiveness of measures taken in those countries to contain and treat the disease. There can be</w:t>
      </w:r>
    </w:p>
    <w:p>
      <w:pPr>
        <w:spacing w:after="0" w:line="2" w:lineRule="exact"/>
        <w:rPr>
          <w:sz w:val="20"/>
          <w:szCs w:val="20"/>
          <w:color w:val="auto"/>
        </w:rPr>
      </w:pP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no assurance that the outbreak of communicable diseases around the world will not result in an adverse effect on financial markets, our share price and our ability to obtain finance.</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war between Ukraine and Russia may affect our business, industry and the markets in which we operate.</w:t>
      </w:r>
    </w:p>
    <w:p>
      <w:pPr>
        <w:spacing w:after="0" w:line="9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The Russia-Ukraine war continues.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w:t>
      </w:r>
    </w:p>
    <w:p>
      <w:pPr>
        <w:ind w:left="300"/>
        <w:spacing w:after="0"/>
        <w:rPr>
          <w:sz w:val="20"/>
          <w:szCs w:val="20"/>
          <w:color w:val="auto"/>
        </w:rPr>
      </w:pPr>
      <w:r>
        <w:rPr>
          <w:rFonts w:ascii="Times New Roman" w:cs="Times New Roman" w:eastAsia="Times New Roman" w:hAnsi="Times New Roman"/>
          <w:sz w:val="18"/>
          <w:szCs w:val="18"/>
          <w:color w:val="auto"/>
        </w:rPr>
        <w:t>down stock market prices around the world.</w:t>
      </w:r>
    </w:p>
    <w:p>
      <w:pPr>
        <w:spacing w:after="0" w:line="57"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Given these developments, we have decided not to include Russia and Belarus in our global Phase 3 program for obefazimod in UC. However, the global scale of this conflict remains uncertain. We, therefore, cannot rule out</w:t>
      </w:r>
    </w:p>
    <w:p>
      <w:pPr>
        <w:ind w:left="300" w:right="859"/>
        <w:spacing w:after="0" w:line="226" w:lineRule="auto"/>
        <w:rPr>
          <w:sz w:val="20"/>
          <w:szCs w:val="20"/>
          <w:color w:val="auto"/>
        </w:rPr>
      </w:pPr>
      <w:r>
        <w:rPr>
          <w:rFonts w:ascii="Times New Roman" w:cs="Times New Roman" w:eastAsia="Times New Roman" w:hAnsi="Times New Roman"/>
          <w:sz w:val="18"/>
          <w:szCs w:val="18"/>
          <w:color w:val="auto"/>
        </w:rPr>
        <w:t>an adverse impact of this conflict on our business, including in terms of access to raw materials, logistics, the performance of clinical trials and in relation to any future financing we may seek.</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global Phase 3 clinical trials currently have clinical sites in Ukraine. None of these sites are located in the</w:t>
      </w:r>
    </w:p>
    <w:p>
      <w:pPr>
        <w:spacing w:after="0" w:line="2" w:lineRule="exact"/>
        <w:rPr>
          <w:sz w:val="20"/>
          <w:szCs w:val="20"/>
          <w:color w:val="auto"/>
        </w:rPr>
      </w:pPr>
    </w:p>
    <w:p>
      <w:pPr>
        <w:ind w:left="300" w:right="559"/>
        <w:spacing w:after="0" w:line="218" w:lineRule="auto"/>
        <w:rPr>
          <w:sz w:val="20"/>
          <w:szCs w:val="20"/>
          <w:color w:val="auto"/>
        </w:rPr>
      </w:pPr>
      <w:r>
        <w:rPr>
          <w:rFonts w:ascii="Times New Roman" w:cs="Times New Roman" w:eastAsia="Times New Roman" w:hAnsi="Times New Roman"/>
          <w:sz w:val="18"/>
          <w:szCs w:val="18"/>
          <w:color w:val="auto"/>
        </w:rPr>
        <w:t>Crimea Region of Ukraine, the so-called Donetsk People’s Republic, or the so-called Luhansk People’s Republic. We continue to monitor developments in the region, but any instability as a result of the war may have material adverse impacts on these clinical sites, which could negatively impact our Phase 3 clinical trials.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77" w:lineRule="exact"/>
        <w:rPr>
          <w:sz w:val="20"/>
          <w:szCs w:val="20"/>
          <w:color w:val="auto"/>
        </w:rPr>
      </w:pPr>
    </w:p>
    <w:p>
      <w:pPr>
        <w:ind w:left="300" w:right="9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ability to exclusively commercialize our drug candidates may decrease if we are unable to protect our intellectual property rights or if these rights are insufficient for our purposes.</w:t>
      </w:r>
    </w:p>
    <w:p>
      <w:pPr>
        <w:spacing w:after="0" w:line="64" w:lineRule="exact"/>
        <w:rPr>
          <w:sz w:val="20"/>
          <w:szCs w:val="20"/>
          <w:color w:val="auto"/>
        </w:rPr>
      </w:pPr>
    </w:p>
    <w:p>
      <w:pPr>
        <w:jc w:val="both"/>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Our commercial success depends in part on our ability and the ability of our partners to obtain, maintain and ensure, against third parties, the protection of our patents, trademarks and related applications and other intellectual property rights or similar rights (such as trade secrets, business secrets and know-how) or those we are authorized to</w:t>
      </w:r>
    </w:p>
    <w:p>
      <w:pPr>
        <w:ind w:left="300" w:right="379"/>
        <w:spacing w:after="0" w:line="218" w:lineRule="auto"/>
        <w:rPr>
          <w:sz w:val="20"/>
          <w:szCs w:val="20"/>
          <w:color w:val="auto"/>
        </w:rPr>
      </w:pPr>
      <w:r>
        <w:rPr>
          <w:rFonts w:ascii="Times New Roman" w:cs="Times New Roman" w:eastAsia="Times New Roman" w:hAnsi="Times New Roman"/>
          <w:sz w:val="18"/>
          <w:szCs w:val="18"/>
          <w:color w:val="auto"/>
        </w:rPr>
        <w:t>use in the course of our business in Europe, the United States, Asia and other key countries. We dedicate substantial financial and human resources to this and intend to continue our policy of protection through new patent applications as soon as we deem it appropriate.</w:t>
      </w:r>
    </w:p>
    <w:p>
      <w:pPr>
        <w:spacing w:after="0" w:line="64" w:lineRule="exact"/>
        <w:rPr>
          <w:sz w:val="20"/>
          <w:szCs w:val="20"/>
          <w:color w:val="auto"/>
        </w:rPr>
      </w:pPr>
    </w:p>
    <w:p>
      <w:pPr>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Our technology is currently protected by patents and patent applications that we have filed or for which we have an exclusive license. However, we or our partners might not be able to maintain the protection of our intellectual property rights and we could, thereby, lose our technological and competitive advantage in whole or in</w:t>
      </w:r>
    </w:p>
    <w:p>
      <w:pPr>
        <w:ind w:left="300"/>
        <w:spacing w:after="0"/>
        <w:rPr>
          <w:sz w:val="20"/>
          <w:szCs w:val="20"/>
          <w:color w:val="auto"/>
        </w:rPr>
      </w:pPr>
      <w:r>
        <w:rPr>
          <w:rFonts w:ascii="Times New Roman" w:cs="Times New Roman" w:eastAsia="Times New Roman" w:hAnsi="Times New Roman"/>
          <w:sz w:val="18"/>
          <w:szCs w:val="18"/>
          <w:color w:val="auto"/>
        </w:rPr>
        <w:t>part.</w:t>
      </w:r>
    </w:p>
    <w:p>
      <w:pPr>
        <w:spacing w:after="0" w:line="57" w:lineRule="exact"/>
        <w:rPr>
          <w:sz w:val="20"/>
          <w:szCs w:val="20"/>
          <w:color w:val="auto"/>
        </w:rPr>
      </w:pPr>
    </w:p>
    <w:p>
      <w:pPr>
        <w:ind w:left="300" w:right="619" w:firstLine="441"/>
        <w:spacing w:after="0" w:line="236" w:lineRule="auto"/>
        <w:rPr>
          <w:sz w:val="20"/>
          <w:szCs w:val="20"/>
          <w:color w:val="auto"/>
        </w:rPr>
      </w:pPr>
      <w:r>
        <w:rPr>
          <w:rFonts w:ascii="Times New Roman" w:cs="Times New Roman" w:eastAsia="Times New Roman" w:hAnsi="Times New Roman"/>
          <w:sz w:val="17"/>
          <w:szCs w:val="17"/>
          <w:color w:val="auto"/>
        </w:rPr>
        <w:t>Firstly, our intellectual property rights and those of our partners offer protection for a period that may vary from one territory to another. The term of individual patents depends upon the legal term of the patents in the</w:t>
      </w: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countries in which they are obtained. In most countries in which we have obtained or are seeking patent protection for our drug candidates, the patent term is 20 years from the earliest filing date of a non-provisional patent application. In the United States, the term of a patent may be lengthened by a patent term adjustment, which</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provides for term extension in the case of administrative delays at the United States Patent and Trademark Office (“USPTO”) in granting a patent, or may be shortened if a patent is terminally disclaimed over another patent with an earlier expiration date. Furthermore, in the United States, the term of a patent covering an FDA approved drug may</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be eligible for a patent term extension under the Hatch-Waxman Amendments as compensation for the loss of patent term during the FDA regulatory review process. The period of extension may be up to five years beyond the expiration of the patent but cannot extend the term of a patent beyond a total of 14 years from the date of product</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approval. Only one patent covering a single FDA-approved product among those eligible for an extension may be extended. In the future, if any of our drug candidates receives FDA approval, we expect to apply for a patent term extension, if available, to extend the term of the patent covering such approved drug product. In France and the rest</w:t>
      </w:r>
    </w:p>
    <w:p>
      <w:pPr>
        <w:spacing w:after="0" w:line="2" w:lineRule="exact"/>
        <w:rPr>
          <w:sz w:val="20"/>
          <w:szCs w:val="20"/>
          <w:color w:val="auto"/>
        </w:rPr>
      </w:pPr>
    </w:p>
    <w:p>
      <w:pPr>
        <w:ind w:left="300" w:right="479"/>
        <w:spacing w:after="0" w:line="208" w:lineRule="auto"/>
        <w:rPr>
          <w:sz w:val="20"/>
          <w:szCs w:val="20"/>
          <w:color w:val="auto"/>
        </w:rPr>
      </w:pPr>
      <w:r>
        <w:rPr>
          <w:rFonts w:ascii="Times New Roman" w:cs="Times New Roman" w:eastAsia="Times New Roman" w:hAnsi="Times New Roman"/>
          <w:sz w:val="18"/>
          <w:szCs w:val="18"/>
          <w:color w:val="auto"/>
        </w:rPr>
        <w:t>of Europe generally, the term of a patent is 20 years from the date the patent application is filed, with the understanding that this period may be extended up to another five years if a supplementary protection certificate is filed and an additional six months if a pediatric investigation plan is applied. We expect to seek patent term</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extensions in any jurisdictions where they are available, however, there is no guarantee that the applicable authorities, including the FDA, will agree with our assessment of whether such an extension should be granted, and even if granted, the length of such an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687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Secondly, we and our partners could encounter difficulties in the filing or examination of some of our patent, trademark or other intellectual property rights applications currently being examined/registered. During the patent</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application process, we may receive Office Actions from the USPTO or from comparable agencies in foreign jurisdictions rejecting the claims of the patent application. Although we would be given an opportunity to respond to those objections, we may be unable to overcome such rejections. At the time a patent application is filed, there may</w:t>
      </w:r>
    </w:p>
    <w:p>
      <w:pPr>
        <w:spacing w:after="0" w:line="2" w:lineRule="exact"/>
        <w:rPr>
          <w:sz w:val="20"/>
          <w:szCs w:val="20"/>
          <w:color w:val="auto"/>
        </w:rPr>
      </w:pPr>
    </w:p>
    <w:p>
      <w:pPr>
        <w:ind w:left="300" w:right="679"/>
        <w:spacing w:after="0" w:line="239" w:lineRule="auto"/>
        <w:rPr>
          <w:sz w:val="20"/>
          <w:szCs w:val="20"/>
          <w:color w:val="auto"/>
        </w:rPr>
      </w:pPr>
      <w:r>
        <w:rPr>
          <w:rFonts w:ascii="Times New Roman" w:cs="Times New Roman" w:eastAsia="Times New Roman" w:hAnsi="Times New Roman"/>
          <w:sz w:val="17"/>
          <w:szCs w:val="17"/>
          <w:color w:val="auto"/>
        </w:rPr>
        <w:t>be other patents that could constitute opposable prior art that may have not yet been published. Despite prior art searches and monitoring, we cannot be certain that we are the first to conceive of an invention and file a patent</w:t>
      </w:r>
    </w:p>
    <w:p>
      <w:pPr>
        <w:sectPr>
          <w:pgSz w:w="11900" w:h="16838" w:orient="portrait"/>
          <w:cols w:equalWidth="0" w:num="1">
            <w:col w:w="9019"/>
          </w:cols>
          <w:pgMar w:left="1440" w:top="904" w:right="1440" w:bottom="0" w:gutter="0" w:footer="0" w:header="0"/>
        </w:sectPr>
      </w:pPr>
    </w:p>
    <w:bookmarkStart w:id="28" w:name="page29"/>
    <w:bookmarkEnd w:id="28"/>
    <w:p>
      <w:pPr>
        <w:ind w:left="300" w:right="359"/>
        <w:spacing w:after="0" w:line="180" w:lineRule="auto"/>
        <w:rPr>
          <w:sz w:val="20"/>
          <w:szCs w:val="20"/>
          <w:color w:val="auto"/>
        </w:rPr>
      </w:pPr>
      <w:r>
        <w:rPr>
          <w:rFonts w:ascii="Times New Roman" w:cs="Times New Roman" w:eastAsia="Times New Roman" w:hAnsi="Times New Roman"/>
          <w:sz w:val="16"/>
          <w:szCs w:val="16"/>
          <w:color w:val="auto"/>
        </w:rPr>
        <w:t>application relating thereto; in particular, it should be noted that in most countries, the publication of patent applications takes place 18 months after the earliest priority date of patent filing, or in some cases not at all,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7016115" cy="7374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ind w:left="300" w:right="359"/>
        <w:spacing w:after="0" w:line="223" w:lineRule="auto"/>
        <w:rPr>
          <w:sz w:val="20"/>
          <w:szCs w:val="20"/>
          <w:color w:val="auto"/>
        </w:rPr>
      </w:pPr>
      <w:r>
        <w:rPr>
          <w:rFonts w:ascii="Times New Roman" w:cs="Times New Roman" w:eastAsia="Times New Roman" w:hAnsi="Times New Roman"/>
          <w:sz w:val="17"/>
          <w:szCs w:val="17"/>
          <w:color w:val="auto"/>
        </w:rPr>
        <w:t>discoveries are sometimes only the subject of publication or patent application months or even years later. Likewise, when filing one of our trademarks in a country where it is not covered, we could find that the trademark in question</w:t>
      </w:r>
    </w:p>
    <w:p>
      <w:pPr>
        <w:spacing w:after="0" w:line="1"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is not available in that country. A new trademark would then need to be sought for the country in question or an agreement negotiated with the prior holder of the trademark. We may not be able to prevent a disclosure of information to third parties that could have an impact on our future intellectual property rights. Therefore, it is in no</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way certain that our current and future applications for patents, trademarks and other intellectual property rights will result in registrations.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Thirdly, the simple granting or registration of a patent, trademark or other intellectual property right does not</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guarantee validity or enforceability. Our competitors may at any time contest the validity or enforceability of our or our partners’ patents, trademarks or applications relating thereto before a court or in the context of other specific procedures which, depending on the outcome of such disputes, could reduce their scope, result in their invalidation</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or allow them to be circumvented by competitors. In addition, developments, changes or divergences in the interpretation of the legal framework governing intellectual property in Europe, the United States or other countries could allow competitors to use our or our partners’ inventions or intellectual property rights to develop or market our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products or technologies without financial compensation. Moreover, there are still certain countries that do not protect intellectual property rights in the same way as in Europe and the United States, and the effective procedures and rules necessary to ensure the defense of our rights may not exist in these countries. There is therefore no</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certainty that our existing and future patents, trademarks and other intellectual property rights will not be disputed, invalidated or circumvented, or that they will provide effective protection against competition.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Consequently, our rights to our owned or licensed patents, trademarks and related applications and other</w:t>
      </w:r>
    </w:p>
    <w:p>
      <w:pPr>
        <w:spacing w:after="0" w:line="2" w:lineRule="exact"/>
        <w:rPr>
          <w:sz w:val="20"/>
          <w:szCs w:val="20"/>
          <w:color w:val="auto"/>
        </w:rPr>
      </w:pPr>
    </w:p>
    <w:p>
      <w:pPr>
        <w:ind w:left="300" w:right="959"/>
        <w:spacing w:after="0" w:line="226" w:lineRule="auto"/>
        <w:rPr>
          <w:sz w:val="20"/>
          <w:szCs w:val="20"/>
          <w:color w:val="auto"/>
        </w:rPr>
      </w:pPr>
      <w:r>
        <w:rPr>
          <w:rFonts w:ascii="Times New Roman" w:cs="Times New Roman" w:eastAsia="Times New Roman" w:hAnsi="Times New Roman"/>
          <w:sz w:val="18"/>
          <w:szCs w:val="18"/>
          <w:color w:val="auto"/>
        </w:rPr>
        <w:t>intellectual property rights may not confer the protection expected against competition. We therefore cannot guarantee with certainty that:</w:t>
      </w:r>
    </w:p>
    <w:p>
      <w:pPr>
        <w:spacing w:after="0" w:line="49" w:lineRule="exact"/>
        <w:rPr>
          <w:sz w:val="20"/>
          <w:szCs w:val="20"/>
          <w:color w:val="auto"/>
        </w:rPr>
      </w:pPr>
    </w:p>
    <w:p>
      <w:pPr>
        <w:ind w:left="1280" w:hanging="328"/>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develop novel inventions for which a patent could be filed or issued;</w:t>
      </w:r>
    </w:p>
    <w:p>
      <w:pPr>
        <w:spacing w:after="0" w:line="90" w:lineRule="exact"/>
        <w:rPr>
          <w:rFonts w:ascii="Times New Roman" w:cs="Times New Roman" w:eastAsia="Times New Roman" w:hAnsi="Times New Roman"/>
          <w:sz w:val="18"/>
          <w:szCs w:val="18"/>
          <w:color w:val="auto"/>
        </w:rPr>
      </w:pPr>
    </w:p>
    <w:p>
      <w:pPr>
        <w:ind w:left="1280" w:right="719" w:hanging="328"/>
        <w:spacing w:after="0" w:line="237"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for patents and other property rights currently under review will actually result in the granting of patents, trademarks or other registered intellectual property rights;</w:t>
      </w:r>
    </w:p>
    <w:p>
      <w:pPr>
        <w:spacing w:after="0" w:line="50" w:lineRule="exact"/>
        <w:rPr>
          <w:rFonts w:ascii="Times New Roman" w:cs="Times New Roman" w:eastAsia="Times New Roman" w:hAnsi="Times New Roman"/>
          <w:sz w:val="18"/>
          <w:szCs w:val="18"/>
          <w:color w:val="auto"/>
        </w:rPr>
      </w:pPr>
    </w:p>
    <w:p>
      <w:pPr>
        <w:ind w:left="1280" w:right="999" w:hanging="328"/>
        <w:spacing w:after="0" w:line="250"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other intellectual property rights granted to us or our partners will not be contested, invalidated or circumvented; or</w:t>
      </w:r>
    </w:p>
    <w:p>
      <w:pPr>
        <w:spacing w:after="0" w:line="41" w:lineRule="exact"/>
        <w:rPr>
          <w:rFonts w:ascii="Times New Roman" w:cs="Times New Roman" w:eastAsia="Times New Roman" w:hAnsi="Times New Roman"/>
          <w:sz w:val="18"/>
          <w:szCs w:val="18"/>
          <w:color w:val="auto"/>
        </w:rPr>
      </w:pPr>
    </w:p>
    <w:p>
      <w:pPr>
        <w:ind w:left="1280" w:right="679" w:hanging="328"/>
        <w:spacing w:after="0" w:line="237"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conferred by our or our partners’ patents, trademarks and other intellectual property rights is and will remain sufficient to protect us against competition.</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Were these eventualities to occur, they could have a material adverse effect on our business and growth.</w:t>
      </w:r>
    </w:p>
    <w:p>
      <w:pPr>
        <w:spacing w:after="0" w:line="77"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In addition, third parties (or even our employees) could use or attempt to use elements of our technologies protected by an intellectual property right, which would create a detrimental situation for us. We may therefore be</w:t>
      </w: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compelled to bring legal or administrative proceedings against these third parties in order to enforce our intellectual property rights (patents, trademarks, designs and models or domain names) in court.</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Enforcing a claim that a party illegally infringed or misappropriated our intellectual property is difficult,</w:t>
      </w:r>
    </w:p>
    <w:p>
      <w:pPr>
        <w:spacing w:after="0" w:line="2" w:lineRule="exact"/>
        <w:rPr>
          <w:sz w:val="20"/>
          <w:szCs w:val="20"/>
          <w:color w:val="auto"/>
        </w:rPr>
      </w:pPr>
    </w:p>
    <w:p>
      <w:pPr>
        <w:jc w:val="both"/>
        <w:ind w:left="300" w:right="879"/>
        <w:spacing w:after="0" w:line="220" w:lineRule="auto"/>
        <w:rPr>
          <w:sz w:val="20"/>
          <w:szCs w:val="20"/>
          <w:color w:val="auto"/>
        </w:rPr>
      </w:pPr>
      <w:r>
        <w:rPr>
          <w:rFonts w:ascii="Times New Roman" w:cs="Times New Roman" w:eastAsia="Times New Roman" w:hAnsi="Times New Roman"/>
          <w:sz w:val="17"/>
          <w:szCs w:val="17"/>
          <w:color w:val="auto"/>
        </w:rPr>
        <w:t>expensive and time-consuming, and the outcome is unpredictable. Any litigation or dispute, regardless of the outcome, could lead to substantial costs, affect our reputation, negatively influence our income and financial position and possibly not lead to the desired protection or sanction. Some competitors with more substantial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resources than us may be able to bear the costs of litigation more easily.</w:t>
      </w:r>
    </w:p>
    <w:p>
      <w:pPr>
        <w:spacing w:after="0" w:line="53" w:lineRule="exact"/>
        <w:rPr>
          <w:sz w:val="20"/>
          <w:szCs w:val="20"/>
          <w:color w:val="auto"/>
        </w:rPr>
      </w:pPr>
    </w:p>
    <w:p>
      <w:pPr>
        <w:ind w:left="300" w:right="419" w:firstLine="4"/>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could lose rights that are important to our business.</w:t>
      </w:r>
    </w:p>
    <w:p>
      <w:pPr>
        <w:spacing w:after="0" w:line="57"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Our ability to pursue the development of some of our drug-based candidates partially depends on the maintenance in force of the licensing agreements entered into with various institutes. We have licenses granted by</w:t>
      </w: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the CNRS, the University of Montpellier and/or the Institut Curie for certain patent and patent applications co-ownership rights resulting from cooperation with the CNRS, the University of Montpellier and the Institut Curie, which allowed obefazimod to be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059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These license contracts provide the possibility for the licensor to end an agreed exclusivity or terminate the contracts in certain events, including the event of non-payment of fees, a dispute over the validity of the patents</w:t>
      </w:r>
    </w:p>
    <w:p>
      <w:pPr>
        <w:ind w:left="300"/>
        <w:spacing w:after="0"/>
        <w:rPr>
          <w:sz w:val="20"/>
          <w:szCs w:val="20"/>
          <w:color w:val="auto"/>
        </w:rPr>
      </w:pPr>
      <w:r>
        <w:rPr>
          <w:rFonts w:ascii="Times New Roman" w:cs="Times New Roman" w:eastAsia="Times New Roman" w:hAnsi="Times New Roman"/>
          <w:sz w:val="18"/>
          <w:szCs w:val="18"/>
          <w:color w:val="auto"/>
        </w:rPr>
        <w:t>licensed or a violation by us of our obligations.</w:t>
      </w:r>
    </w:p>
    <w:p>
      <w:pPr>
        <w:spacing w:after="0" w:line="57"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We may from time to time be party to license or collaboration agreements with third parties to advance our research or allow commercialization of current or future drug candidates. Such agreements may impose numerous</w:t>
      </w: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w:t>
      </w:r>
    </w:p>
    <w:p>
      <w:pPr>
        <w:spacing w:after="0" w:line="2" w:lineRule="exact"/>
        <w:rPr>
          <w:sz w:val="20"/>
          <w:szCs w:val="20"/>
          <w:color w:val="auto"/>
        </w:rPr>
      </w:pPr>
    </w:p>
    <w:p>
      <w:pPr>
        <w:jc w:val="both"/>
        <w:ind w:left="300" w:right="359"/>
        <w:spacing w:after="0" w:line="218" w:lineRule="auto"/>
        <w:rPr>
          <w:sz w:val="20"/>
          <w:szCs w:val="20"/>
          <w:color w:val="auto"/>
        </w:rPr>
      </w:pPr>
      <w:r>
        <w:rPr>
          <w:rFonts w:ascii="Times New Roman" w:cs="Times New Roman" w:eastAsia="Times New Roman" w:hAnsi="Times New Roman"/>
          <w:sz w:val="18"/>
          <w:szCs w:val="18"/>
          <w:color w:val="auto"/>
        </w:rPr>
        <w:t>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64" w:lineRule="exact"/>
        <w:rPr>
          <w:sz w:val="20"/>
          <w:szCs w:val="20"/>
          <w:color w:val="auto"/>
        </w:rPr>
      </w:pPr>
    </w:p>
    <w:p>
      <w:pPr>
        <w:jc w:val="both"/>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Any termination of these licenses, or if the underlying licensed rights fail to provide the intended exclusivity, could result in the loss of significant rights and could harm our ability to commercialize our current or future drug candidates, and competitors or other third parties would have the freedom to seek regulatory approval of, and to</w:t>
      </w: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market, products identical to ours and we may be required to cease our development and commercialization of certain of our current or future drug candidates. Any of the foregoing could have a material adverse effect on our competitive position, business, financial conditions, results of operations, and prospects.</w:t>
      </w:r>
    </w:p>
    <w:p>
      <w:pPr>
        <w:sectPr>
          <w:pgSz w:w="11900" w:h="16838" w:orient="portrait"/>
          <w:cols w:equalWidth="0" w:num="1">
            <w:col w:w="9019"/>
          </w:cols>
          <w:pgMar w:left="1440" w:top="108" w:right="1440" w:bottom="0" w:gutter="0" w:footer="0" w:header="0"/>
        </w:sectPr>
      </w:pPr>
    </w:p>
    <w:bookmarkStart w:id="29" w:name="page30"/>
    <w:bookmarkEnd w:id="29"/>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0"/>
          <w:szCs w:val="30"/>
          <w:color w:val="auto"/>
          <w:vertAlign w:val="subscript"/>
        </w:rPr>
        <w:t>agreement,</w:t>
      </w:r>
      <w:r>
        <w:rPr>
          <w:rFonts w:ascii="Times New Roman" w:cs="Times New Roman" w:eastAsia="Times New Roman" w:hAnsi="Times New Roman"/>
          <w:sz w:val="16"/>
          <w:szCs w:val="16"/>
          <w:color w:val="auto"/>
        </w:rPr>
        <w:t>Disputes</w:t>
      </w:r>
      <w:r>
        <w:rPr>
          <w:rFonts w:ascii="Times New Roman" w:cs="Times New Roman" w:eastAsia="Times New Roman" w:hAnsi="Times New Roman"/>
          <w:sz w:val="30"/>
          <w:szCs w:val="30"/>
          <w:color w:val="auto"/>
          <w:vertAlign w:val="subscript"/>
        </w:rPr>
        <w:t>including:</w:t>
      </w:r>
      <w:r>
        <w:rPr>
          <w:rFonts w:ascii="Times New Roman" w:cs="Times New Roman" w:eastAsia="Times New Roman" w:hAnsi="Times New Roman"/>
          <w:sz w:val="16"/>
          <w:szCs w:val="16"/>
          <w:color w:val="auto"/>
        </w:rPr>
        <w:t>mayalso arise between us and our licensors regarding intellectual property subject to a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-129540</wp:posOffset>
            </wp:positionV>
            <wp:extent cx="7016115" cy="6002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67" w:lineRule="exact"/>
        <w:rPr>
          <w:sz w:val="20"/>
          <w:szCs w:val="20"/>
          <w:color w:val="auto"/>
        </w:rPr>
      </w:pPr>
    </w:p>
    <w:p>
      <w:pPr>
        <w:ind w:left="1280" w:hanging="328"/>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90" w:lineRule="exact"/>
        <w:rPr>
          <w:rFonts w:ascii="Times New Roman" w:cs="Times New Roman" w:eastAsia="Times New Roman" w:hAnsi="Times New Roman"/>
          <w:sz w:val="18"/>
          <w:szCs w:val="18"/>
          <w:color w:val="auto"/>
        </w:rPr>
      </w:pPr>
    </w:p>
    <w:p>
      <w:pPr>
        <w:ind w:left="1280" w:right="539" w:hanging="328"/>
        <w:spacing w:after="0" w:line="237"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0" w:lineRule="exact"/>
        <w:rPr>
          <w:rFonts w:ascii="Times New Roman" w:cs="Times New Roman" w:eastAsia="Times New Roman" w:hAnsi="Times New Roman"/>
          <w:sz w:val="18"/>
          <w:szCs w:val="18"/>
          <w:color w:val="auto"/>
        </w:rPr>
      </w:pPr>
    </w:p>
    <w:p>
      <w:pPr>
        <w:ind w:left="1280" w:right="959" w:hanging="328"/>
        <w:spacing w:after="0" w:line="250"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41" w:lineRule="exact"/>
        <w:rPr>
          <w:rFonts w:ascii="Times New Roman" w:cs="Times New Roman" w:eastAsia="Times New Roman" w:hAnsi="Times New Roman"/>
          <w:sz w:val="18"/>
          <w:szCs w:val="18"/>
          <w:color w:val="auto"/>
        </w:rPr>
      </w:pPr>
    </w:p>
    <w:p>
      <w:pPr>
        <w:ind w:left="1280" w:right="799" w:hanging="328"/>
        <w:spacing w:after="0" w:line="231"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drug candidates, and what activities satisfy those diligence obligations;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76" w:lineRule="exact"/>
        <w:rPr>
          <w:rFonts w:ascii="Times New Roman" w:cs="Times New Roman" w:eastAsia="Times New Roman" w:hAnsi="Times New Roman"/>
          <w:sz w:val="18"/>
          <w:szCs w:val="18"/>
          <w:color w:val="auto"/>
        </w:rPr>
      </w:pPr>
    </w:p>
    <w:p>
      <w:pPr>
        <w:ind w:left="1280" w:right="759" w:hanging="328"/>
        <w:spacing w:after="0" w:line="250"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4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In addition, the agreements under which we may license intellectual property or technology from third parties are likely to be complex, and certain provisions in such agreements may be susceptible to multiple interpretations.</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The adverse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our business, financial condition, results of operations and prospects. Moreover, if disputes over intellectual property that we have licensed or may license prevent or impair our ability to maintain future licensing arrangements on acceptable terms, we may be unable to successfully develop and commercialize the affected current or future drug</w:t>
      </w:r>
    </w:p>
    <w:p>
      <w:pPr>
        <w:spacing w:after="0" w:line="2" w:lineRule="exact"/>
        <w:rPr>
          <w:sz w:val="20"/>
          <w:szCs w:val="20"/>
          <w:color w:val="auto"/>
        </w:rPr>
      </w:pP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candidates, which could have a material adverse effect on our business, financial conditions, results of operations and prospects.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infringing or misappropriating the intellectual property rights of third parties, and if we are,</w:t>
      </w:r>
    </w:p>
    <w:p>
      <w:pPr>
        <w:spacing w:after="0" w:line="6" w:lineRule="exact"/>
        <w:rPr>
          <w:sz w:val="20"/>
          <w:szCs w:val="20"/>
          <w:color w:val="auto"/>
        </w:rPr>
      </w:pPr>
    </w:p>
    <w:p>
      <w:pPr>
        <w:ind w:left="300" w:right="129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such litigation could be costly and time consuming and could prevent or delay us from developing or commercializing our drug candidates.</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commercial success will also depend on our ability to develop products and technologies that do not</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infringe the patents or other rights of third parties. It is important for the success of our business that we are able to use our products and conduct research and development efforts leading to commercialization of our products without infringing patents or other third-party rights.</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We continue to carry out, as we have done to date, the preliminary studies that we consider necessary in view of the above risks, before investing in the development of our various products and technologies. With the help of intellectual property consulting and law firms, we monitor our competitors’ activity (particularly with respect to</w:t>
      </w:r>
    </w:p>
    <w:p>
      <w:pPr>
        <w:ind w:left="300"/>
        <w:spacing w:after="0"/>
        <w:rPr>
          <w:sz w:val="20"/>
          <w:szCs w:val="20"/>
          <w:color w:val="auto"/>
        </w:rPr>
      </w:pPr>
      <w:r>
        <w:rPr>
          <w:rFonts w:ascii="Times New Roman" w:cs="Times New Roman" w:eastAsia="Times New Roman" w:hAnsi="Times New Roman"/>
          <w:sz w:val="18"/>
          <w:szCs w:val="18"/>
          <w:color w:val="auto"/>
        </w:rPr>
        <w:t>patent filings).</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therefore cannot guarantee with certainty that:</w:t>
      </w:r>
    </w:p>
    <w:p>
      <w:pPr>
        <w:spacing w:after="0" w:line="77" w:lineRule="exact"/>
        <w:rPr>
          <w:sz w:val="20"/>
          <w:szCs w:val="20"/>
          <w:color w:val="auto"/>
        </w:rPr>
      </w:pPr>
    </w:p>
    <w:p>
      <w:pPr>
        <w:ind w:left="1280" w:right="419" w:hanging="328"/>
        <w:spacing w:after="0" w:line="247" w:lineRule="auto"/>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prior patents or other intellectual property rights of third parties covering certain of our products, methods, technologies, results or activities and that, consequently, third parties might bring an action for infringement or violation of their rights against us with a view to obtaining damages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431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right="379"/>
        <w:spacing w:after="0" w:line="237" w:lineRule="auto"/>
        <w:rPr>
          <w:sz w:val="20"/>
          <w:szCs w:val="20"/>
          <w:color w:val="auto"/>
        </w:rPr>
      </w:pPr>
      <w:r>
        <w:rPr>
          <w:rFonts w:ascii="Times New Roman" w:cs="Times New Roman" w:eastAsia="Times New Roman" w:hAnsi="Times New Roman"/>
          <w:sz w:val="18"/>
          <w:szCs w:val="18"/>
          <w:color w:val="auto"/>
        </w:rPr>
        <w:t>interest and/or the cessation of our activities in the manufacture and/or commercialization of products, methods and the like thus disputed;</w:t>
      </w:r>
    </w:p>
    <w:p>
      <w:pPr>
        <w:spacing w:after="0" w:line="64" w:lineRule="exact"/>
        <w:rPr>
          <w:sz w:val="20"/>
          <w:szCs w:val="20"/>
          <w:color w:val="auto"/>
        </w:rPr>
      </w:pPr>
    </w:p>
    <w:p>
      <w:pPr>
        <w:ind w:left="1280" w:right="1039" w:hanging="328"/>
        <w:spacing w:after="0" w:line="237"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trademark rights or other prior rights of third parties that could be the basis of an infringement or liability action against us; and</w:t>
      </w:r>
    </w:p>
    <w:p>
      <w:pPr>
        <w:spacing w:after="0" w:line="50" w:lineRule="exact"/>
        <w:rPr>
          <w:rFonts w:ascii="Times New Roman" w:cs="Times New Roman" w:eastAsia="Times New Roman" w:hAnsi="Times New Roman"/>
          <w:sz w:val="18"/>
          <w:szCs w:val="18"/>
          <w:color w:val="auto"/>
        </w:rPr>
      </w:pPr>
    </w:p>
    <w:p>
      <w:pPr>
        <w:ind w:left="1280" w:right="339" w:hanging="328"/>
        <w:spacing w:after="0" w:line="231"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domain names are not subject, on the part of third parties who have prior rights (for example trademark rights), to a Uniform Domain-Name Dispute-Resolution Policy (“UDRP”) or similar policy, or an infringement action.</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the event of intellectual property litigation, we may have to:</w:t>
      </w:r>
    </w:p>
    <w:p>
      <w:pPr>
        <w:spacing w:after="0" w:line="90" w:lineRule="exact"/>
        <w:rPr>
          <w:sz w:val="20"/>
          <w:szCs w:val="20"/>
          <w:color w:val="auto"/>
        </w:rPr>
      </w:pPr>
    </w:p>
    <w:p>
      <w:pPr>
        <w:ind w:left="1280" w:right="519" w:hanging="328"/>
        <w:spacing w:after="0" w:line="237"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developing, making, selling, offering for sale or using the product or products that depended on the disputed intellectual property;</w:t>
      </w:r>
    </w:p>
    <w:p>
      <w:pPr>
        <w:spacing w:after="0" w:line="50" w:lineRule="exact"/>
        <w:rPr>
          <w:rFonts w:ascii="Times New Roman" w:cs="Times New Roman" w:eastAsia="Times New Roman" w:hAnsi="Times New Roman"/>
          <w:sz w:val="18"/>
          <w:szCs w:val="18"/>
          <w:color w:val="auto"/>
        </w:rPr>
      </w:pPr>
    </w:p>
    <w:p>
      <w:pPr>
        <w:ind w:left="1280" w:right="679" w:hanging="328"/>
        <w:spacing w:after="0" w:line="250"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intellectual property rights, however, such a license may be unobtainable or only be obtainable under unfavorable economic conditions for us; or</w:t>
      </w:r>
    </w:p>
    <w:p>
      <w:pPr>
        <w:spacing w:after="0" w:line="41" w:lineRule="exact"/>
        <w:rPr>
          <w:rFonts w:ascii="Times New Roman" w:cs="Times New Roman" w:eastAsia="Times New Roman" w:hAnsi="Times New Roman"/>
          <w:sz w:val="18"/>
          <w:szCs w:val="18"/>
          <w:color w:val="auto"/>
        </w:rPr>
      </w:pPr>
    </w:p>
    <w:p>
      <w:pPr>
        <w:ind w:left="1280" w:right="659" w:hanging="328"/>
        <w:spacing w:after="0" w:line="231"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design of some of our products/technologies or, in the case of trademark applications, rename our products to avoid infringing the intellectual property rights of third parties, which may prove impossible or time-consuming and expensive, and could impact our marketing efforts.</w:t>
      </w:r>
    </w:p>
    <w:p>
      <w:pPr>
        <w:spacing w:after="0" w:line="50" w:lineRule="exact"/>
        <w:rPr>
          <w:sz w:val="20"/>
          <w:szCs w:val="20"/>
          <w:color w:val="auto"/>
        </w:rPr>
      </w:pPr>
    </w:p>
    <w:p>
      <w:pPr>
        <w:ind w:left="300" w:right="1059" w:firstLine="441"/>
        <w:spacing w:after="0" w:line="237" w:lineRule="auto"/>
        <w:rPr>
          <w:sz w:val="20"/>
          <w:szCs w:val="20"/>
          <w:color w:val="auto"/>
        </w:rPr>
      </w:pPr>
      <w:r>
        <w:rPr>
          <w:rFonts w:ascii="Times New Roman" w:cs="Times New Roman" w:eastAsia="Times New Roman" w:hAnsi="Times New Roman"/>
          <w:sz w:val="18"/>
          <w:szCs w:val="18"/>
          <w:color w:val="auto"/>
        </w:rPr>
        <w:t>Litigation can also result in an order to pay damages (including treble damages) and being subject to injunctions.</w:t>
      </w:r>
    </w:p>
    <w:p>
      <w:pPr>
        <w:spacing w:after="0" w:line="60"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drugs for an adequate amount of time, and we may seek to rely, but may not be able to rely, on other forms of protection, such as regulatory exclusivity.</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patents protecting such candidates might expire before or shortly after such candidates are commercialized. For example, the certain patents protecting obefazimod’s composition of matter expire in 2030 and the certain patents protecting obefazimod methods of use expire in 2035 which pose a risk to its successful commercialization. We</w:t>
      </w:r>
    </w:p>
    <w:p>
      <w:pPr>
        <w:spacing w:after="0" w:line="2" w:lineRule="exact"/>
        <w:rPr>
          <w:sz w:val="20"/>
          <w:szCs w:val="20"/>
          <w:color w:val="auto"/>
        </w:rPr>
      </w:pPr>
    </w:p>
    <w:p>
      <w:pPr>
        <w:ind w:left="300" w:right="299"/>
        <w:spacing w:after="0" w:line="231" w:lineRule="auto"/>
        <w:rPr>
          <w:sz w:val="20"/>
          <w:szCs w:val="20"/>
          <w:color w:val="auto"/>
        </w:rPr>
      </w:pPr>
      <w:r>
        <w:rPr>
          <w:rFonts w:ascii="Times New Roman" w:cs="Times New Roman" w:eastAsia="Times New Roman" w:hAnsi="Times New Roman"/>
          <w:sz w:val="17"/>
          <w:szCs w:val="17"/>
          <w:color w:val="auto"/>
        </w:rPr>
        <w:t>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w:t>
      </w:r>
    </w:p>
    <w:p>
      <w:pPr>
        <w:sectPr>
          <w:pgSz w:w="11900" w:h="16904" w:orient="portrait"/>
          <w:cols w:equalWidth="0" w:num="1">
            <w:col w:w="9019"/>
          </w:cols>
          <w:pgMar w:left="1440" w:top="0" w:right="1440" w:bottom="0" w:gutter="0" w:footer="0" w:header="0"/>
        </w:sectPr>
      </w:pPr>
    </w:p>
    <w:bookmarkStart w:id="30" w:name="page31"/>
    <w:bookmarkEnd w:id="30"/>
    <w:p>
      <w:pPr>
        <w:spacing w:after="0" w:line="65" w:lineRule="exact"/>
        <w:rPr>
          <w:sz w:val="20"/>
          <w:szCs w:val="20"/>
          <w:color w:val="auto"/>
        </w:rPr>
      </w:pPr>
    </w:p>
    <w:p>
      <w:pPr>
        <w:ind w:left="300" w:right="319"/>
        <w:spacing w:after="0" w:line="211" w:lineRule="auto"/>
        <w:rPr>
          <w:sz w:val="20"/>
          <w:szCs w:val="20"/>
          <w:color w:val="auto"/>
        </w:rPr>
      </w:pPr>
      <w:r>
        <w:rPr>
          <w:rFonts w:ascii="Times New Roman" w:cs="Times New Roman" w:eastAsia="Times New Roman" w:hAnsi="Times New Roman"/>
          <w:sz w:val="17"/>
          <w:szCs w:val="17"/>
          <w:color w:val="auto"/>
        </w:rPr>
        <w:t>approved indication (or any additional indications approved during the period of extension). However, the applicable authorities, including the FDA and the USPTO in the United States, and any equivalent regulatory authority 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-197485</wp:posOffset>
            </wp:positionV>
            <wp:extent cx="7016115" cy="4631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countries, may not agree with our assessment of whether such extensions are available, and may refuse to grant</w:t>
      </w:r>
    </w:p>
    <w:p>
      <w:pPr>
        <w:spacing w:after="0" w:line="1" w:lineRule="exact"/>
        <w:rPr>
          <w:sz w:val="20"/>
          <w:szCs w:val="20"/>
          <w:color w:val="auto"/>
        </w:rPr>
      </w:pPr>
    </w:p>
    <w:p>
      <w:pPr>
        <w:jc w:val="both"/>
        <w:ind w:left="300" w:right="379"/>
        <w:spacing w:after="0" w:line="218" w:lineRule="auto"/>
        <w:rPr>
          <w:sz w:val="20"/>
          <w:szCs w:val="20"/>
          <w:color w:val="auto"/>
        </w:rPr>
      </w:pPr>
      <w:r>
        <w:rPr>
          <w:rFonts w:ascii="Times New Roman" w:cs="Times New Roman" w:eastAsia="Times New Roman" w:hAnsi="Times New Roman"/>
          <w:sz w:val="18"/>
          <w:szCs w:val="18"/>
          <w:color w:val="auto"/>
        </w:rPr>
        <w:t>extensions to our patents, or may grant more limited extensions than we request. We may also seek to rely on other forms of protection, such as regulatory exclusivity, but there can be no assurance that such other forms of protection will be available or sufficient.</w:t>
      </w:r>
    </w:p>
    <w:p>
      <w:pPr>
        <w:spacing w:after="0" w:line="60" w:lineRule="exact"/>
        <w:rPr>
          <w:sz w:val="20"/>
          <w:szCs w:val="20"/>
          <w:color w:val="auto"/>
        </w:rPr>
      </w:pPr>
    </w:p>
    <w:p>
      <w:pPr>
        <w:ind w:left="300" w:right="53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5"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Filing, prosecuting and defending patents on our drug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drugs</w:t>
      </w:r>
    </w:p>
    <w:p>
      <w:pPr>
        <w:spacing w:after="0" w:line="2" w:lineRule="exact"/>
        <w:rPr>
          <w:sz w:val="20"/>
          <w:szCs w:val="20"/>
          <w:color w:val="auto"/>
        </w:rPr>
      </w:pPr>
    </w:p>
    <w:p>
      <w:pPr>
        <w:ind w:left="300" w:right="939"/>
        <w:spacing w:after="0" w:line="231" w:lineRule="auto"/>
        <w:rPr>
          <w:sz w:val="20"/>
          <w:szCs w:val="20"/>
          <w:color w:val="auto"/>
        </w:rPr>
      </w:pPr>
      <w:r>
        <w:rPr>
          <w:rFonts w:ascii="Times New Roman" w:cs="Times New Roman" w:eastAsia="Times New Roman" w:hAnsi="Times New Roman"/>
          <w:sz w:val="17"/>
          <w:szCs w:val="17"/>
          <w:color w:val="auto"/>
        </w:rPr>
        <w:t>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64" w:lineRule="exact"/>
        <w:rPr>
          <w:sz w:val="20"/>
          <w:szCs w:val="20"/>
          <w:color w:val="auto"/>
        </w:rPr>
      </w:pPr>
    </w:p>
    <w:p>
      <w:pPr>
        <w:jc w:val="both"/>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In addition, the laws of some foreign countries do not protect intellectual property rights to the same extent as the federal and state laws in the United States. Many companies have encountered significant problems in protecting and defending intellectual property rights in certain foreign jurisdictions. The legal systems of some countries,</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particularly developing countries, do not favor the enforcement of patents and other intellectual property protection, especially those relating to biopharmaceuticals or biotechnologies. This could make it difficult for us to stop the infringement of our patents, if obtained, or the misappropriation of our other intellectual property rights. For</w:t>
      </w:r>
    </w:p>
    <w:p>
      <w:pPr>
        <w:spacing w:after="0" w:line="2" w:lineRule="exact"/>
        <w:rPr>
          <w:sz w:val="20"/>
          <w:szCs w:val="20"/>
          <w:color w:val="auto"/>
        </w:rPr>
      </w:pP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2" w:lineRule="exact"/>
        <w:rPr>
          <w:sz w:val="20"/>
          <w:szCs w:val="20"/>
          <w:color w:val="auto"/>
        </w:rPr>
      </w:pPr>
    </w:p>
    <w:p>
      <w:pPr>
        <w:ind w:left="300" w:right="559"/>
        <w:spacing w:after="0" w:line="218" w:lineRule="auto"/>
        <w:rPr>
          <w:sz w:val="20"/>
          <w:szCs w:val="20"/>
          <w:color w:val="auto"/>
        </w:rPr>
      </w:pPr>
      <w:r>
        <w:rPr>
          <w:rFonts w:ascii="Times New Roman" w:cs="Times New Roman" w:eastAsia="Times New Roman" w:hAnsi="Times New Roman"/>
          <w:sz w:val="18"/>
          <w:szCs w:val="18"/>
          <w:color w:val="auto"/>
        </w:rPr>
        <w:t>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802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could put our patents at risk of being invalidated or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interpreted narrowly, could put our patent applications at risk of not being issued and could provoke third parties to assert claims against us. We may not prevail in any lawsuits that we initiate and the damages or other remedies awarded, if any, may not be commercially meaningful. In addition, changes in the law and legal decisions by courts</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in the United States and foreign countries may affect our ability to obtain adequate protection for our technology and the enforcement of our intellectual property. In addition, monitoring the unauthorized use of our products and technology and the infringement of our intellectual property rights is challenging. We cannot guarantee with</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certainty that we will be able to prevent, take legal action against and obtain compensation for infringement, misappropriation or unauthorized use of our products and technologies, particularly in foreign countries where our rights are less well protected because of the territorial scope of intellectual property rights. Accordingly, our efforts</w:t>
      </w:r>
    </w:p>
    <w:p>
      <w:pPr>
        <w:spacing w:after="0" w:line="2" w:lineRule="exact"/>
        <w:rPr>
          <w:sz w:val="20"/>
          <w:szCs w:val="20"/>
          <w:color w:val="auto"/>
        </w:rPr>
      </w:pP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to enforce our intellectual property rights around the world may be inadequate to obtain a significant commercial advantage from the intellectual property that we develop or license.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Further, in Europe, a new unitary patent system took effect June 1, 2023, which significantly impacts</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currently little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w:t>
      </w:r>
    </w:p>
    <w:p>
      <w:pPr>
        <w:ind w:left="300"/>
        <w:spacing w:after="0" w:line="206" w:lineRule="auto"/>
        <w:rPr>
          <w:sz w:val="20"/>
          <w:szCs w:val="20"/>
          <w:color w:val="auto"/>
        </w:rPr>
      </w:pPr>
      <w:r>
        <w:rPr>
          <w:rFonts w:ascii="Times New Roman" w:cs="Times New Roman" w:eastAsia="Times New Roman" w:hAnsi="Times New Roman"/>
          <w:sz w:val="18"/>
          <w:szCs w:val="18"/>
          <w:color w:val="auto"/>
        </w:rPr>
        <w:t>revocation challenge that, if successful, could invalidate the patent in all countries who are signatories to the UPC.</w:t>
      </w:r>
    </w:p>
    <w:p>
      <w:pPr>
        <w:ind w:left="300"/>
        <w:spacing w:after="0"/>
        <w:rPr>
          <w:sz w:val="20"/>
          <w:szCs w:val="20"/>
          <w:color w:val="auto"/>
        </w:rPr>
      </w:pPr>
      <w:r>
        <w:rPr>
          <w:rFonts w:ascii="Times New Roman" w:cs="Times New Roman" w:eastAsia="Times New Roman" w:hAnsi="Times New Roman"/>
          <w:sz w:val="18"/>
          <w:szCs w:val="18"/>
          <w:color w:val="auto"/>
        </w:rPr>
        <w:t>We cannot predict with certainty the long-term effects of these changes.</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w:t>
      </w:r>
    </w:p>
    <w:p>
      <w:pPr>
        <w:spacing w:after="0" w:line="2" w:lineRule="exact"/>
        <w:rPr>
          <w:sz w:val="20"/>
          <w:szCs w:val="20"/>
          <w:color w:val="auto"/>
        </w:rPr>
      </w:pPr>
    </w:p>
    <w:p>
      <w:pPr>
        <w:jc w:val="both"/>
        <w:ind w:left="300" w:right="439"/>
        <w:spacing w:after="0" w:line="220" w:lineRule="auto"/>
        <w:rPr>
          <w:sz w:val="20"/>
          <w:szCs w:val="20"/>
          <w:color w:val="auto"/>
        </w:rPr>
      </w:pPr>
      <w:r>
        <w:rPr>
          <w:rFonts w:ascii="Times New Roman" w:cs="Times New Roman" w:eastAsia="Times New Roman" w:hAnsi="Times New Roman"/>
          <w:sz w:val="17"/>
          <w:szCs w:val="17"/>
          <w:color w:val="auto"/>
        </w:rPr>
        <w:t>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w:t>
      </w:r>
    </w:p>
    <w:p>
      <w:pPr>
        <w:spacing w:after="0" w:line="2" w:lineRule="exact"/>
        <w:rPr>
          <w:sz w:val="20"/>
          <w:szCs w:val="20"/>
          <w:color w:val="auto"/>
        </w:rPr>
      </w:pPr>
    </w:p>
    <w:p>
      <w:pPr>
        <w:ind w:left="300" w:right="759"/>
        <w:spacing w:after="0" w:line="226" w:lineRule="auto"/>
        <w:rPr>
          <w:sz w:val="20"/>
          <w:szCs w:val="20"/>
          <w:color w:val="auto"/>
        </w:rPr>
      </w:pPr>
      <w:r>
        <w:rPr>
          <w:rFonts w:ascii="Times New Roman" w:cs="Times New Roman" w:eastAsia="Times New Roman" w:hAnsi="Times New Roman"/>
          <w:sz w:val="18"/>
          <w:szCs w:val="18"/>
          <w:color w:val="auto"/>
        </w:rPr>
        <w:t>made using our inventions in and into Russia. Accordingly, our competitive position may be impaired, and our business, financial condition, results of operations and prospects may be adversely affected.</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by us or our partners that develop trademarks</w:t>
      </w:r>
    </w:p>
    <w:p>
      <w:pPr>
        <w:spacing w:after="0" w:line="6" w:lineRule="exact"/>
        <w:rPr>
          <w:sz w:val="20"/>
          <w:szCs w:val="20"/>
          <w:color w:val="auto"/>
        </w:rPr>
      </w:pPr>
    </w:p>
    <w:p>
      <w:pPr>
        <w:ind w:left="300" w:right="51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for our future products, then we may not be able to build name or brand recognition in our markets of interest, and our business may be adversely affected.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registered or unregistered trademarks and trade names and the registered or unregistered trademarks and</w:t>
      </w:r>
    </w:p>
    <w:p>
      <w:pPr>
        <w:spacing w:after="0" w:line="2" w:lineRule="exact"/>
        <w:rPr>
          <w:sz w:val="20"/>
          <w:szCs w:val="20"/>
          <w:color w:val="auto"/>
        </w:rPr>
      </w:pPr>
    </w:p>
    <w:p>
      <w:pPr>
        <w:ind w:left="300" w:right="479"/>
        <w:spacing w:after="0" w:line="231" w:lineRule="auto"/>
        <w:rPr>
          <w:sz w:val="20"/>
          <w:szCs w:val="20"/>
          <w:color w:val="auto"/>
        </w:rPr>
      </w:pPr>
      <w:r>
        <w:rPr>
          <w:rFonts w:ascii="Times New Roman" w:cs="Times New Roman" w:eastAsia="Times New Roman" w:hAnsi="Times New Roman"/>
          <w:sz w:val="17"/>
          <w:szCs w:val="17"/>
          <w:color w:val="auto"/>
        </w:rPr>
        <w:t>trade names that our partners will develop may be challenged, infringed, diluted, circumvented or declared generic or determined to be infringing on other marks. We and our partners may not be able to protect our rights to these trademarks and trade names, which we need to build name and brand recognition among potential partners or</w:t>
      </w:r>
    </w:p>
    <w:p>
      <w:pPr>
        <w:sectPr>
          <w:pgSz w:w="11900" w:h="16904" w:orient="portrait"/>
          <w:cols w:equalWidth="0" w:num="1">
            <w:col w:w="9019"/>
          </w:cols>
          <w:pgMar w:left="1440" w:top="108" w:right="1440" w:bottom="0" w:gutter="0" w:footer="0" w:header="0"/>
        </w:sectPr>
      </w:pPr>
    </w:p>
    <w:bookmarkStart w:id="31" w:name="page32"/>
    <w:bookmarkEnd w:id="31"/>
    <w:p>
      <w:pPr>
        <w:spacing w:after="0" w:line="65" w:lineRule="exact"/>
        <w:rPr>
          <w:sz w:val="20"/>
          <w:szCs w:val="20"/>
          <w:color w:val="auto"/>
        </w:rPr>
      </w:pPr>
    </w:p>
    <w:p>
      <w:pPr>
        <w:ind w:left="300" w:right="359"/>
        <w:spacing w:after="0" w:line="211" w:lineRule="auto"/>
        <w:rPr>
          <w:sz w:val="20"/>
          <w:szCs w:val="20"/>
          <w:color w:val="auto"/>
        </w:rPr>
      </w:pPr>
      <w:r>
        <w:rPr>
          <w:rFonts w:ascii="Times New Roman" w:cs="Times New Roman" w:eastAsia="Times New Roman" w:hAnsi="Times New Roman"/>
          <w:sz w:val="17"/>
          <w:szCs w:val="17"/>
          <w:color w:val="auto"/>
        </w:rPr>
        <w:t>customers in our markets of interest. We expect to rely on our partners to protect the trade names and trademarks that they will develop, and they may not adequately protect such tradenames and trademarks, and we may have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-197485</wp:posOffset>
            </wp:positionV>
            <wp:extent cx="7016115" cy="32594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or no recourse in respect thereof. At times, competitors may adopt trademarks and trade names similar to ours,</w:t>
      </w:r>
    </w:p>
    <w:p>
      <w:pPr>
        <w:spacing w:after="0" w:line="1"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thereby impeding our ability to build brand identity and possibly leading to market confusion. During the trademark registration process, we may receive Office Actions from the USPTO or from comparable agencies in foreign jurisdictions objecting to the registration of our trademark. Although we would be given an opportunity to respond</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filed against our trademark applications or registrations, and our trademark applications or registrations may not survive such proceedings. In addition, there could be potential trademark infringement claims brought by owners of other registered trademarks or trademarks that incorporate variations of our registered or unregistered trademarks.</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Over the long term, if we are unable to establish name and brand recognition based on our trademarks, then we may not be able to compete effectively and our business may be adversely affected.</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w:t>
      </w:r>
    </w:p>
    <w:p>
      <w:pPr>
        <w:spacing w:after="0" w:line="6" w:lineRule="exact"/>
        <w:rPr>
          <w:sz w:val="20"/>
          <w:szCs w:val="20"/>
          <w:color w:val="auto"/>
        </w:rPr>
      </w:pPr>
    </w:p>
    <w:p>
      <w:pPr>
        <w:ind w:left="300" w:right="81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w:t>
      </w:r>
    </w:p>
    <w:p>
      <w:pPr>
        <w:spacing w:after="0" w:line="2" w:lineRule="exact"/>
        <w:rPr>
          <w:sz w:val="20"/>
          <w:szCs w:val="20"/>
          <w:color w:val="auto"/>
        </w:rPr>
      </w:pPr>
    </w:p>
    <w:p>
      <w:pPr>
        <w:ind w:left="300" w:right="519"/>
        <w:spacing w:after="0" w:line="239" w:lineRule="auto"/>
        <w:rPr>
          <w:sz w:val="20"/>
          <w:szCs w:val="20"/>
          <w:color w:val="auto"/>
        </w:rPr>
      </w:pPr>
      <w:r>
        <w:rPr>
          <w:rFonts w:ascii="Times New Roman" w:cs="Times New Roman" w:eastAsia="Times New Roman" w:hAnsi="Times New Roman"/>
          <w:sz w:val="17"/>
          <w:szCs w:val="17"/>
          <w:color w:val="auto"/>
        </w:rPr>
        <w:t>applications are required to be paid to the USPTO and various governmental patent agencies outside of the United States in several stages over the lifetime of the patents and applications. The USPTO and various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174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spacing w:after="0" w:line="236" w:lineRule="auto"/>
        <w:rPr>
          <w:sz w:val="20"/>
          <w:szCs w:val="20"/>
          <w:color w:val="auto"/>
        </w:rPr>
      </w:pPr>
      <w:r>
        <w:rPr>
          <w:rFonts w:ascii="Times New Roman" w:cs="Times New Roman" w:eastAsia="Times New Roman" w:hAnsi="Times New Roman"/>
          <w:sz w:val="17"/>
          <w:szCs w:val="17"/>
          <w:color w:val="auto"/>
        </w:rPr>
        <w:t>governmental patent agencies require compliance with a number of procedural, documentary, fee payment and other similar provisions during the patent application process and after a patent has issued. There are situations in which</w:t>
      </w:r>
    </w:p>
    <w:p>
      <w:pPr>
        <w:ind w:left="300" w:right="939"/>
        <w:spacing w:after="0" w:line="226" w:lineRule="auto"/>
        <w:rPr>
          <w:sz w:val="20"/>
          <w:szCs w:val="20"/>
          <w:color w:val="auto"/>
        </w:rPr>
      </w:pPr>
      <w:r>
        <w:rPr>
          <w:rFonts w:ascii="Times New Roman" w:cs="Times New Roman" w:eastAsia="Times New Roman" w:hAnsi="Times New Roman"/>
          <w:sz w:val="18"/>
          <w:szCs w:val="18"/>
          <w:color w:val="auto"/>
        </w:rPr>
        <w:t>non-compliance can result in abandonment or lapse of the patent or patent application, resulting in partial or complete loss of patent rights in the relevant jurisdiction.</w:t>
      </w:r>
    </w:p>
    <w:p>
      <w:pPr>
        <w:spacing w:after="0" w:line="45"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could be harmed.</w:t>
      </w:r>
    </w:p>
    <w:p>
      <w:pPr>
        <w:spacing w:after="0" w:line="37" w:lineRule="exact"/>
        <w:rPr>
          <w:sz w:val="20"/>
          <w:szCs w:val="20"/>
          <w:color w:val="auto"/>
        </w:rPr>
      </w:pPr>
    </w:p>
    <w:p>
      <w:pPr>
        <w:ind w:left="300" w:right="719" w:firstLine="441"/>
        <w:spacing w:after="0" w:line="236" w:lineRule="auto"/>
        <w:rPr>
          <w:sz w:val="20"/>
          <w:szCs w:val="20"/>
          <w:color w:val="auto"/>
        </w:rPr>
      </w:pPr>
      <w:r>
        <w:rPr>
          <w:rFonts w:ascii="Times New Roman" w:cs="Times New Roman" w:eastAsia="Times New Roman" w:hAnsi="Times New Roman"/>
          <w:sz w:val="17"/>
          <w:szCs w:val="17"/>
          <w:color w:val="auto"/>
        </w:rPr>
        <w:t>In addition to seeking patent protection for our drug candidates, we also rely on trade secrets, including unpatented know-how, technology and other proprietary information, to establish and maintain our competitive</w:t>
      </w:r>
    </w:p>
    <w:p>
      <w:pPr>
        <w:ind w:left="300"/>
        <w:spacing w:after="0"/>
        <w:rPr>
          <w:sz w:val="20"/>
          <w:szCs w:val="20"/>
          <w:color w:val="auto"/>
        </w:rPr>
      </w:pPr>
      <w:r>
        <w:rPr>
          <w:rFonts w:ascii="Times New Roman" w:cs="Times New Roman" w:eastAsia="Times New Roman" w:hAnsi="Times New Roman"/>
          <w:sz w:val="18"/>
          <w:szCs w:val="18"/>
          <w:color w:val="auto"/>
        </w:rPr>
        <w:t>position.</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It is also important for us to protect against the unauthorized use and disclosure of our confidential information, know-how and trade secrets. Unpatented and/or unpatentable technologies, processes, methods, know-</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how and data are considered trade secrets that we seek to protect, in part, by entering into non-disclosure and confidentiality agreements with parties who have access to them, such as our employees, collaborators, consultants, advisors, university and/or institutional researchers and other third parties. We also have entered or seek to enter into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confidentiality and invention or patent assignment agreements with our employees, advisors and consultants.</w:t>
      </w:r>
    </w:p>
    <w:p>
      <w:pPr>
        <w:spacing w:after="0" w:line="57" w:lineRule="exact"/>
        <w:rPr>
          <w:sz w:val="20"/>
          <w:szCs w:val="20"/>
          <w:color w:val="auto"/>
        </w:rPr>
      </w:pPr>
    </w:p>
    <w:p>
      <w:pPr>
        <w:ind w:left="300" w:right="359" w:firstLine="441"/>
        <w:spacing w:after="0" w:line="222" w:lineRule="auto"/>
        <w:rPr>
          <w:sz w:val="20"/>
          <w:szCs w:val="20"/>
          <w:color w:val="auto"/>
        </w:rPr>
      </w:pPr>
      <w:r>
        <w:rPr>
          <w:rFonts w:ascii="Times New Roman" w:cs="Times New Roman" w:eastAsia="Times New Roman" w:hAnsi="Times New Roman"/>
          <w:sz w:val="18"/>
          <w:szCs w:val="18"/>
          <w:color w:val="auto"/>
        </w:rPr>
        <w:t>In the context of collaboration, partnership or research contracts, or other types of cooperation between us and researchers from academic institutions, and with other public or private entities, subcontractors, or any co-</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contracting third parties, various information and/or products may be entrusted to them in order to conduct certain tests and clinical trials. In such cases, we require that confidentiality agreements be signed. Furthermore, as a general rule, we take care that the collaboration or research contracts that we are party to give us access to full ownership or</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co-ownership of results and/or inventions resulting from the collaboration, or to an exclusive license based on these results and/or inventions resulting from the collaboration.</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Despite these efforts, counterparties may breach our agreements and disclose our proprietary information,</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p>
    <w:p>
      <w:pPr>
        <w:spacing w:after="0" w:line="2" w:lineRule="exact"/>
        <w:rPr>
          <w:sz w:val="20"/>
          <w:szCs w:val="20"/>
          <w:color w:val="auto"/>
        </w:rPr>
      </w:pPr>
    </w:p>
    <w:p>
      <w:pPr>
        <w:ind w:left="300" w:right="439"/>
        <w:spacing w:after="0" w:line="208" w:lineRule="auto"/>
        <w:rPr>
          <w:sz w:val="20"/>
          <w:szCs w:val="20"/>
          <w:color w:val="auto"/>
        </w:rPr>
      </w:pPr>
      <w:r>
        <w:rPr>
          <w:rFonts w:ascii="Times New Roman" w:cs="Times New Roman" w:eastAsia="Times New Roman" w:hAnsi="Times New Roman"/>
          <w:sz w:val="18"/>
          <w:szCs w:val="18"/>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w:t>
      </w:r>
    </w:p>
    <w:p>
      <w:pPr>
        <w:spacing w:after="0" w:line="2"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communicate it, from using that technology or information to compete with us. If any of our trade secrets were to be disclosed to, or independently developed by, a competitor, our competitive position would be harmed and our business may be adversely affected.</w:t>
      </w:r>
    </w:p>
    <w:p>
      <w:pPr>
        <w:spacing w:after="0" w:line="64" w:lineRule="exact"/>
        <w:rPr>
          <w:sz w:val="20"/>
          <w:szCs w:val="20"/>
          <w:color w:val="auto"/>
        </w:rPr>
      </w:pPr>
    </w:p>
    <w:p>
      <w:pPr>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There can be no assurance that the agreements put in place to protect our technology and trade secrets and/or the know-how being used will provide the protection sought or will not be violated, that we will have appropriate solutions for such violations, or that our trade secrets will not be disclosed to or independently developed by our</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competitors. In the context of contracts that we enter into with third parties, we sometimes take the precaution of providing that they are not authorized to use third-party services or that they may only do so with our prior approval. However, it cannot be ruled out that some of these co-contractors may nevertheless use third parties. In this event,</w:t>
      </w:r>
    </w:p>
    <w:p>
      <w:pPr>
        <w:spacing w:after="0" w:line="2" w:lineRule="exact"/>
        <w:rPr>
          <w:sz w:val="20"/>
          <w:szCs w:val="20"/>
          <w:color w:val="auto"/>
        </w:rPr>
      </w:pPr>
    </w:p>
    <w:p>
      <w:pPr>
        <w:ind w:left="300" w:right="639"/>
        <w:spacing w:after="0" w:line="218" w:lineRule="auto"/>
        <w:rPr>
          <w:sz w:val="20"/>
          <w:szCs w:val="20"/>
          <w:color w:val="auto"/>
        </w:rPr>
      </w:pPr>
      <w:r>
        <w:rPr>
          <w:rFonts w:ascii="Times New Roman" w:cs="Times New Roman" w:eastAsia="Times New Roman" w:hAnsi="Times New Roman"/>
          <w:sz w:val="18"/>
          <w:szCs w:val="18"/>
          <w:color w:val="auto"/>
        </w:rPr>
        <w:t>we have no control over the conditions under which third parties with which we do not contract protect their confidential information, irrespective of whether we provide in our agreements with our co-contractors that they undertake to pass on confidentiality obligations to their own co-contractors.</w:t>
      </w:r>
    </w:p>
    <w:p>
      <w:pPr>
        <w:spacing w:after="0" w:line="64" w:lineRule="exact"/>
        <w:rPr>
          <w:sz w:val="20"/>
          <w:szCs w:val="20"/>
          <w:color w:val="auto"/>
        </w:rPr>
      </w:pPr>
    </w:p>
    <w:p>
      <w:pPr>
        <w:ind w:left="300" w:right="679" w:firstLine="441"/>
        <w:spacing w:after="0" w:line="216" w:lineRule="auto"/>
        <w:rPr>
          <w:sz w:val="20"/>
          <w:szCs w:val="20"/>
          <w:color w:val="auto"/>
        </w:rPr>
      </w:pPr>
      <w:r>
        <w:rPr>
          <w:rFonts w:ascii="Times New Roman" w:cs="Times New Roman" w:eastAsia="Times New Roman" w:hAnsi="Times New Roman"/>
          <w:sz w:val="18"/>
          <w:szCs w:val="18"/>
          <w:color w:val="auto"/>
        </w:rPr>
        <w:t>Such contracts therefore expose us to the risk of having the third parties concerned (i) claim the benefit of intellectual property rights on our inventions or other intellectual property rights, (ii) fail to ensure the confidentiality of unpatented innovations or improvements of our confidential information and know-how,</w:t>
      </w:r>
    </w:p>
    <w:p>
      <w:pPr>
        <w:spacing w:after="0" w:line="1" w:lineRule="exact"/>
        <w:rPr>
          <w:sz w:val="20"/>
          <w:szCs w:val="20"/>
          <w:color w:val="auto"/>
        </w:rPr>
      </w:pPr>
    </w:p>
    <w:p>
      <w:pPr>
        <w:ind w:left="300" w:right="679" w:hanging="8"/>
        <w:spacing w:after="0" w:line="226" w:lineRule="auto"/>
        <w:tabs>
          <w:tab w:leader="none" w:pos="6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trade secrets to our competitors or independently develop these trade secrets and/or (iv) violate such agreements, without our having an appropriate solution for such violations.</w:t>
      </w:r>
    </w:p>
    <w:p>
      <w:pPr>
        <w:spacing w:after="0" w:line="49" w:lineRule="exact"/>
        <w:rPr>
          <w:sz w:val="20"/>
          <w:szCs w:val="20"/>
          <w:color w:val="auto"/>
        </w:rPr>
      </w:pPr>
    </w:p>
    <w:p>
      <w:pPr>
        <w:ind w:left="300" w:right="759" w:firstLine="441"/>
        <w:spacing w:after="0" w:line="250" w:lineRule="auto"/>
        <w:rPr>
          <w:sz w:val="20"/>
          <w:szCs w:val="20"/>
          <w:color w:val="auto"/>
        </w:rPr>
      </w:pPr>
      <w:r>
        <w:rPr>
          <w:rFonts w:ascii="Times New Roman" w:cs="Times New Roman" w:eastAsia="Times New Roman" w:hAnsi="Times New Roman"/>
          <w:sz w:val="18"/>
          <w:szCs w:val="18"/>
          <w:color w:val="auto"/>
        </w:rPr>
        <w:t>Consequently, our rights to our confidential information, trade secrets and know-how may not confer the expected protection against competition and we cannot guarantee with certainty that:</w:t>
      </w:r>
    </w:p>
    <w:p>
      <w:pPr>
        <w:spacing w:after="0" w:line="41" w:lineRule="exact"/>
        <w:rPr>
          <w:sz w:val="20"/>
          <w:szCs w:val="20"/>
          <w:color w:val="auto"/>
        </w:rPr>
      </w:pPr>
    </w:p>
    <w:p>
      <w:pPr>
        <w:ind w:left="1280" w:right="879" w:hanging="328"/>
        <w:spacing w:after="0" w:line="237" w:lineRule="auto"/>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knowledge and trade secrets will not be obtained, stolen, circumvented, transmitted or used without our authorization;</w:t>
      </w:r>
    </w:p>
    <w:p>
      <w:pPr>
        <w:sectPr>
          <w:pgSz w:w="11900" w:h="16903" w:orient="portrait"/>
          <w:cols w:equalWidth="0" w:num="1">
            <w:col w:w="9019"/>
          </w:cols>
          <w:pgMar w:left="1440" w:top="108" w:right="1440" w:bottom="0" w:gutter="0" w:footer="0" w:header="0"/>
        </w:sectPr>
      </w:pPr>
    </w:p>
    <w:bookmarkStart w:id="32" w:name="page33"/>
    <w:bookmarkEnd w:id="32"/>
    <w:p>
      <w:pPr>
        <w:ind w:left="1280" w:right="379" w:hanging="328"/>
        <w:spacing w:after="0" w:line="237"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t>our competitors have not already developed similar technologies or products, or ones similar in nature or purpose to ours;</w:t>
      </w:r>
    </w:p>
    <w:p>
      <w:pPr>
        <w:spacing w:after="0" w:line="50" w:lineRule="exact"/>
        <w:rPr>
          <w:rFonts w:ascii="Times New Roman" w:cs="Times New Roman" w:eastAsia="Times New Roman" w:hAnsi="Times New Roman"/>
          <w:sz w:val="18"/>
          <w:szCs w:val="18"/>
          <w:color w:val="auto"/>
        </w:rPr>
      </w:pPr>
    </w:p>
    <w:p>
      <w:pPr>
        <w:ind w:left="1280" w:right="339" w:hanging="328"/>
        <w:spacing w:after="0" w:line="231"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co-contracting party will claim the benefit of all or part of the intellectual property rights relating to inventions, knowledge or results that we hold in our own right or in co-ownership, or for which we would be entitled to a license; or</w:t>
      </w:r>
    </w:p>
    <w:p>
      <w:pPr>
        <w:spacing w:after="0" w:line="50" w:lineRule="exact"/>
        <w:rPr>
          <w:rFonts w:ascii="Times New Roman" w:cs="Times New Roman" w:eastAsia="Times New Roman" w:hAnsi="Times New Roman"/>
          <w:sz w:val="18"/>
          <w:szCs w:val="18"/>
          <w:color w:val="auto"/>
        </w:rPr>
      </w:pPr>
    </w:p>
    <w:p>
      <w:pPr>
        <w:ind w:left="1280" w:right="379" w:hanging="328"/>
        <w:spacing w:after="0" w:line="250"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will not claim rights or payment of additional compensation or fair price for inventions in the creation of which they participated.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545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79" w:firstLine="441"/>
        <w:spacing w:after="0" w:line="237" w:lineRule="auto"/>
        <w:rPr>
          <w:sz w:val="20"/>
          <w:szCs w:val="20"/>
          <w:color w:val="auto"/>
        </w:rPr>
      </w:pPr>
      <w:r>
        <w:rPr>
          <w:rFonts w:ascii="Times New Roman" w:cs="Times New Roman" w:eastAsia="Times New Roman" w:hAnsi="Times New Roman"/>
          <w:sz w:val="18"/>
          <w:szCs w:val="18"/>
          <w:color w:val="auto"/>
        </w:rPr>
        <w:t>The occurrence of one or more of these risks could have a material adverse effect on our business, outlook, financial position, income and growth.</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our competitive advantage.</w:t>
      </w:r>
    </w:p>
    <w:p>
      <w:pPr>
        <w:spacing w:after="0" w:line="81"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w:t>
      </w:r>
    </w:p>
    <w:p>
      <w:pPr>
        <w:ind w:left="300"/>
        <w:spacing w:after="0"/>
        <w:rPr>
          <w:sz w:val="20"/>
          <w:szCs w:val="20"/>
          <w:color w:val="auto"/>
        </w:rPr>
      </w:pPr>
      <w:r>
        <w:rPr>
          <w:rFonts w:ascii="Times New Roman" w:cs="Times New Roman" w:eastAsia="Times New Roman" w:hAnsi="Times New Roman"/>
          <w:sz w:val="18"/>
          <w:szCs w:val="18"/>
          <w:color w:val="auto"/>
        </w:rPr>
        <w:t>competitive advantage. The following examples are illustrative.</w:t>
      </w:r>
    </w:p>
    <w:p>
      <w:pPr>
        <w:spacing w:after="0" w:line="57" w:lineRule="exact"/>
        <w:rPr>
          <w:sz w:val="20"/>
          <w:szCs w:val="20"/>
          <w:color w:val="auto"/>
        </w:rPr>
      </w:pPr>
    </w:p>
    <w:p>
      <w:pPr>
        <w:ind w:left="1280" w:right="359" w:hanging="328"/>
        <w:spacing w:after="0" w:line="237"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formulate compositions that are similar to ours but that are not covered by our intellectual property rights.</w:t>
      </w:r>
    </w:p>
    <w:p>
      <w:pPr>
        <w:spacing w:after="0" w:line="63" w:lineRule="exact"/>
        <w:rPr>
          <w:rFonts w:ascii="Times New Roman" w:cs="Times New Roman" w:eastAsia="Times New Roman" w:hAnsi="Times New Roman"/>
          <w:sz w:val="18"/>
          <w:szCs w:val="18"/>
          <w:color w:val="auto"/>
        </w:rPr>
      </w:pPr>
    </w:p>
    <w:p>
      <w:pPr>
        <w:ind w:left="1280" w:right="479" w:hanging="328"/>
        <w:spacing w:after="0" w:line="263" w:lineRule="auto"/>
        <w:tabs>
          <w:tab w:leader="none" w:pos="1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may independently develop similar or alternative compositions or otherwise circumvent any of our applications or registrations without infringing our intellectual property rights.</w:t>
      </w:r>
    </w:p>
    <w:p>
      <w:pPr>
        <w:spacing w:after="0" w:line="30" w:lineRule="exact"/>
        <w:rPr>
          <w:rFonts w:ascii="Times New Roman" w:cs="Times New Roman" w:eastAsia="Times New Roman" w:hAnsi="Times New Roman"/>
          <w:sz w:val="17"/>
          <w:szCs w:val="17"/>
          <w:color w:val="auto"/>
        </w:rPr>
      </w:pPr>
    </w:p>
    <w:p>
      <w:pPr>
        <w:ind w:left="1280" w:right="459" w:hanging="328"/>
        <w:spacing w:after="0" w:line="226"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63" w:lineRule="exact"/>
        <w:rPr>
          <w:rFonts w:ascii="Times New Roman" w:cs="Times New Roman" w:eastAsia="Times New Roman" w:hAnsi="Times New Roman"/>
          <w:sz w:val="18"/>
          <w:szCs w:val="18"/>
          <w:color w:val="auto"/>
        </w:rPr>
      </w:pPr>
    </w:p>
    <w:p>
      <w:pPr>
        <w:ind w:left="1280" w:right="359" w:hanging="328"/>
        <w:spacing w:after="0" w:line="226"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file patent applications covering certain of the patents or patent applications that we or they own or have licensed, or will own or will have licensed.</w:t>
      </w:r>
    </w:p>
    <w:p>
      <w:pPr>
        <w:spacing w:after="0" w:line="63" w:lineRule="exact"/>
        <w:rPr>
          <w:rFonts w:ascii="Times New Roman" w:cs="Times New Roman" w:eastAsia="Times New Roman" w:hAnsi="Times New Roman"/>
          <w:sz w:val="18"/>
          <w:szCs w:val="18"/>
          <w:color w:val="auto"/>
        </w:rPr>
      </w:pPr>
    </w:p>
    <w:p>
      <w:pPr>
        <w:ind w:left="1280" w:right="339" w:hanging="328"/>
        <w:spacing w:after="0" w:line="237"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any pending patent applications that we have filed, or will file, will not lead to issued patents.</w:t>
      </w:r>
    </w:p>
    <w:p>
      <w:pPr>
        <w:spacing w:after="0" w:line="50" w:lineRule="exact"/>
        <w:rPr>
          <w:rFonts w:ascii="Times New Roman" w:cs="Times New Roman" w:eastAsia="Times New Roman" w:hAnsi="Times New Roman"/>
          <w:sz w:val="18"/>
          <w:szCs w:val="18"/>
          <w:color w:val="auto"/>
        </w:rPr>
      </w:pPr>
    </w:p>
    <w:p>
      <w:pPr>
        <w:ind w:left="1280" w:right="319" w:hanging="328"/>
        <w:spacing w:after="0" w:line="250"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41" w:lineRule="exact"/>
        <w:rPr>
          <w:rFonts w:ascii="Times New Roman" w:cs="Times New Roman" w:eastAsia="Times New Roman" w:hAnsi="Times New Roman"/>
          <w:sz w:val="18"/>
          <w:szCs w:val="18"/>
          <w:color w:val="auto"/>
        </w:rPr>
      </w:pPr>
    </w:p>
    <w:p>
      <w:pPr>
        <w:ind w:left="1280" w:right="359" w:hanging="328"/>
        <w:spacing w:after="0" w:line="224"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90" w:lineRule="exact"/>
        <w:rPr>
          <w:rFonts w:ascii="Times New Roman" w:cs="Times New Roman" w:eastAsia="Times New Roman" w:hAnsi="Times New Roman"/>
          <w:sz w:val="18"/>
          <w:szCs w:val="18"/>
          <w:color w:val="auto"/>
        </w:rPr>
      </w:pPr>
    </w:p>
    <w:p>
      <w:pPr>
        <w:ind w:left="1280" w:right="419" w:hanging="328"/>
        <w:spacing w:after="0" w:line="226"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on the patents of third parties or pending or future applications of third parties, if issued, and the patents of third parties or pending or future applications of third parties, if issued, may have an adverse effect on our business.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restrictive and changing regulatory framework.</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One of the major issues for a growing company like ours is to successfully develop, alone or with the help of</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partners, products incorporating our technologies in an increasingly restrictive regulatory environment. The pharmaceutical industry faces constant changes in its legal and regulatory environment and increased oversight by the competent authorities, such as the National Agency for Medicines and Health Products Safety (“ANSM”) in</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France and other national competent authorities of EU Member States and the EMA in the European Union, the FDA in the United States or the PMDA in Japan, and other regulatory authorities in the rest of the world. At the same time, the public is demanding more guarantees and transparency regarding drug safety and efficacy. This may</w:t>
      </w:r>
    </w:p>
    <w:p>
      <w:pPr>
        <w:spacing w:after="0" w:line="2" w:lineRule="exact"/>
        <w:rPr>
          <w:sz w:val="20"/>
          <w:szCs w:val="20"/>
          <w:color w:val="auto"/>
        </w:rPr>
      </w:pP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at any time lead to a more restrictive regulatory environment for our drug candidates which may have a material adverse effect on business, financial position, income, growth and outlook.</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Health authorities oversee preclinical studies, clinical trials, pharmaceutical operations of companies, and drug</w:t>
      </w:r>
    </w:p>
    <w:p>
      <w:pPr>
        <w:spacing w:after="0" w:line="14"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manufacturing, commercialization and distribution. This increasing stringency of the legislative and regulatory framework is common worldwide; however, requirements may vary from country to country. In particular, health authorities, especially the ANSM, EMA, FDA and PMDA, have imposed increasingly burdensome requirements in</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terms of the volume and quality of data required to demonstrate the efficacy and safety of a product. These increased requirements may have thus reduced the number of products authorized in comparison to the number of applications filed. The risk/benefit ratio of products on the market is also subject to continuous monitoring and periodic review</w:t>
      </w:r>
    </w:p>
    <w:p>
      <w:pPr>
        <w:spacing w:after="0" w:line="2"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after their authorization. The delayed discovery of problems not identified at the research and development or initial assessment stage can lead at any time to marketing restrictions, suspension of the marketing or withdrawal of the products from the market, and to an increased risk of litigation.</w:t>
      </w:r>
    </w:p>
    <w:p>
      <w:pPr>
        <w:spacing w:after="0" w:line="64"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Therefore, the authorization process is long and expensive; it can take many years and the result is not predictable and likely to continuously evolve. Insofar as new legal or regulatory provisions would result in an increase in the requirements and associated costs for obtaining and maintaining product marketing authorizations or</w:t>
      </w: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would limit the targeted indications for a product that a product targets or the economic value of a new product to its inventor, the growth prospects for the pharmaceutical industry, and us, could be reduced. If we experience delays</w:t>
      </w:r>
    </w:p>
    <w:p>
      <w:pPr>
        <w:sectPr>
          <w:pgSz w:w="11900" w:h="16838" w:orient="portrait"/>
          <w:cols w:equalWidth="0" w:num="1">
            <w:col w:w="9019"/>
          </w:cols>
          <w:pgMar w:left="1440" w:top="189" w:right="1440" w:bottom="42"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499" w:right="1440"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419"/>
        <w:spacing w:after="0" w:line="236" w:lineRule="auto"/>
        <w:rPr>
          <w:sz w:val="20"/>
          <w:szCs w:val="20"/>
          <w:color w:val="auto"/>
        </w:rPr>
      </w:pPr>
      <w:r>
        <w:rPr>
          <w:rFonts w:ascii="Times New Roman" w:cs="Times New Roman" w:eastAsia="Times New Roman" w:hAnsi="Times New Roman"/>
          <w:sz w:val="17"/>
          <w:szCs w:val="17"/>
          <w:color w:val="auto"/>
        </w:rPr>
        <w:t>completing, or if we terminate early, any of our clinical trials, or if we are required to conduct additional clinical trials, the commercial prospects for our drug candidates may be harmed and our ability to generate product revenue</w:t>
      </w: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will be delayed. The occurrence of one or more of these risks could have a material adverse effect on our business, outlook, financial position, income and growth.</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may require substantial compliance efforts and could</w:t>
      </w:r>
    </w:p>
    <w:p>
      <w:pPr>
        <w:spacing w:after="0" w:line="6"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expose us to criminal sanctions, civil and administrative penalties, contractual damages, reputational harm and diminished profits and future earnings, among other penalties.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Healthcare providers, including physicians, and others will play a primary role in the recommendation and</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prescription of our products, if approved. Our arrangements with such persons and third-party payors and our general business operations will expose us to broadly applicable fraud and abuse and other healthcare laws and regulations that may constrain the business or financial arrangements and relationships through which we research,</w:t>
      </w:r>
    </w:p>
    <w:p>
      <w:pPr>
        <w:spacing w:after="0" w:line="2" w:lineRule="exact"/>
        <w:rPr>
          <w:sz w:val="20"/>
          <w:szCs w:val="20"/>
          <w:color w:val="auto"/>
        </w:rPr>
      </w:pP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market, sell and distribute our drugs, if we obtain marketing approval. Restrictions under applicable U.S. federal, state and foreign healthcare laws and regulations include, but are not limited to, the following:</w:t>
      </w:r>
    </w:p>
    <w:p>
      <w:pPr>
        <w:spacing w:after="0" w:line="49" w:lineRule="exact"/>
        <w:rPr>
          <w:sz w:val="20"/>
          <w:szCs w:val="20"/>
          <w:color w:val="auto"/>
        </w:rPr>
      </w:pPr>
    </w:p>
    <w:p>
      <w:pPr>
        <w:ind w:left="1280" w:right="359" w:hanging="328"/>
        <w:spacing w:after="0" w:line="217"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or lease, order or recommendation of, any item, good, facility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66" w:lineRule="exact"/>
        <w:rPr>
          <w:rFonts w:ascii="Times New Roman" w:cs="Times New Roman" w:eastAsia="Times New Roman" w:hAnsi="Times New Roman"/>
          <w:sz w:val="18"/>
          <w:szCs w:val="18"/>
          <w:color w:val="auto"/>
        </w:rPr>
      </w:pPr>
    </w:p>
    <w:p>
      <w:pPr>
        <w:ind w:left="1280" w:right="299" w:hanging="328"/>
        <w:spacing w:after="0" w:line="213"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(“FCA”), which impose criminal and civil penalties, including those from civil whistleblower or qui tam actions, against individuals or entities for, among other things, knowingly presenting, or causing to be presented, claims for payment that are false or fraudulent or making a false statement to avoid, decrease, or conceal an obligation to pay money to the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and services resulting from a violation of the federal Anti-Kickback Statute constitutes a false or fraudulent claim for purposes of the FCA;</w:t>
      </w:r>
    </w:p>
    <w:p>
      <w:pPr>
        <w:spacing w:after="0" w:line="63" w:lineRule="exact"/>
        <w:rPr>
          <w:rFonts w:ascii="Times New Roman" w:cs="Times New Roman" w:eastAsia="Times New Roman" w:hAnsi="Times New Roman"/>
          <w:sz w:val="18"/>
          <w:szCs w:val="18"/>
          <w:color w:val="auto"/>
        </w:rPr>
      </w:pPr>
    </w:p>
    <w:p>
      <w:pPr>
        <w:ind w:left="1280" w:right="639" w:hanging="328"/>
        <w:spacing w:after="0" w:line="217"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Similar to the federal Anti-Kickback Statute, a person or entity does not need to have actual knowledge of the healthcare fraud statute implemented under HIPAA or specific intent to violate it in order to have committed a violation;</w:t>
      </w:r>
    </w:p>
    <w:p>
      <w:pPr>
        <w:spacing w:after="0" w:line="53" w:lineRule="exact"/>
        <w:rPr>
          <w:rFonts w:ascii="Times New Roman" w:cs="Times New Roman" w:eastAsia="Times New Roman" w:hAnsi="Times New Roman"/>
          <w:sz w:val="18"/>
          <w:szCs w:val="18"/>
          <w:color w:val="auto"/>
        </w:rPr>
      </w:pPr>
    </w:p>
    <w:p>
      <w:pPr>
        <w:ind w:left="1280" w:right="379" w:hanging="328"/>
        <w:spacing w:after="0" w:line="220"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which impose certain requirements on covered entities and their business associates, as well as their covered subcontractors, including mandatory contractual terms, with respect to safeguarding the privacy, security and transmission of individually identifiable health information;</w:t>
      </w:r>
    </w:p>
    <w:p>
      <w:pPr>
        <w:spacing w:after="0" w:line="63" w:lineRule="exact"/>
        <w:rPr>
          <w:rFonts w:ascii="Times New Roman" w:cs="Times New Roman" w:eastAsia="Times New Roman" w:hAnsi="Times New Roman"/>
          <w:sz w:val="18"/>
          <w:szCs w:val="18"/>
          <w:color w:val="auto"/>
        </w:rPr>
      </w:pPr>
    </w:p>
    <w:p>
      <w:pPr>
        <w:ind w:left="1280" w:right="299" w:hanging="328"/>
        <w:spacing w:after="0" w:line="237"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50" w:lineRule="exact"/>
        <w:rPr>
          <w:rFonts w:ascii="Times New Roman" w:cs="Times New Roman" w:eastAsia="Times New Roman" w:hAnsi="Times New Roman"/>
          <w:sz w:val="18"/>
          <w:szCs w:val="18"/>
          <w:color w:val="auto"/>
        </w:rPr>
      </w:pPr>
    </w:p>
    <w:p>
      <w:pPr>
        <w:ind w:left="1280" w:right="359" w:hanging="328"/>
        <w:spacing w:after="0" w:line="215"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transparency requirements under the Physician Payments Sunshine Act, enacted as part of the Patient Protection and Affordable Care Act, as amended by the Health Care and Education Reconciliation Act, or collectively the (“ACA”), that require applicable manufacturers of covered drugs, devices, biologics and medical supplies for which payment is available under Medicare, Medicaid or the Children’s Health Insurance Program, with specific exceptions, to track and annually report to Concerned Member States (“CMS”) payments and other transfers of value provided to physicians, certain other healthcare providers (such as physicians assistants and nurse practitioners), and teaching hospitals, and require certain manufacturers and group purchasing organizations to report annually certain ownership and investment interests held by physicians or their immediate family members; and</w:t>
      </w:r>
    </w:p>
    <w:p>
      <w:pPr>
        <w:spacing w:after="0" w:line="49" w:lineRule="exact"/>
        <w:rPr>
          <w:rFonts w:ascii="Times New Roman" w:cs="Times New Roman" w:eastAsia="Times New Roman" w:hAnsi="Times New Roman"/>
          <w:sz w:val="18"/>
          <w:szCs w:val="18"/>
          <w:color w:val="auto"/>
        </w:rPr>
      </w:pPr>
    </w:p>
    <w:p>
      <w:pPr>
        <w:ind w:left="1280" w:right="319" w:hanging="328"/>
        <w:spacing w:after="0" w:line="231"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or foreign laws and regulations, such as state and foreign anti-kickback and false claims laws, which may apply to items or services reimbursed by any third-party payor, including commercial insurers, state and foreign marketing and/or transparency laws applicable to manufacturers</w:t>
      </w:r>
    </w:p>
    <w:p>
      <w:pPr>
        <w:sectPr>
          <w:pgSz w:w="11900" w:h="16838" w:orient="portrait"/>
          <w:cols w:equalWidth="0" w:num="1">
            <w:col w:w="9019"/>
          </w:cols>
          <w:pgMar w:left="1440" w:top="499" w:right="1440"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62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019"/>
          </w:cols>
          <w:pgMar w:left="1440" w:top="499" w:right="1440" w:bottom="1149" w:gutter="0" w:footer="0" w:header="0"/>
          <w:type w:val="continuous"/>
        </w:sectPr>
      </w:pPr>
    </w:p>
    <w:bookmarkStart w:id="34" w:name="page35"/>
    <w:bookmarkEnd w:id="34"/>
    <w:p>
      <w:pPr>
        <w:ind w:left="1280" w:right="519"/>
        <w:spacing w:after="0" w:line="22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00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t>that may be broader in scope than the U.S. federal requirements, state and foreign laws that require regulatory licenses to manufacture or distribute our products commercially and/or the registration of</w:t>
      </w:r>
    </w:p>
    <w:p>
      <w:pPr>
        <w:spacing w:after="0" w:line="2" w:lineRule="exact"/>
        <w:rPr>
          <w:sz w:val="20"/>
          <w:szCs w:val="20"/>
          <w:color w:val="auto"/>
        </w:rPr>
      </w:pPr>
    </w:p>
    <w:p>
      <w:pPr>
        <w:ind w:left="1280" w:right="339"/>
        <w:spacing w:after="0" w:line="220" w:lineRule="auto"/>
        <w:rPr>
          <w:sz w:val="20"/>
          <w:szCs w:val="20"/>
          <w:color w:val="auto"/>
        </w:rPr>
      </w:pPr>
      <w:r>
        <w:rPr>
          <w:rFonts w:ascii="Times New Roman" w:cs="Times New Roman" w:eastAsia="Times New Roman" w:hAnsi="Times New Roman"/>
          <w:sz w:val="17"/>
          <w:szCs w:val="17"/>
          <w:color w:val="auto"/>
        </w:rPr>
        <w:t>pharmaceutical sales representatives in the jurisdiction, state and foreign laws that require biopharmaceutical companies to comply with the biopharmaceutical industry’s voluntary compliance guidelines and the relevant compliance guidance promulgated by the government and state and foreign</w:t>
      </w:r>
    </w:p>
    <w:p>
      <w:pPr>
        <w:spacing w:after="0" w:line="2" w:lineRule="exact"/>
        <w:rPr>
          <w:sz w:val="20"/>
          <w:szCs w:val="20"/>
          <w:color w:val="auto"/>
        </w:rPr>
      </w:pPr>
    </w:p>
    <w:p>
      <w:pPr>
        <w:ind w:left="1280" w:right="339"/>
        <w:spacing w:after="0" w:line="218" w:lineRule="auto"/>
        <w:rPr>
          <w:sz w:val="20"/>
          <w:szCs w:val="20"/>
          <w:color w:val="auto"/>
        </w:rPr>
      </w:pPr>
      <w:r>
        <w:rPr>
          <w:rFonts w:ascii="Times New Roman" w:cs="Times New Roman" w:eastAsia="Times New Roman" w:hAnsi="Times New Roman"/>
          <w:sz w:val="18"/>
          <w:szCs w:val="18"/>
          <w:color w:val="auto"/>
        </w:rPr>
        <w:t>laws governing the privacy and security of health information in certain circumstances, many of which differ from each other in significant ways and may not have the same effect as HIPAA, thus complicating compliance efforts.</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Ensuring that our business arrangements with third parties comply with applicable healthcare laws and regulations will likely be costly. It cannot be excluded that governmental authorities will conclude that our business practices do not comply with current or future statutes, regulations or case law involving applicable fraud and abuse</w:t>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applicable laws, they may be subject to criminal, civil or administrative sanctions, including exclusions from government funded healthcare programs. We may incur significant costs achieving and maintaining compliance with applicable federal and state privacy, security, and fraud laws. Any action against us for violation of these laws, even</w:t>
      </w:r>
    </w:p>
    <w:p>
      <w:pPr>
        <w:spacing w:after="0" w:line="2"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if we successfully defend against it, could cause us to incur significant legal expenses and divert our management’s attention from the operation of our business.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 reform measures could adversely affect our business operations.</w:t>
      </w:r>
    </w:p>
    <w:p>
      <w:pPr>
        <w:spacing w:after="0" w:line="94" w:lineRule="exact"/>
        <w:rPr>
          <w:sz w:val="20"/>
          <w:szCs w:val="20"/>
          <w:color w:val="auto"/>
        </w:rPr>
      </w:pPr>
    </w:p>
    <w:p>
      <w:pPr>
        <w:jc w:val="both"/>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and we expect there will continue to be, several legislative and regulatory changes and proposed reforms of the healthcare system to contain costs, improve quality, and expand access to care. For example, in March 2010, President Obama signed the ACA into law, which</w:t>
      </w:r>
    </w:p>
    <w:p>
      <w:pPr>
        <w:ind w:left="300" w:right="639"/>
        <w:spacing w:after="0" w:line="226" w:lineRule="auto"/>
        <w:rPr>
          <w:sz w:val="20"/>
          <w:szCs w:val="20"/>
          <w:color w:val="auto"/>
        </w:rPr>
      </w:pPr>
      <w:r>
        <w:rPr>
          <w:rFonts w:ascii="Times New Roman" w:cs="Times New Roman" w:eastAsia="Times New Roman" w:hAnsi="Times New Roman"/>
          <w:sz w:val="18"/>
          <w:szCs w:val="18"/>
          <w:color w:val="auto"/>
        </w:rPr>
        <w:t>substantially changed the way healthcare is financed by both governmental and private insurers and continues to significantly impact the United States pharmaceutical industry.</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For</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example, on July 4, 2025, the One Big Beautiful Bill Act, or OBBBA, was signed into law, which narrowed access to ACA marketplace exchange enrollment and declined to extend the ACA enhanced advanced premium tax credits that expired at the end of 2025, which, among other provisions in the law, are anticipated to reduce the number of</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w:t>
      </w:r>
    </w:p>
    <w:p>
      <w:pPr>
        <w:spacing w:after="0" w:line="2" w:lineRule="exact"/>
        <w:rPr>
          <w:sz w:val="20"/>
          <w:szCs w:val="20"/>
          <w:color w:val="auto"/>
        </w:rPr>
      </w:pP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further reduce healthcare costs with alternatives to replace the expired ACA subsidies. We expect that additional U.S. federal healthcare reform measures will be adopted in the future.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w:t>
      </w:r>
    </w:p>
    <w:p>
      <w:pPr>
        <w:spacing w:after="0" w:line="2" w:lineRule="exact"/>
        <w:rPr>
          <w:sz w:val="20"/>
          <w:szCs w:val="20"/>
          <w:color w:val="auto"/>
        </w:rPr>
      </w:pP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For example, on August 2, 2011, the Budget Control Act of 2011 was signed into law which among other things, led to aggregate reductions in Medicare payments to providers. These reductions went into effect on April 1, 2013 and will remain in effect until 2032, unless additional Congressional action is taken.</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The current U.S. presidential administration is pursuing policies to reduce regulations and expenditures across government. These actions, presently directed by executive orders or memoranda from the Office of Management and Budget, may propose policy changes that create additional uncertainty for our business. For example, the current</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w:t>
      </w:r>
    </w:p>
    <w:p>
      <w:pPr>
        <w:spacing w:after="0" w:line="2" w:lineRule="exact"/>
        <w:rPr>
          <w:sz w:val="20"/>
          <w:szCs w:val="20"/>
          <w:color w:val="auto"/>
        </w:rPr>
      </w:pPr>
    </w:p>
    <w:p>
      <w:pPr>
        <w:ind w:left="300" w:right="519"/>
        <w:spacing w:after="0" w:line="208" w:lineRule="auto"/>
        <w:rPr>
          <w:sz w:val="20"/>
          <w:szCs w:val="20"/>
          <w:color w:val="auto"/>
        </w:rPr>
      </w:pPr>
      <w:r>
        <w:rPr>
          <w:rFonts w:ascii="Times New Roman" w:cs="Times New Roman" w:eastAsia="Times New Roman" w:hAnsi="Times New Roman"/>
          <w:sz w:val="18"/>
          <w:szCs w:val="18"/>
          <w:color w:val="auto"/>
        </w:rPr>
        <w:t>for direct-to-patient discounts and repatriation of foreign revenues. Other recent actions and proposals include, for example (1) reducing agency workforce and cut programs; (2) directing HHS and other agencies to lower prescription drug costs through a variety of initiatives; (3) imposing tariffs on imported pharmaceutical products;</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could increase successful legal challenges to federal regulations affecting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133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39" w:firstLine="441"/>
        <w:spacing w:after="0" w:line="22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w:t>
      </w:r>
    </w:p>
    <w:p>
      <w:pPr>
        <w:spacing w:after="0" w:line="2" w:lineRule="exact"/>
        <w:rPr>
          <w:sz w:val="20"/>
          <w:szCs w:val="20"/>
          <w:color w:val="auto"/>
        </w:rPr>
      </w:pPr>
    </w:p>
    <w:p>
      <w:pPr>
        <w:ind w:left="300" w:right="539"/>
        <w:spacing w:after="0" w:line="226" w:lineRule="auto"/>
        <w:rPr>
          <w:sz w:val="20"/>
          <w:szCs w:val="20"/>
          <w:color w:val="auto"/>
        </w:rPr>
      </w:pPr>
      <w:r>
        <w:rPr>
          <w:rFonts w:ascii="Times New Roman" w:cs="Times New Roman" w:eastAsia="Times New Roman" w:hAnsi="Times New Roman"/>
          <w:sz w:val="18"/>
          <w:szCs w:val="18"/>
          <w:color w:val="auto"/>
        </w:rPr>
        <w:t>discounts, restrictions on certain product access and marketing cost disclosure and transparency measures, and, in some cases, designed to encourage importation from other countries and bulk purchasing.</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that other healthcare reform measures may be adopted in the future, which may result in more</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w:t>
      </w:r>
    </w:p>
    <w:p>
      <w:pPr>
        <w:spacing w:after="0" w:line="2" w:lineRule="exact"/>
        <w:rPr>
          <w:sz w:val="20"/>
          <w:szCs w:val="20"/>
          <w:color w:val="auto"/>
        </w:rPr>
      </w:pPr>
    </w:p>
    <w:p>
      <w:pPr>
        <w:ind w:left="300" w:right="999"/>
        <w:spacing w:after="0" w:line="226" w:lineRule="auto"/>
        <w:rPr>
          <w:sz w:val="20"/>
          <w:szCs w:val="20"/>
          <w:color w:val="auto"/>
        </w:rPr>
      </w:pPr>
      <w:r>
        <w:rPr>
          <w:rFonts w:ascii="Times New Roman" w:cs="Times New Roman" w:eastAsia="Times New Roman" w:hAnsi="Times New Roman"/>
          <w:sz w:val="18"/>
          <w:szCs w:val="18"/>
          <w:color w:val="auto"/>
        </w:rPr>
        <w:t>reforms may prevent us from being able to generate revenue, attain profitability, or commercialize our drug candidates.</w:t>
      </w:r>
    </w:p>
    <w:p>
      <w:pPr>
        <w:sectPr>
          <w:pgSz w:w="11900" w:h="16838" w:orient="portrait"/>
          <w:cols w:equalWidth="0" w:num="1">
            <w:col w:w="9019"/>
          </w:cols>
          <w:pgMar w:left="1440" w:top="202" w:right="1440" w:bottom="0" w:gutter="0" w:footer="0" w:header="0"/>
        </w:sectPr>
      </w:pPr>
    </w:p>
    <w:bookmarkStart w:id="35" w:name="page36"/>
    <w:bookmarkEnd w:id="35"/>
    <w:p>
      <w:pPr>
        <w:spacing w:after="0" w:line="16" w:lineRule="exact"/>
        <w:rPr>
          <w:sz w:val="20"/>
          <w:szCs w:val="20"/>
          <w:color w:val="auto"/>
        </w:rPr>
      </w:pPr>
    </w:p>
    <w:p>
      <w:pPr>
        <w:ind w:left="300" w:right="719" w:firstLine="441"/>
        <w:spacing w:after="0" w:line="202" w:lineRule="auto"/>
        <w:rPr>
          <w:sz w:val="20"/>
          <w:szCs w:val="20"/>
          <w:color w:val="auto"/>
        </w:rPr>
      </w:pPr>
      <w:r>
        <w:rPr>
          <w:rFonts w:ascii="Times New Roman" w:cs="Times New Roman" w:eastAsia="Times New Roman" w:hAnsi="Times New Roman"/>
          <w:sz w:val="17"/>
          <w:szCs w:val="17"/>
          <w:color w:val="auto"/>
        </w:rPr>
        <w:t>In addition, on December 11, 2025, the European Commission, the Parliament and the European Council reached a political agreement on a comprehensive overhaul of EU pharmaceutical legislation (the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-187960</wp:posOffset>
            </wp:positionV>
            <wp:extent cx="7016115" cy="6928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left="300" w:right="339"/>
        <w:spacing w:after="0" w:line="223" w:lineRule="auto"/>
        <w:rPr>
          <w:sz w:val="20"/>
          <w:szCs w:val="20"/>
          <w:color w:val="auto"/>
        </w:rPr>
      </w:pPr>
      <w:r>
        <w:rPr>
          <w:rFonts w:ascii="Times New Roman" w:cs="Times New Roman" w:eastAsia="Times New Roman" w:hAnsi="Times New Roman"/>
          <w:sz w:val="17"/>
          <w:szCs w:val="17"/>
          <w:color w:val="auto"/>
        </w:rPr>
        <w:t>Package”). The reform has been under negotiation since the European Commission submitted its proposal in April 2023. This package - comprised of a new directive and regulation to replace existing legislation – aims to modernize</w:t>
      </w:r>
    </w:p>
    <w:p>
      <w:pPr>
        <w:spacing w:after="0" w:line="1" w:lineRule="exact"/>
        <w:rPr>
          <w:sz w:val="20"/>
          <w:szCs w:val="20"/>
          <w:color w:val="auto"/>
        </w:rPr>
      </w:pPr>
    </w:p>
    <w:p>
      <w:pPr>
        <w:ind w:left="300" w:right="579"/>
        <w:spacing w:after="0" w:line="220" w:lineRule="auto"/>
        <w:rPr>
          <w:sz w:val="20"/>
          <w:szCs w:val="20"/>
          <w:color w:val="auto"/>
        </w:rPr>
      </w:pPr>
      <w:r>
        <w:rPr>
          <w:rFonts w:ascii="Times New Roman" w:cs="Times New Roman" w:eastAsia="Times New Roman" w:hAnsi="Times New Roman"/>
          <w:sz w:val="17"/>
          <w:szCs w:val="17"/>
          <w:color w:val="auto"/>
        </w:rPr>
        <w:t>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w:t>
      </w:r>
    </w:p>
    <w:p>
      <w:pPr>
        <w:spacing w:after="0" w:line="2" w:lineRule="exact"/>
        <w:rPr>
          <w:sz w:val="20"/>
          <w:szCs w:val="20"/>
          <w:color w:val="auto"/>
        </w:rPr>
      </w:pPr>
    </w:p>
    <w:p>
      <w:pPr>
        <w:ind w:left="300" w:right="399"/>
        <w:spacing w:after="0" w:line="208" w:lineRule="auto"/>
        <w:rPr>
          <w:sz w:val="20"/>
          <w:szCs w:val="20"/>
          <w:color w:val="auto"/>
        </w:rPr>
      </w:pPr>
      <w:r>
        <w:rPr>
          <w:rFonts w:ascii="Times New Roman" w:cs="Times New Roman" w:eastAsia="Times New Roman" w:hAnsi="Times New Roman"/>
          <w:sz w:val="18"/>
          <w:szCs w:val="18"/>
          <w:color w:val="auto"/>
        </w:rPr>
        <w:t>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 prospects of our product candidates.</w:t>
      </w:r>
    </w:p>
    <w:p>
      <w:pPr>
        <w:spacing w:after="0" w:line="53" w:lineRule="exact"/>
        <w:rPr>
          <w:sz w:val="20"/>
          <w:szCs w:val="20"/>
          <w:color w:val="auto"/>
        </w:rPr>
      </w:pPr>
    </w:p>
    <w:p>
      <w:pPr>
        <w:ind w:left="300" w:right="65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w:t>
      </w:r>
    </w:p>
    <w:p>
      <w:pPr>
        <w:spacing w:after="0" w:line="1" w:lineRule="exact"/>
        <w:rPr>
          <w:sz w:val="20"/>
          <w:szCs w:val="20"/>
          <w:color w:val="auto"/>
        </w:rPr>
      </w:pPr>
    </w:p>
    <w:p>
      <w:pPr>
        <w:ind w:left="300" w:right="75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penalties, other remedial measures and legal expenses, which could adversely affect our business, results of operations and financial condition.</w:t>
      </w:r>
    </w:p>
    <w:p>
      <w:pPr>
        <w:spacing w:after="0" w:line="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are subject to other laws and regulations governing our international operations, including regulations</w:t>
      </w:r>
    </w:p>
    <w:p>
      <w:pPr>
        <w:spacing w:after="0" w:line="2"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administered by the governments of the United States, and authorities in the European Union and in Japan, including applicable export control regulations, economic sanctions on countries and persons, customs requirements and currency exchange regulations, collectively referred to as the trade control laws.</w:t>
      </w:r>
    </w:p>
    <w:p>
      <w:pPr>
        <w:spacing w:after="0" w:line="6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We are also subject to anti-corruption laws, including the U.S. Foreign Corrupt Practices Act of 1977, as amended (“FCPA”), which prohibits any U.S. individual or business from paying, offering, or authorizing payment or offering of anything of value, directly or indirectly, to any foreign official, political party, or candidate for the</w:t>
      </w:r>
    </w:p>
    <w:p>
      <w:pPr>
        <w:ind w:left="300" w:right="739"/>
        <w:spacing w:after="0" w:line="218" w:lineRule="auto"/>
        <w:rPr>
          <w:sz w:val="20"/>
          <w:szCs w:val="20"/>
          <w:color w:val="auto"/>
        </w:rPr>
      </w:pPr>
      <w:r>
        <w:rPr>
          <w:rFonts w:ascii="Times New Roman" w:cs="Times New Roman" w:eastAsia="Times New Roman" w:hAnsi="Times New Roman"/>
          <w:sz w:val="18"/>
          <w:szCs w:val="18"/>
          <w:color w:val="auto"/>
        </w:rPr>
        <w:t>purpose of influencing any act or decision of the foreign entity in order to assist the individual or business in obtaining or retaining business, and other state and national anti-bribery and anti-money laundering laws in the countries in which we conduct activities, including the French anti-corruption laws:</w:t>
      </w:r>
    </w:p>
    <w:p>
      <w:pPr>
        <w:spacing w:after="0" w:line="64" w:lineRule="exact"/>
        <w:rPr>
          <w:sz w:val="20"/>
          <w:szCs w:val="20"/>
          <w:color w:val="auto"/>
        </w:rPr>
      </w:pPr>
    </w:p>
    <w:p>
      <w:pPr>
        <w:ind w:left="1280" w:hanging="32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433-1 of the French Criminal Code (bribery of domestic public officials);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433-2 of the French Criminal Code (influence peddling involving domestic public officials);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434-9 of the French Criminal Code (bribery of domestic judicial staff);</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434-9-1 of the French Criminal Code (influence peddling involving domestic judicial staff);</w:t>
      </w:r>
    </w:p>
    <w:p>
      <w:pPr>
        <w:spacing w:after="0" w:line="76" w:lineRule="exact"/>
        <w:rPr>
          <w:rFonts w:ascii="Times New Roman" w:cs="Times New Roman" w:eastAsia="Times New Roman" w:hAnsi="Times New Roman"/>
          <w:sz w:val="18"/>
          <w:szCs w:val="18"/>
          <w:color w:val="auto"/>
        </w:rPr>
      </w:pPr>
    </w:p>
    <w:p>
      <w:pPr>
        <w:ind w:left="1280" w:right="799" w:hanging="328"/>
        <w:spacing w:after="0" w:line="250"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435-1 and 435-3 of the French Criminal Code (bribery of foreign or international public officials);</w:t>
      </w:r>
    </w:p>
    <w:p>
      <w:pPr>
        <w:spacing w:after="0" w:line="41" w:lineRule="exact"/>
        <w:rPr>
          <w:rFonts w:ascii="Times New Roman" w:cs="Times New Roman" w:eastAsia="Times New Roman" w:hAnsi="Times New Roman"/>
          <w:sz w:val="18"/>
          <w:szCs w:val="18"/>
          <w:color w:val="auto"/>
        </w:rPr>
      </w:pPr>
    </w:p>
    <w:p>
      <w:pPr>
        <w:ind w:left="1280" w:right="699" w:hanging="328"/>
        <w:spacing w:after="0" w:line="237"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435-7 and 435-9 of the French Criminal Code (bribery of foreign or international judicial staff);</w:t>
      </w:r>
    </w:p>
    <w:p>
      <w:pPr>
        <w:spacing w:after="0" w:line="63" w:lineRule="exact"/>
        <w:rPr>
          <w:rFonts w:ascii="Times New Roman" w:cs="Times New Roman" w:eastAsia="Times New Roman" w:hAnsi="Times New Roman"/>
          <w:sz w:val="18"/>
          <w:szCs w:val="18"/>
          <w:color w:val="auto"/>
        </w:rPr>
      </w:pPr>
    </w:p>
    <w:p>
      <w:pPr>
        <w:ind w:left="1280" w:right="459" w:hanging="328"/>
        <w:spacing w:after="0" w:line="263" w:lineRule="auto"/>
        <w:tabs>
          <w:tab w:leader="none" w:pos="12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Articles 435-2, 435-4, 435-8 and 435-10 of the French Criminal Code (active and passive influence peddling involving foreign or international public officials and foreign or international judicial staff);</w:t>
      </w:r>
    </w:p>
    <w:p>
      <w:pPr>
        <w:spacing w:after="0" w:line="30" w:lineRule="exact"/>
        <w:rPr>
          <w:rFonts w:ascii="Times New Roman" w:cs="Times New Roman" w:eastAsia="Times New Roman" w:hAnsi="Times New Roman"/>
          <w:sz w:val="17"/>
          <w:szCs w:val="17"/>
          <w:color w:val="auto"/>
        </w:rPr>
      </w:pPr>
    </w:p>
    <w:p>
      <w:pPr>
        <w:ind w:left="1280" w:hanging="32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445-1 and 445-2 of the French Criminal Code (bribery of private individuals); and</w:t>
      </w:r>
    </w:p>
    <w:p>
      <w:pPr>
        <w:spacing w:after="0" w:line="90" w:lineRule="exact"/>
        <w:rPr>
          <w:rFonts w:ascii="Times New Roman" w:cs="Times New Roman" w:eastAsia="Times New Roman" w:hAnsi="Times New Roman"/>
          <w:sz w:val="18"/>
          <w:szCs w:val="18"/>
          <w:color w:val="auto"/>
        </w:rPr>
      </w:pPr>
    </w:p>
    <w:p>
      <w:pPr>
        <w:ind w:left="1280" w:right="399" w:hanging="328"/>
        <w:spacing w:after="0" w:line="214"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French Law No. 2016-1691 of December 9, 2016 on Transparency, the Fight Against Corruption and the Modernization of the Economy (Sapin 2 Law), which provides for numerous new obligations for large companies such as the obligation to draw up and adopt a code of conduct defining and illustrating the different types of behavior to be proscribed as being likely to characterize acts of corruption or 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505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right="619"/>
        <w:spacing w:after="0" w:line="237" w:lineRule="auto"/>
        <w:rPr>
          <w:sz w:val="20"/>
          <w:szCs w:val="20"/>
          <w:color w:val="auto"/>
        </w:rPr>
      </w:pPr>
      <w:r>
        <w:rPr>
          <w:rFonts w:ascii="Times New Roman" w:cs="Times New Roman" w:eastAsia="Times New Roman" w:hAnsi="Times New Roman"/>
          <w:sz w:val="18"/>
          <w:szCs w:val="18"/>
          <w:color w:val="auto"/>
        </w:rPr>
        <w:t>a breach of the company’s code of conduct or a system for monitoring and evaluating the measures implemented.</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w:t>
      </w:r>
    </w:p>
    <w:p>
      <w:pPr>
        <w:jc w:val="both"/>
        <w:ind w:left="300" w:right="359"/>
        <w:spacing w:after="0" w:line="208" w:lineRule="auto"/>
        <w:rPr>
          <w:sz w:val="20"/>
          <w:szCs w:val="20"/>
          <w:color w:val="auto"/>
        </w:rPr>
      </w:pPr>
      <w:r>
        <w:rPr>
          <w:rFonts w:ascii="Times New Roman" w:cs="Times New Roman" w:eastAsia="Times New Roman" w:hAnsi="Times New Roman"/>
          <w:sz w:val="18"/>
          <w:szCs w:val="18"/>
          <w:color w:val="auto"/>
        </w:rPr>
        <w:t>accounting controls for international operations. Activities that violate the FCPA, even if they occur wholly outside the United States, can result in criminal and civil fines, imprisonment, disgorgement, oversight, and debarment from government contracts. The scope and enforcement of these laws is uncertain and subject to rapid change.</w:t>
      </w:r>
    </w:p>
    <w:p>
      <w:pPr>
        <w:spacing w:after="0" w:line="2" w:lineRule="exact"/>
        <w:rPr>
          <w:sz w:val="20"/>
          <w:szCs w:val="20"/>
          <w:color w:val="auto"/>
        </w:rPr>
      </w:pPr>
    </w:p>
    <w:p>
      <w:pPr>
        <w:ind w:left="300" w:right="379"/>
        <w:spacing w:after="0" w:line="218" w:lineRule="auto"/>
        <w:rPr>
          <w:sz w:val="20"/>
          <w:szCs w:val="20"/>
          <w:color w:val="auto"/>
        </w:rPr>
      </w:pPr>
      <w:r>
        <w:rPr>
          <w:rFonts w:ascii="Times New Roman" w:cs="Times New Roman" w:eastAsia="Times New Roman" w:hAnsi="Times New Roman"/>
          <w:sz w:val="18"/>
          <w:szCs w:val="18"/>
          <w:color w:val="auto"/>
        </w:rPr>
        <w:t>Responding to investigations can be both resource and time consuming and can divert management’s attention from the business. Any such investigation or settlement could increase our costs or otherwise have a material adverse effect on our business, outlook, financial position, income and growth.</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The FCPA and other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w:t>
      </w:r>
    </w:p>
    <w:p>
      <w:pPr>
        <w:ind w:left="300" w:right="559"/>
        <w:spacing w:after="0" w:line="208" w:lineRule="auto"/>
        <w:rPr>
          <w:sz w:val="20"/>
          <w:szCs w:val="20"/>
          <w:color w:val="auto"/>
        </w:rPr>
      </w:pPr>
      <w:r>
        <w:rPr>
          <w:rFonts w:ascii="Times New Roman" w:cs="Times New Roman" w:eastAsia="Times New Roman" w:hAnsi="Times New Roman"/>
          <w:sz w:val="18"/>
          <w:szCs w:val="18"/>
          <w:color w:val="auto"/>
        </w:rPr>
        <w:t>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w:t>
      </w:r>
    </w:p>
    <w:p>
      <w:pPr>
        <w:spacing w:after="0" w:line="2" w:lineRule="exact"/>
        <w:rPr>
          <w:sz w:val="20"/>
          <w:szCs w:val="20"/>
          <w:color w:val="auto"/>
        </w:rPr>
      </w:pPr>
    </w:p>
    <w:p>
      <w:pPr>
        <w:ind w:left="300" w:right="459"/>
        <w:spacing w:after="0" w:line="239" w:lineRule="auto"/>
        <w:rPr>
          <w:sz w:val="20"/>
          <w:szCs w:val="20"/>
          <w:color w:val="auto"/>
        </w:rPr>
      </w:pPr>
      <w:r>
        <w:rPr>
          <w:rFonts w:ascii="Times New Roman" w:cs="Times New Roman" w:eastAsia="Times New Roman" w:hAnsi="Times New Roman"/>
          <w:sz w:val="17"/>
          <w:szCs w:val="17"/>
          <w:color w:val="auto"/>
        </w:rPr>
        <w:t>organizations. We can be held liable for the corrupt or other illegal activities of our employees, agents, contractors, and other collaborators, even if we do not explicitly authorize or have actual knowledge of such activities.</w:t>
      </w:r>
    </w:p>
    <w:p>
      <w:pPr>
        <w:spacing w:after="0" w:line="50" w:lineRule="exact"/>
        <w:rPr>
          <w:sz w:val="20"/>
          <w:szCs w:val="20"/>
          <w:color w:val="auto"/>
        </w:rPr>
      </w:pPr>
    </w:p>
    <w:p>
      <w:pPr>
        <w:ind w:left="300" w:right="499" w:firstLine="441"/>
        <w:spacing w:after="0" w:line="279" w:lineRule="auto"/>
        <w:rPr>
          <w:sz w:val="20"/>
          <w:szCs w:val="20"/>
          <w:color w:val="auto"/>
        </w:rPr>
      </w:pPr>
      <w:r>
        <w:rPr>
          <w:rFonts w:ascii="Times New Roman" w:cs="Times New Roman" w:eastAsia="Times New Roman" w:hAnsi="Times New Roman"/>
          <w:sz w:val="17"/>
          <w:szCs w:val="17"/>
          <w:color w:val="auto"/>
        </w:rPr>
        <w:t>There is no complete assurance that we will be effective in ensuring our compliance with all applicable anti-corruption laws, including the FCPA, the French anti-corruption laws or other legal requirements, including trade</w:t>
      </w:r>
    </w:p>
    <w:p>
      <w:pPr>
        <w:sectPr>
          <w:pgSz w:w="11900" w:h="16855" w:orient="portrait"/>
          <w:cols w:equalWidth="0" w:num="1">
            <w:col w:w="9019"/>
          </w:cols>
          <w:pgMar w:left="1440" w:top="108" w:right="1440" w:bottom="0" w:gutter="0" w:footer="0" w:header="0"/>
        </w:sectPr>
      </w:pPr>
    </w:p>
    <w:bookmarkStart w:id="36" w:name="page37"/>
    <w:bookmarkEnd w:id="36"/>
    <w:p>
      <w:pPr>
        <w:spacing w:after="0" w:line="11" w:lineRule="exact"/>
        <w:rPr>
          <w:sz w:val="20"/>
          <w:szCs w:val="20"/>
          <w:color w:val="auto"/>
        </w:rPr>
      </w:pPr>
    </w:p>
    <w:p>
      <w:pPr>
        <w:ind w:left="300" w:right="459"/>
        <w:spacing w:after="0" w:line="183" w:lineRule="auto"/>
        <w:rPr>
          <w:sz w:val="20"/>
          <w:szCs w:val="20"/>
          <w:color w:val="auto"/>
        </w:rPr>
      </w:pPr>
      <w:r>
        <w:rPr>
          <w:rFonts w:ascii="Times New Roman" w:cs="Times New Roman" w:eastAsia="Times New Roman" w:hAnsi="Times New Roman"/>
          <w:sz w:val="12"/>
          <w:szCs w:val="12"/>
          <w:color w:val="auto"/>
        </w:rPr>
        <w:t>contr</w:t>
      </w:r>
      <w:r>
        <w:rPr>
          <w:rFonts w:ascii="Times New Roman" w:cs="Times New Roman" w:eastAsia="Times New Roman" w:hAnsi="Times New Roman"/>
          <w:sz w:val="18"/>
          <w:szCs w:val="18"/>
          <w:color w:val="auto"/>
          <w:vertAlign w:val="superscript"/>
        </w:rPr>
        <w:t>o</w:t>
      </w:r>
      <w:r>
        <w:rPr>
          <w:rFonts w:ascii="Times New Roman" w:cs="Times New Roman" w:eastAsia="Times New Roman" w:hAnsi="Times New Roman"/>
          <w:sz w:val="12"/>
          <w:szCs w:val="12"/>
          <w:color w:val="auto"/>
        </w:rPr>
        <w:t>l laws. If we are not in compliance with the FCPA, the French anti-corrupti</w:t>
      </w:r>
      <w:r>
        <w:rPr>
          <w:rFonts w:ascii="Times New Roman" w:cs="Times New Roman" w:eastAsia="Times New Roman" w:hAnsi="Times New Roman"/>
          <w:sz w:val="18"/>
          <w:szCs w:val="18"/>
          <w:color w:val="auto"/>
          <w:vertAlign w:val="superscript"/>
        </w:rPr>
        <w:t>o</w:t>
      </w:r>
      <w:r>
        <w:rPr>
          <w:rFonts w:ascii="Times New Roman" w:cs="Times New Roman" w:eastAsia="Times New Roman" w:hAnsi="Times New Roman"/>
          <w:sz w:val="12"/>
          <w:szCs w:val="12"/>
          <w:color w:val="auto"/>
        </w:rPr>
        <w:t>n laws and other anti-corruption laws r trade control laws, we may be subject to criminal and civil penalties, disg rgement and other sanctions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-146050</wp:posOffset>
            </wp:positionV>
            <wp:extent cx="7016115" cy="5556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adverse impact on our reputation, our business, results of operations and financial condition.</w:t>
      </w:r>
    </w:p>
    <w:p>
      <w:pPr>
        <w:spacing w:after="0" w:line="57" w:lineRule="exact"/>
        <w:rPr>
          <w:sz w:val="20"/>
          <w:szCs w:val="20"/>
          <w:color w:val="auto"/>
        </w:rPr>
      </w:pPr>
    </w:p>
    <w:p>
      <w:pPr>
        <w:ind w:left="300" w:right="519" w:firstLine="441"/>
        <w:spacing w:after="0" w:line="222" w:lineRule="auto"/>
        <w:rPr>
          <w:sz w:val="20"/>
          <w:szCs w:val="20"/>
          <w:color w:val="auto"/>
        </w:rPr>
      </w:pPr>
      <w:r>
        <w:rPr>
          <w:rFonts w:ascii="Times New Roman" w:cs="Times New Roman" w:eastAsia="Times New Roman" w:hAnsi="Times New Roman"/>
          <w:sz w:val="18"/>
          <w:szCs w:val="18"/>
          <w:color w:val="auto"/>
        </w:rPr>
        <w:t>In addition, changes in our products and drug candidates or changes in applicable export or import laws and regulations may create delays in the introduction or provision of our products and drug candidates in other</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jurisdictions, prevent others from using our products and drug candidates or, in some cases, prevent the export or import of our products and drug candidates to certain countries, governments or persons altogether. Any limitation on our ability to export or provide our products and drug candidates could adversely affect our business, financial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 and results of operations.</w:t>
      </w:r>
    </w:p>
    <w:p>
      <w:pPr>
        <w:spacing w:after="0" w:line="53" w:lineRule="exact"/>
        <w:rPr>
          <w:sz w:val="20"/>
          <w:szCs w:val="20"/>
          <w:color w:val="auto"/>
        </w:rPr>
      </w:pPr>
    </w:p>
    <w:p>
      <w:pPr>
        <w:ind w:left="300" w:right="7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Product liability and other lawsuits could divert our resources, result in substantial liabilities and reduce the commercial potential of our drug candidates.</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The risk that we may be sued on product liability claims is inherent in the development and commercialization of our drug candidates. Side effects of, or manufacturing defects in, drugs that we develop could result in the deterioration of a patient’s condition, injury or even death. For example, our liability could be sought after by</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patients participating in the clinical trials of the drug candidates tested, who suffer from unexpected side effects resulting from the administration of these drugs. In addition, we could face liability due to undetected side-effects caused by the interaction of our drugs with other drugs following release of the drug candidate to the market. Once a</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product is approved for sale and commercialized, the likelihood of product liability lawsuits increases. Criminal or civil proceedings might also be filed against us by patients, regulatory authorities, biopharmaceutical companies and any other third party using or marketing our drugs. Physicians and patients may not comply with any warnings that</w:t>
      </w:r>
    </w:p>
    <w:p>
      <w:pPr>
        <w:spacing w:after="0" w:line="2" w:lineRule="exact"/>
        <w:rPr>
          <w:sz w:val="20"/>
          <w:szCs w:val="20"/>
          <w:color w:val="auto"/>
        </w:rPr>
      </w:pPr>
    </w:p>
    <w:p>
      <w:pPr>
        <w:jc w:val="both"/>
        <w:ind w:left="300" w:right="459"/>
        <w:spacing w:after="0" w:line="208" w:lineRule="auto"/>
        <w:rPr>
          <w:sz w:val="20"/>
          <w:szCs w:val="20"/>
          <w:color w:val="auto"/>
        </w:rPr>
      </w:pPr>
      <w:r>
        <w:rPr>
          <w:rFonts w:ascii="Times New Roman" w:cs="Times New Roman" w:eastAsia="Times New Roman" w:hAnsi="Times New Roman"/>
          <w:sz w:val="18"/>
          <w:szCs w:val="18"/>
          <w:color w:val="auto"/>
        </w:rPr>
        <w:t>identify known potential adverse effects and patients who should not use our drug candidates. These actions could include claims resulting from actions by our partners, licensees and subcontractors, over which we have little or no control. These lawsuits may divert our management from pursuing our business strategy and may be costly to</w:t>
      </w:r>
    </w:p>
    <w:p>
      <w:pPr>
        <w:spacing w:after="0" w:line="2" w:lineRule="exact"/>
        <w:rPr>
          <w:sz w:val="20"/>
          <w:szCs w:val="20"/>
          <w:color w:val="auto"/>
        </w:rPr>
      </w:pPr>
    </w:p>
    <w:p>
      <w:pPr>
        <w:ind w:left="300" w:right="399"/>
        <w:spacing w:after="0" w:line="239" w:lineRule="auto"/>
        <w:rPr>
          <w:sz w:val="20"/>
          <w:szCs w:val="20"/>
          <w:color w:val="auto"/>
        </w:rPr>
      </w:pPr>
      <w:r>
        <w:rPr>
          <w:rFonts w:ascii="Times New Roman" w:cs="Times New Roman" w:eastAsia="Times New Roman" w:hAnsi="Times New Roman"/>
          <w:sz w:val="17"/>
          <w:szCs w:val="17"/>
          <w:color w:val="auto"/>
        </w:rPr>
        <w:t>defend. In addition, if we are held liable in any of these lawsuits, we may incur substantial liabilities, may be forced to limit or forgo further commercialization of the affected products and may suffer damage to our reputation.</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at levels which we believe are</w:t>
      </w:r>
    </w:p>
    <w:p>
      <w:pPr>
        <w:spacing w:after="0" w:line="2" w:lineRule="exact"/>
        <w:rPr>
          <w:sz w:val="20"/>
          <w:szCs w:val="20"/>
          <w:color w:val="auto"/>
        </w:rPr>
      </w:pPr>
    </w:p>
    <w:p>
      <w:pPr>
        <w:ind w:left="300" w:right="699"/>
        <w:spacing w:after="0" w:line="218" w:lineRule="auto"/>
        <w:rPr>
          <w:sz w:val="20"/>
          <w:szCs w:val="20"/>
          <w:color w:val="auto"/>
        </w:rPr>
      </w:pPr>
      <w:r>
        <w:rPr>
          <w:rFonts w:ascii="Times New Roman" w:cs="Times New Roman" w:eastAsia="Times New Roman" w:hAnsi="Times New Roman"/>
          <w:sz w:val="18"/>
          <w:szCs w:val="18"/>
          <w:color w:val="auto"/>
        </w:rPr>
        <w:t>appropriate for our clinical trials. Nevertheless, we cannot guarantee that the insurance policy taken out or the indemnification (that may be contractually limited) granted by our subcontractors will be sufficient to cover the claims that could be brought against us or losses we may suffer.</w:t>
      </w:r>
    </w:p>
    <w:p>
      <w:pPr>
        <w:spacing w:after="0" w:line="64" w:lineRule="exact"/>
        <w:rPr>
          <w:sz w:val="20"/>
          <w:szCs w:val="20"/>
          <w:color w:val="auto"/>
        </w:rPr>
      </w:pPr>
    </w:p>
    <w:p>
      <w:pPr>
        <w:ind w:left="300" w:right="739" w:firstLine="441"/>
        <w:spacing w:after="0" w:line="216" w:lineRule="auto"/>
        <w:rPr>
          <w:sz w:val="20"/>
          <w:szCs w:val="20"/>
          <w:color w:val="auto"/>
        </w:rPr>
      </w:pPr>
      <w:r>
        <w:rPr>
          <w:rFonts w:ascii="Times New Roman" w:cs="Times New Roman" w:eastAsia="Times New Roman" w:hAnsi="Times New Roman"/>
          <w:sz w:val="18"/>
          <w:szCs w:val="18"/>
          <w:color w:val="auto"/>
        </w:rPr>
        <w:t>If our liability, or that of our partners, licensees and subcontractors, was thereby activated, if we or our partners, licensees and subcontractors were unable to obtain and maintain appropriate insurance coverage at an acceptable cost or protect ourselves in any way against liability claims, this would seriously affect the</w:t>
      </w:r>
    </w:p>
    <w:p>
      <w:pPr>
        <w:spacing w:after="0" w:line="1" w:lineRule="exact"/>
        <w:rPr>
          <w:sz w:val="20"/>
          <w:szCs w:val="20"/>
          <w:color w:val="auto"/>
        </w:rPr>
      </w:pPr>
    </w:p>
    <w:p>
      <w:pPr>
        <w:ind w:left="300" w:right="719"/>
        <w:spacing w:after="0" w:line="226" w:lineRule="auto"/>
        <w:rPr>
          <w:sz w:val="20"/>
          <w:szCs w:val="20"/>
          <w:color w:val="auto"/>
        </w:rPr>
      </w:pPr>
      <w:r>
        <w:rPr>
          <w:rFonts w:ascii="Times New Roman" w:cs="Times New Roman" w:eastAsia="Times New Roman" w:hAnsi="Times New Roman"/>
          <w:sz w:val="18"/>
          <w:szCs w:val="18"/>
          <w:color w:val="auto"/>
        </w:rPr>
        <w:t>commercialization of our products and, more generally, have a material adverse effect on our business, income, financial position and outlook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876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77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subject to stringent and evolving U.S. and foreign laws, regulations, rules, contractual obligations, industry standards, policies and other obligations related to data</w:t>
      </w:r>
    </w:p>
    <w:p>
      <w:pPr>
        <w:spacing w:after="0" w:line="1"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b w:val="1"/>
          <w:bCs w:val="1"/>
          <w:i w:val="1"/>
          <w:iCs w:val="1"/>
          <w:color w:val="auto"/>
        </w:rPr>
        <w:t>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or profits; and other adverse business consequences.</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In the ordinary course of business, we (and others on our behalf) collect, receive, store, process, generate, use, transfer, archive, disclose, make accessible, protect, secure, dispose of, transmit, and share (collectively, process)</w:t>
      </w: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personal data and other sensitive information, including proprietary and confidential business data, trade secrets, intellectual property, sensitive third-party data, personal data/personal information (including data we collected about trial participants in connection with clinical trials), business plans, transactions, and financial information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(collectively, sensitive data).</w:t>
      </w:r>
    </w:p>
    <w:p>
      <w:pPr>
        <w:spacing w:after="0" w:line="57"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Our data processing activities subjects us to numerous data privacy and security obligations, such as various laws, regulations, guidance, industry standards, external and internal privacy and security policies, contractual</w:t>
      </w: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requirements, and other obligations relating to data privacy and security. New data privacy and security laws may be proposed or enacted.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w:t>
      </w:r>
    </w:p>
    <w:p>
      <w:pPr>
        <w:spacing w:after="0" w:line="2" w:lineRule="exact"/>
        <w:rPr>
          <w:sz w:val="20"/>
          <w:szCs w:val="20"/>
          <w:color w:val="auto"/>
        </w:rPr>
      </w:pPr>
    </w:p>
    <w:p>
      <w:pPr>
        <w:jc w:val="both"/>
        <w:ind w:left="300" w:right="419"/>
        <w:spacing w:after="0" w:line="220" w:lineRule="auto"/>
        <w:rPr>
          <w:sz w:val="20"/>
          <w:szCs w:val="20"/>
          <w:color w:val="auto"/>
        </w:rPr>
      </w:pPr>
      <w:r>
        <w:rPr>
          <w:rFonts w:ascii="Times New Roman" w:cs="Times New Roman" w:eastAsia="Times New Roman" w:hAnsi="Times New Roman"/>
          <w:sz w:val="17"/>
          <w:szCs w:val="17"/>
          <w:color w:val="auto"/>
        </w:rPr>
        <w:t>laws, including data breach notification laws, personal data privacy laws, consumer protection laws (e.g., Section 5 of the Federal Trade Commission Act), and other similar laws (e.g., wiretapping laws). For example, the California Consumer Privacy Act of 2018 (“CCPA”) requires businesses to provide specific disclosures in privacy notices and</w:t>
      </w:r>
    </w:p>
    <w:p>
      <w:pPr>
        <w:spacing w:after="0" w:line="2" w:lineRule="exact"/>
        <w:rPr>
          <w:sz w:val="20"/>
          <w:szCs w:val="20"/>
          <w:color w:val="auto"/>
        </w:rPr>
      </w:pP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honor requests of California residents to exercise certain privacy rights. The CCPA provides for fines and allows private litigants affected by certain data breaches to recover significant statutory damages.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Numerous other states have also passed comprehensive privacy laws, and similar laws are being considered in</w:t>
      </w:r>
    </w:p>
    <w:p>
      <w:pPr>
        <w:spacing w:after="0" w:line="2" w:lineRule="exact"/>
        <w:rPr>
          <w:sz w:val="20"/>
          <w:szCs w:val="20"/>
          <w:color w:val="auto"/>
        </w:rPr>
      </w:pPr>
    </w:p>
    <w:p>
      <w:pPr>
        <w:ind w:left="300" w:right="539"/>
        <w:spacing w:after="0" w:line="208" w:lineRule="auto"/>
        <w:rPr>
          <w:sz w:val="20"/>
          <w:szCs w:val="20"/>
          <w:color w:val="auto"/>
        </w:rPr>
      </w:pPr>
      <w:r>
        <w:rPr>
          <w:rFonts w:ascii="Times New Roman" w:cs="Times New Roman" w:eastAsia="Times New Roman" w:hAnsi="Times New Roman"/>
          <w:sz w:val="18"/>
          <w:szCs w:val="18"/>
          <w:color w:val="auto"/>
        </w:rPr>
        <w:t>several other states, as well as at the federal and local levels. While the CCPA and other comprehensive U.S. state privacy laws exempt some data processed in the context of clinical trials, these developments may further complicate compliance efforts and may increase legal risk and compliance costs for us and the third parties upon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whom we rely.</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may govern data privacy and security. For example, among other laws, the European Union’s Regulation (EU) 2016/679 of 27 April</w:t>
      </w:r>
    </w:p>
    <w:p>
      <w:pPr>
        <w:jc w:val="both"/>
        <w:ind w:left="300" w:right="319"/>
        <w:spacing w:after="0" w:line="231" w:lineRule="auto"/>
        <w:rPr>
          <w:sz w:val="20"/>
          <w:szCs w:val="20"/>
          <w:color w:val="auto"/>
        </w:rPr>
      </w:pPr>
      <w:r>
        <w:rPr>
          <w:rFonts w:ascii="Times New Roman" w:cs="Times New Roman" w:eastAsia="Times New Roman" w:hAnsi="Times New Roman"/>
          <w:sz w:val="17"/>
          <w:szCs w:val="17"/>
          <w:color w:val="auto"/>
        </w:rPr>
        <w:t>2016 on the protection of natural persons with regard to the processing of personal data and on the free movement of such data, as amended (“EU GDPR”), the United Kingdom’s GDPR (“UK GDPR”) (collectively, the EU GDPR and the UK GDPR are the “GDPR”), Brazil’s General Data Protection Law (Lei Geral de Proteção de Dados Pessoais, or</w:t>
      </w:r>
    </w:p>
    <w:p>
      <w:pPr>
        <w:sectPr>
          <w:pgSz w:w="11900" w:h="16850" w:orient="portrait"/>
          <w:cols w:equalWidth="0" w:num="1">
            <w:col w:w="9019"/>
          </w:cols>
          <w:pgMar w:left="1440" w:top="108" w:right="1440" w:bottom="0" w:gutter="0" w:footer="0" w:header="0"/>
        </w:sectPr>
      </w:pPr>
    </w:p>
    <w:bookmarkStart w:id="37" w:name="page38"/>
    <w:bookmarkEnd w:id="37"/>
    <w:p>
      <w:pPr>
        <w:ind w:left="300" w:right="439"/>
        <w:spacing w:after="0" w:line="189" w:lineRule="auto"/>
        <w:rPr>
          <w:sz w:val="20"/>
          <w:szCs w:val="20"/>
          <w:color w:val="auto"/>
        </w:rPr>
      </w:pPr>
      <w:r>
        <w:rPr>
          <w:rFonts w:ascii="Times New Roman" w:cs="Times New Roman" w:eastAsia="Times New Roman" w:hAnsi="Times New Roman"/>
          <w:sz w:val="16"/>
          <w:szCs w:val="16"/>
          <w:color w:val="auto"/>
        </w:rPr>
        <w:t>“LGPD”) (Law No. 13,709/2018), Canada’s Personal Information Protection and Electronic Documents Act (“PIPEDA”), and China’s Personal Information Protection Law (“PIPL”) impose strict requirements for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4185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personal data. In Europe, the Network and Information Security Directive (“NIS2”) regulates resilience and incident</w:t>
      </w: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64" w:lineRule="exact"/>
        <w:rPr>
          <w:sz w:val="20"/>
          <w:szCs w:val="20"/>
          <w:color w:val="auto"/>
        </w:rPr>
      </w:pPr>
    </w:p>
    <w:p>
      <w:pPr>
        <w:jc w:val="both"/>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The collection and use of personal health data in the European Union and the United Kingdom is governed by the provisions of the GDPR. Under the GDPR, companies may face temporary or definitive bans on data processing and other corrective actions; fines of up to €20 million under the EU GDPR, 17.5 million pounds sterling under the</w:t>
      </w:r>
    </w:p>
    <w:p>
      <w:pPr>
        <w:ind w:left="300" w:right="519"/>
        <w:spacing w:after="0" w:line="218" w:lineRule="auto"/>
        <w:rPr>
          <w:sz w:val="20"/>
          <w:szCs w:val="20"/>
          <w:color w:val="auto"/>
        </w:rPr>
      </w:pPr>
      <w:r>
        <w:rPr>
          <w:rFonts w:ascii="Times New Roman" w:cs="Times New Roman" w:eastAsia="Times New Roman" w:hAnsi="Times New Roman"/>
          <w:sz w:val="18"/>
          <w:szCs w:val="18"/>
          <w:color w:val="auto"/>
        </w:rPr>
        <w:t>UK GDPR or, in each case, 4% of annual global revenue, whichever is greater; or private litigation related to processing of personal data brought by classes of data subjects or consumer protection organizations authorized at law to represent their interests. We also engage in clinical trial activities in other foreign jurisdictions.</w:t>
      </w:r>
    </w:p>
    <w:p>
      <w:pPr>
        <w:spacing w:after="0" w:line="64" w:lineRule="exact"/>
        <w:rPr>
          <w:sz w:val="20"/>
          <w:szCs w:val="20"/>
          <w:color w:val="auto"/>
        </w:rPr>
      </w:pPr>
    </w:p>
    <w:p>
      <w:pPr>
        <w:ind w:left="300" w:right="559" w:firstLine="441"/>
        <w:spacing w:after="0" w:line="229" w:lineRule="auto"/>
        <w:rPr>
          <w:sz w:val="20"/>
          <w:szCs w:val="20"/>
          <w:color w:val="auto"/>
        </w:rPr>
      </w:pPr>
      <w:r>
        <w:rPr>
          <w:rFonts w:ascii="Times New Roman" w:cs="Times New Roman" w:eastAsia="Times New Roman" w:hAnsi="Times New Roman"/>
          <w:sz w:val="17"/>
          <w:szCs w:val="17"/>
          <w:color w:val="auto"/>
        </w:rPr>
        <w:t>In addition, we may be unable to transfer personal data from Europe and other jurisdictions to the United States or other third party countries in which local data privacy laws are less stringent due to limitations on cross-border data flows. Europe and other jurisdictions have enacted laws requiring data to be localized or limiting the</w:t>
      </w:r>
    </w:p>
    <w:p>
      <w:pPr>
        <w:ind w:left="300" w:right="719"/>
        <w:spacing w:after="0" w:line="220" w:lineRule="auto"/>
        <w:rPr>
          <w:sz w:val="20"/>
          <w:szCs w:val="20"/>
          <w:color w:val="auto"/>
        </w:rPr>
      </w:pPr>
      <w:r>
        <w:rPr>
          <w:rFonts w:ascii="Times New Roman" w:cs="Times New Roman" w:eastAsia="Times New Roman" w:hAnsi="Times New Roman"/>
          <w:sz w:val="17"/>
          <w:szCs w:val="17"/>
          <w:color w:val="auto"/>
        </w:rPr>
        <w:t>transfer of personal data to other countries. In particular, the European Economic Area ("EEA") and the United Kingdom (“UK”) have significantly restricted the transfer of personal data to countries whose privacy laws it believes are inadequate. Other jurisdictions may adopt or have adopted similarly stringent data localization and</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cross-border data transfer laws. Although there are currently various mechanisms that may be used to transfer personal data from the EEA and UK to the United States in compliance with law, such as the EU-U.S. Trans-Atlantic Data Privacy Framework, the UK’s International Data Transfer Agreement, or the EEA and UK’s standard</w:t>
      </w:r>
    </w:p>
    <w:p>
      <w:pPr>
        <w:spacing w:after="0" w:line="2" w:lineRule="exact"/>
        <w:rPr>
          <w:sz w:val="20"/>
          <w:szCs w:val="20"/>
          <w:color w:val="auto"/>
        </w:rPr>
      </w:pPr>
    </w:p>
    <w:p>
      <w:pPr>
        <w:jc w:val="both"/>
        <w:ind w:left="300" w:right="299"/>
        <w:spacing w:after="0" w:line="220" w:lineRule="auto"/>
        <w:rPr>
          <w:sz w:val="20"/>
          <w:szCs w:val="20"/>
          <w:color w:val="auto"/>
        </w:rPr>
      </w:pPr>
      <w:r>
        <w:rPr>
          <w:rFonts w:ascii="Times New Roman" w:cs="Times New Roman" w:eastAsia="Times New Roman" w:hAnsi="Times New Roman"/>
          <w:sz w:val="17"/>
          <w:szCs w:val="17"/>
          <w:color w:val="auto"/>
        </w:rPr>
        <w:t>contractual clauses, these mechanisms are subject to legal challenges, and there is no assurance that we can satisfy or rely on these measures to lawfully transfer personal data to the United States or other third party countries. If there is no lawful manner for us to transfer personal data from the EEA, the UK, or other jurisdictions to the United States,</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actions, substantial fines and penalties, the inability to transfer data and work with partners, vendors and other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248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99"/>
        <w:spacing w:after="0" w:line="236" w:lineRule="auto"/>
        <w:rPr>
          <w:sz w:val="20"/>
          <w:szCs w:val="20"/>
          <w:color w:val="auto"/>
        </w:rPr>
      </w:pPr>
      <w:r>
        <w:rPr>
          <w:rFonts w:ascii="Times New Roman" w:cs="Times New Roman" w:eastAsia="Times New Roman" w:hAnsi="Times New Roman"/>
          <w:sz w:val="17"/>
          <w:szCs w:val="17"/>
          <w:color w:val="auto"/>
        </w:rPr>
        <w:t>parties, and injunctions against our processing or transferring of personal data necessary to operate our business. Some European regulators have prevented companies from transferring personal data out of Europe for allegedly</w:t>
      </w:r>
    </w:p>
    <w:p>
      <w:pPr>
        <w:ind w:left="300"/>
        <w:spacing w:after="0"/>
        <w:rPr>
          <w:sz w:val="20"/>
          <w:szCs w:val="20"/>
          <w:color w:val="auto"/>
        </w:rPr>
      </w:pPr>
      <w:r>
        <w:rPr>
          <w:rFonts w:ascii="Times New Roman" w:cs="Times New Roman" w:eastAsia="Times New Roman" w:hAnsi="Times New Roman"/>
          <w:sz w:val="18"/>
          <w:szCs w:val="18"/>
          <w:color w:val="auto"/>
        </w:rPr>
        <w:t>violating the EU GDPR’s cross-border data transfer limitations.</w:t>
      </w:r>
    </w:p>
    <w:p>
      <w:pPr>
        <w:spacing w:after="0" w:line="57"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Additionally, the U.S. Department of Justice issued a rule entitled the Preventing Access to U.S. Sensitive Personal Data and Government-Related Data by Countries of Concern or Covered Persons, which places additional</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w:t>
      </w:r>
    </w:p>
    <w:p>
      <w:pPr>
        <w:spacing w:after="0" w:line="2" w:lineRule="exact"/>
        <w:rPr>
          <w:sz w:val="20"/>
          <w:szCs w:val="20"/>
          <w:color w:val="auto"/>
        </w:rPr>
      </w:pP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6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In addition to data privacy and security laws, we are contractually subject to industry standards adopted by industry groups and may become subject to such obligations in the future. Depending upon the context, we may also be bound by other contractual obligations related to data privacy and security, and our efforts to comply with such</w:t>
      </w:r>
    </w:p>
    <w:p>
      <w:pPr>
        <w:ind w:left="300"/>
        <w:spacing w:after="0"/>
        <w:rPr>
          <w:sz w:val="20"/>
          <w:szCs w:val="20"/>
          <w:color w:val="auto"/>
        </w:rPr>
      </w:pPr>
      <w:r>
        <w:rPr>
          <w:rFonts w:ascii="Times New Roman" w:cs="Times New Roman" w:eastAsia="Times New Roman" w:hAnsi="Times New Roman"/>
          <w:sz w:val="18"/>
          <w:szCs w:val="18"/>
          <w:color w:val="auto"/>
        </w:rPr>
        <w:t>obligations may not be successful.</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We publish and may publish privacy policies, marketing materials, whitepapers, and other statements, such as compliance with certain certifications or self-regulatory principles, concerning data privacy and security. Regulators</w:t>
      </w:r>
    </w:p>
    <w:p>
      <w:pPr>
        <w:jc w:val="both"/>
        <w:ind w:left="300" w:right="479"/>
        <w:spacing w:after="0" w:line="218" w:lineRule="auto"/>
        <w:rPr>
          <w:sz w:val="20"/>
          <w:szCs w:val="20"/>
          <w:color w:val="auto"/>
        </w:rPr>
      </w:pPr>
      <w:r>
        <w:rPr>
          <w:rFonts w:ascii="Times New Roman" w:cs="Times New Roman" w:eastAsia="Times New Roman" w:hAnsi="Times New Roman"/>
          <w:sz w:val="18"/>
          <w:szCs w:val="18"/>
          <w:color w:val="auto"/>
        </w:rPr>
        <w:t>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64" w:lineRule="exact"/>
        <w:rPr>
          <w:sz w:val="20"/>
          <w:szCs w:val="20"/>
          <w:color w:val="auto"/>
        </w:rPr>
      </w:pPr>
    </w:p>
    <w:p>
      <w:pPr>
        <w:ind w:left="300" w:right="759" w:firstLine="441"/>
        <w:spacing w:after="0" w:line="229" w:lineRule="auto"/>
        <w:rPr>
          <w:sz w:val="20"/>
          <w:szCs w:val="20"/>
          <w:color w:val="auto"/>
        </w:rPr>
      </w:pPr>
      <w:r>
        <w:rPr>
          <w:rFonts w:ascii="Times New Roman" w:cs="Times New Roman" w:eastAsia="Times New Roman" w:hAnsi="Times New Roman"/>
          <w:sz w:val="17"/>
          <w:szCs w:val="17"/>
          <w:color w:val="auto"/>
        </w:rPr>
        <w:t>Our employees and personnel use artificial intelligence (including generative AI, agentic AI, or machine learning – collectively “AI”) and/or automated decision-making technologies to perform their work, and the disclosure and use of personal data in AI technologies is subject to various privacy laws and other privacy</w:t>
      </w:r>
    </w:p>
    <w:p>
      <w:pPr>
        <w:jc w:val="both"/>
        <w:ind w:left="300" w:right="539"/>
        <w:spacing w:after="0" w:line="218" w:lineRule="auto"/>
        <w:rPr>
          <w:sz w:val="20"/>
          <w:szCs w:val="20"/>
          <w:color w:val="auto"/>
        </w:rPr>
      </w:pPr>
      <w:r>
        <w:rPr>
          <w:rFonts w:ascii="Times New Roman" w:cs="Times New Roman" w:eastAsia="Times New Roman" w:hAnsi="Times New Roman"/>
          <w:sz w:val="18"/>
          <w:szCs w:val="18"/>
          <w:color w:val="auto"/>
        </w:rPr>
        <w:t>obligations. Governments have passed and are likely to pass additional laws and regulations regulating AI and/or automated decision-making technologies. Our use of this technology could result in additional compliance costs, regulatory investigations and actions, and lawsuits.</w:t>
      </w:r>
    </w:p>
    <w:p>
      <w:pPr>
        <w:spacing w:after="0" w:line="64" w:lineRule="exact"/>
        <w:rPr>
          <w:sz w:val="20"/>
          <w:szCs w:val="20"/>
          <w:color w:val="auto"/>
        </w:rPr>
      </w:pPr>
    </w:p>
    <w:p>
      <w:pPr>
        <w:ind w:left="300" w:right="479" w:firstLine="441"/>
        <w:spacing w:after="0" w:line="229" w:lineRule="auto"/>
        <w:rPr>
          <w:sz w:val="20"/>
          <w:szCs w:val="20"/>
          <w:color w:val="auto"/>
        </w:rPr>
      </w:pPr>
      <w:r>
        <w:rPr>
          <w:rFonts w:ascii="Times New Roman" w:cs="Times New Roman" w:eastAsia="Times New Roman" w:hAnsi="Times New Roman"/>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w:t>
      </w:r>
    </w:p>
    <w:p>
      <w:pPr>
        <w:ind w:left="300" w:right="719"/>
        <w:spacing w:after="0" w:line="239" w:lineRule="auto"/>
        <w:rPr>
          <w:sz w:val="20"/>
          <w:szCs w:val="20"/>
          <w:color w:val="auto"/>
        </w:rPr>
      </w:pPr>
      <w:r>
        <w:rPr>
          <w:rFonts w:ascii="Times New Roman" w:cs="Times New Roman" w:eastAsia="Times New Roman" w:hAnsi="Times New Roman"/>
          <w:sz w:val="17"/>
          <w:szCs w:val="17"/>
          <w:color w:val="auto"/>
        </w:rPr>
        <w:t>obligations requires us to devote significant resources and may necessitate changes to our services, information technologies, systems, and practices and to those of any third parties that process personal data on our behalf.</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or security</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w:t>
      </w:r>
    </w:p>
    <w:p>
      <w:pPr>
        <w:spacing w:after="0" w:line="2" w:lineRule="exact"/>
        <w:rPr>
          <w:sz w:val="20"/>
          <w:szCs w:val="20"/>
          <w:color w:val="auto"/>
        </w:rPr>
      </w:pPr>
    </w:p>
    <w:p>
      <w:pPr>
        <w:ind w:left="300" w:right="799"/>
        <w:spacing w:after="0" w:line="220" w:lineRule="auto"/>
        <w:rPr>
          <w:sz w:val="20"/>
          <w:szCs w:val="20"/>
          <w:color w:val="auto"/>
        </w:rPr>
      </w:pPr>
      <w:r>
        <w:rPr>
          <w:rFonts w:ascii="Times New Roman" w:cs="Times New Roman" w:eastAsia="Times New Roman" w:hAnsi="Times New Roman"/>
          <w:sz w:val="17"/>
          <w:szCs w:val="17"/>
          <w:color w:val="auto"/>
        </w:rPr>
        <w:t>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w:t>
      </w:r>
    </w:p>
    <w:p>
      <w:pPr>
        <w:spacing w:after="0" w:line="2" w:lineRule="exact"/>
        <w:rPr>
          <w:sz w:val="20"/>
          <w:szCs w:val="20"/>
          <w:color w:val="auto"/>
        </w:rPr>
      </w:pP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expenditure of time and resources to defend any claim or inquiry; adverse publicity; or substantial changes to our business model or operations.</w:t>
      </w:r>
    </w:p>
    <w:p>
      <w:pPr>
        <w:sectPr>
          <w:pgSz w:w="11900" w:h="16838" w:orient="portrait"/>
          <w:cols w:equalWidth="0" w:num="1">
            <w:col w:w="9019"/>
          </w:cols>
          <w:pgMar w:left="1440" w:top="108" w:right="1440" w:bottom="0" w:gutter="0" w:footer="0" w:header="0"/>
        </w:sectPr>
      </w:pPr>
    </w:p>
    <w:bookmarkStart w:id="38" w:name="page39"/>
    <w:bookmarkEnd w:id="38"/>
    <w:p>
      <w:pPr>
        <w:ind w:left="300" w:right="819"/>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13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t>Risks Related to Ownership of Our ADSs and Our Status as a Non-U.S. Company with Foreign Private Issuer Status</w:t>
      </w:r>
    </w:p>
    <w:p>
      <w:pPr>
        <w:spacing w:after="0" w:line="33" w:lineRule="exact"/>
        <w:rPr>
          <w:sz w:val="20"/>
          <w:szCs w:val="20"/>
          <w:color w:val="auto"/>
        </w:rPr>
      </w:pPr>
    </w:p>
    <w:p>
      <w:pPr>
        <w:jc w:val="both"/>
        <w:ind w:left="300" w:right="35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our business will be harmed, and the price of our securities could decline as a result.</w:t>
      </w:r>
    </w:p>
    <w:p>
      <w:pPr>
        <w:spacing w:after="0" w:line="64"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w:t>
      </w:r>
    </w:p>
    <w:p>
      <w:pPr>
        <w:jc w:val="both"/>
        <w:ind w:left="300" w:right="499"/>
        <w:spacing w:after="0" w:line="220" w:lineRule="auto"/>
        <w:rPr>
          <w:sz w:val="20"/>
          <w:szCs w:val="20"/>
          <w:color w:val="auto"/>
        </w:rPr>
      </w:pPr>
      <w:r>
        <w:rPr>
          <w:rFonts w:ascii="Times New Roman" w:cs="Times New Roman" w:eastAsia="Times New Roman" w:hAnsi="Times New Roman"/>
          <w:sz w:val="17"/>
          <w:szCs w:val="17"/>
          <w:color w:val="auto"/>
        </w:rPr>
        <w:t>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w:t>
      </w:r>
    </w:p>
    <w:p>
      <w:pPr>
        <w:spacing w:after="0" w:line="2" w:lineRule="exact"/>
        <w:rPr>
          <w:sz w:val="20"/>
          <w:szCs w:val="20"/>
          <w:color w:val="auto"/>
        </w:rPr>
      </w:pP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outside of our control. All of these milestones are based on a variety of assumptions which may cause the timing of achievement of the milestones to vary considerably from our estimates, including:</w:t>
      </w:r>
    </w:p>
    <w:p>
      <w:pPr>
        <w:spacing w:after="0" w:line="49" w:lineRule="exact"/>
        <w:rPr>
          <w:sz w:val="20"/>
          <w:szCs w:val="20"/>
          <w:color w:val="auto"/>
        </w:rPr>
      </w:pPr>
    </w:p>
    <w:p>
      <w:pPr>
        <w:ind w:left="1280" w:hanging="328"/>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620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280" w:right="639" w:hanging="328"/>
        <w:spacing w:after="0" w:line="231"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50" w:lineRule="exact"/>
        <w:rPr>
          <w:rFonts w:ascii="Times New Roman" w:cs="Times New Roman" w:eastAsia="Times New Roman" w:hAnsi="Times New Roman"/>
          <w:sz w:val="18"/>
          <w:szCs w:val="18"/>
          <w:color w:val="auto"/>
        </w:rPr>
      </w:pPr>
    </w:p>
    <w:p>
      <w:pPr>
        <w:ind w:left="1280" w:right="659" w:hanging="328"/>
        <w:spacing w:after="0" w:line="237"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European Commission, FDA and other regulatory agencies and the timing thereof;</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76" w:lineRule="exact"/>
        <w:rPr>
          <w:rFonts w:ascii="Times New Roman" w:cs="Times New Roman" w:eastAsia="Times New Roman" w:hAnsi="Times New Roman"/>
          <w:sz w:val="18"/>
          <w:szCs w:val="18"/>
          <w:color w:val="auto"/>
        </w:rPr>
      </w:pPr>
    </w:p>
    <w:p>
      <w:pPr>
        <w:ind w:left="1280" w:right="459" w:hanging="328"/>
        <w:spacing w:after="0" w:line="237"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compounds and raw materials used in the manufacture of our drug candidates;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76" w:lineRule="exact"/>
        <w:rPr>
          <w:rFonts w:ascii="Times New Roman" w:cs="Times New Roman" w:eastAsia="Times New Roman" w:hAnsi="Times New Roman"/>
          <w:sz w:val="18"/>
          <w:szCs w:val="18"/>
          <w:color w:val="auto"/>
        </w:rPr>
      </w:pPr>
    </w:p>
    <w:p>
      <w:pPr>
        <w:ind w:left="1280" w:right="539" w:hanging="328"/>
        <w:spacing w:after="0" w:line="237"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172" w:lineRule="exact"/>
        <w:rPr>
          <w:sz w:val="20"/>
          <w:szCs w:val="20"/>
          <w:color w:val="auto"/>
        </w:rPr>
      </w:pPr>
    </w:p>
    <w:p>
      <w:pPr>
        <w:ind w:left="300" w:right="339" w:firstLine="441"/>
        <w:spacing w:after="0" w:line="22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our drug candidates may be delayed, our business and results of operations may be harmed, and the trading price of the ADSs may decline as a result.</w:t>
      </w:r>
    </w:p>
    <w:p>
      <w:pPr>
        <w:spacing w:after="0" w:line="59" w:lineRule="exact"/>
        <w:rPr>
          <w:sz w:val="20"/>
          <w:szCs w:val="20"/>
          <w:color w:val="auto"/>
        </w:rPr>
      </w:pPr>
    </w:p>
    <w:p>
      <w:pPr>
        <w:ind w:left="300" w:right="47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for U.S. federal income tax purposes, which could result in adverse U.S. federal income tax consequences to U.S. investors.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(“income test”), or at</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least 50% of the value of our assets (based on an average of the quarterly values of the assets during a taxable year) is attributable to assets that produce passive income or are held for the production of passive income, including cash, we would be characterized as a passive foreign investment company (“PFIC”) for U.S. federal income tax purposes.</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For purposes of these tests, passive income includes, among other things, dividends, interest, and gains from the sale or exchange of investment property and rents or royalties other than rents or royalties which are received from unrelated parties in connection with the active conduct of a trade or business. Cash and cash equivalents are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generally treated as passive assets. Goodwill is treated as an active asset to the extent associated with business activities that produce active income. For purposes of the PFIC rules, a non-U.S. corporation that owns, directly or indirectly, at least 25% by value of the equity interests of another corporation or partnership is treated as if it held its</w:t>
      </w:r>
    </w:p>
    <w:p>
      <w:pPr>
        <w:spacing w:after="0" w:line="2" w:lineRule="exact"/>
        <w:rPr>
          <w:sz w:val="20"/>
          <w:szCs w:val="20"/>
          <w:color w:val="auto"/>
        </w:rPr>
      </w:pP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proportionate share of the assets of the other corporation or partnership, and received directly its proportionate share of the income of the other corporation or partnership. Equity interests of less than 25% by value in any other corporation or partnership are treated as passive assets, regardless of the nature of the other corporation or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partnership’s business.</w:t>
      </w:r>
    </w:p>
    <w:p>
      <w:pPr>
        <w:spacing w:after="0" w:line="57"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If we are a PFIC for any taxable year in which a U.S. Holder (as defined in Item 10.E. Taxation—Material U.S. Federal Income Tax Considerations for U.S. Holders) holds an ADS, certain adverse U.S. federal income tax</w:t>
      </w:r>
    </w:p>
    <w:p>
      <w:pPr>
        <w:ind w:left="300" w:right="739"/>
        <w:spacing w:after="0" w:line="218" w:lineRule="auto"/>
        <w:rPr>
          <w:sz w:val="20"/>
          <w:szCs w:val="20"/>
          <w:color w:val="auto"/>
        </w:rPr>
      </w:pPr>
      <w:r>
        <w:rPr>
          <w:rFonts w:ascii="Times New Roman" w:cs="Times New Roman" w:eastAsia="Times New Roman" w:hAnsi="Times New Roman"/>
          <w:sz w:val="18"/>
          <w:szCs w:val="18"/>
          <w:color w:val="auto"/>
        </w:rPr>
        <w:t>consequences could apply to such U.S. Holder including increased tax liability on disposition gains and certain “excess distributions” and additional reporting requirements. See Item 10.E. Taxation—Material U.S. Federal Income Tax Considerations for U.S. Holders—Passive Foreign Investment Company Rules.</w:t>
      </w:r>
    </w:p>
    <w:p>
      <w:pPr>
        <w:spacing w:after="0" w:line="64" w:lineRule="exact"/>
        <w:rPr>
          <w:sz w:val="20"/>
          <w:szCs w:val="20"/>
          <w:color w:val="auto"/>
        </w:rPr>
      </w:pPr>
    </w:p>
    <w:p>
      <w:pPr>
        <w:jc w:val="both"/>
        <w:ind w:left="300" w:right="479" w:firstLine="441"/>
        <w:spacing w:after="0" w:line="229" w:lineRule="auto"/>
        <w:rPr>
          <w:sz w:val="20"/>
          <w:szCs w:val="20"/>
          <w:color w:val="auto"/>
        </w:rPr>
      </w:pPr>
      <w:r>
        <w:rPr>
          <w:rFonts w:ascii="Times New Roman" w:cs="Times New Roman" w:eastAsia="Times New Roman" w:hAnsi="Times New Roman"/>
          <w:sz w:val="17"/>
          <w:szCs w:val="17"/>
          <w:color w:val="auto"/>
        </w:rPr>
        <w:t>Based on our analysis of our financial statements, activities and relevant market and shareholder data, we do not believe that we were a PFIC for the taxable year ended December 31, 2025. The determination of whether we are a PFIC is a fact-intensive determination made on an annual basis and the applicable law is subject to varying</w:t>
      </w:r>
    </w:p>
    <w:p>
      <w:pPr>
        <w:jc w:val="both"/>
        <w:ind w:left="300" w:right="559"/>
        <w:spacing w:after="0" w:line="220" w:lineRule="auto"/>
        <w:rPr>
          <w:sz w:val="20"/>
          <w:szCs w:val="20"/>
          <w:color w:val="auto"/>
        </w:rPr>
      </w:pPr>
      <w:r>
        <w:rPr>
          <w:rFonts w:ascii="Times New Roman" w:cs="Times New Roman" w:eastAsia="Times New Roman" w:hAnsi="Times New Roman"/>
          <w:sz w:val="17"/>
          <w:szCs w:val="17"/>
          <w:color w:val="auto"/>
        </w:rPr>
        <w:t>interpretation. Whether we are a PFIC for any taxable year will depend on the composition of our income and the composition, nature and value of our assets from time to time (including the value of our goodwill, which may be determined by reference to the value of our ADSs, which could fluctuate considerably). We currently do not</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generate product revenues and therefore we may be a PFIC for any taxable year in which we do not generate sufficient amounts of non-passive income to offset our passive income. As a result, there can be no assurance that we will not be treated as a PFIC for the current or any future taxable year and our U.S. counsel expresses no opinion</w:t>
      </w:r>
    </w:p>
    <w:p>
      <w:pPr>
        <w:spacing w:after="0" w:line="2" w:lineRule="exact"/>
        <w:rPr>
          <w:sz w:val="20"/>
          <w:szCs w:val="20"/>
          <w:color w:val="auto"/>
        </w:rPr>
      </w:pPr>
    </w:p>
    <w:p>
      <w:pPr>
        <w:jc w:val="both"/>
        <w:ind w:left="300" w:right="419"/>
        <w:spacing w:after="0" w:line="220" w:lineRule="auto"/>
        <w:rPr>
          <w:sz w:val="20"/>
          <w:szCs w:val="20"/>
          <w:color w:val="auto"/>
        </w:rPr>
      </w:pPr>
      <w:r>
        <w:rPr>
          <w:rFonts w:ascii="Times New Roman" w:cs="Times New Roman" w:eastAsia="Times New Roman" w:hAnsi="Times New Roman"/>
          <w:sz w:val="17"/>
          <w:szCs w:val="17"/>
          <w:color w:val="auto"/>
        </w:rPr>
        <w:t>with respect to our PFIC status for any prior, current or future taxable year. Even if we determine that we are not a PFIC for a taxable year, there can be no assurance that the Internal Revenue Service (the "IRS") will agree with our conclusion and that the IRS would not successfully challenge our position. Each U.S. holder is strongly urged 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consult its tax advisor regarding these issues and any available elections to mitigate such tax consequences.</w:t>
      </w:r>
    </w:p>
    <w:p>
      <w:pPr>
        <w:spacing w:after="0" w:line="53" w:lineRule="exact"/>
        <w:rPr>
          <w:sz w:val="20"/>
          <w:szCs w:val="20"/>
          <w:color w:val="auto"/>
        </w:rPr>
      </w:pPr>
    </w:p>
    <w:p>
      <w:pPr>
        <w:ind w:left="300" w:right="6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a French company with limited liability. Our corporate affairs are governed by our by-laws and by the</w:t>
      </w:r>
    </w:p>
    <w:p>
      <w:pPr>
        <w:sectPr>
          <w:pgSz w:w="11900" w:h="16838" w:orient="portrait"/>
          <w:cols w:equalWidth="0" w:num="1">
            <w:col w:w="9019"/>
          </w:cols>
          <w:pgMar w:left="1440" w:top="266" w:right="1440" w:bottom="0" w:gutter="0" w:footer="0" w:header="0"/>
        </w:sectPr>
      </w:pPr>
    </w:p>
    <w:bookmarkStart w:id="39" w:name="page40"/>
    <w:bookmarkEnd w:id="39"/>
    <w:p>
      <w:pPr>
        <w:ind w:left="300" w:right="359"/>
        <w:spacing w:after="0" w:line="183" w:lineRule="auto"/>
        <w:rPr>
          <w:sz w:val="20"/>
          <w:szCs w:val="20"/>
          <w:color w:val="auto"/>
        </w:rPr>
      </w:pPr>
      <w:r>
        <w:rPr>
          <w:rFonts w:ascii="Times New Roman" w:cs="Times New Roman" w:eastAsia="Times New Roman" w:hAnsi="Times New Roman"/>
          <w:sz w:val="12"/>
          <w:szCs w:val="12"/>
          <w:color w:val="auto"/>
        </w:rPr>
        <w:t>laws governing companies incorporated in France. The rights of shareholde</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2"/>
          <w:szCs w:val="12"/>
          <w:color w:val="auto"/>
        </w:rPr>
        <w:t>s and the responsibilities of m</w:t>
      </w:r>
      <w:r>
        <w:rPr>
          <w:rFonts w:ascii="Times New Roman" w:cs="Times New Roman" w:eastAsia="Times New Roman" w:hAnsi="Times New Roman"/>
          <w:sz w:val="18"/>
          <w:szCs w:val="18"/>
          <w:color w:val="auto"/>
          <w:vertAlign w:val="superscript"/>
        </w:rPr>
        <w:t>e</w:t>
      </w:r>
      <w:r>
        <w:rPr>
          <w:rFonts w:ascii="Times New Roman" w:cs="Times New Roman" w:eastAsia="Times New Roman" w:hAnsi="Times New Roman"/>
          <w:sz w:val="12"/>
          <w:szCs w:val="12"/>
          <w:color w:val="auto"/>
        </w:rPr>
        <w:t>m</w:t>
      </w: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2"/>
          <w:szCs w:val="12"/>
          <w:color w:val="auto"/>
        </w:rPr>
        <w:t>ers of our Board are in many ways different from the rights and obligations of sha eholders in companies govern d 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-146050</wp:posOffset>
            </wp:positionV>
            <wp:extent cx="7016115" cy="1442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laws of U.S. jurisdictions. For example, in the performance of its duties, our Board is required by French law to consider the interests of our company, its shareholders, its employees and other stakeholders, rather than solely our shareholders and/or creditors. It is possible that some of these parties will have interests that are different from, or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 to, your interests as a shareholder or holder of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991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35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protecting your interests, and your ability to protect your rights through the U.S. federal courts may be limited because we are incorporated under the laws of France, all of our assets are in the</w:t>
      </w: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a majority of our directors and executive officers reside outside the United States.</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We are constituted under the laws of France. A majority of our officers and directors reside outside the United States. In addition, a substantial portion of their assets and our assets are located outside of the United States.</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U.S. Federal or state securities laws. Furthermore, there is substantial doubt as to the enforceability in France against us or against any of our directors and officers who are not residents of the United States, in original actions or in actions for enforcement of judgments of U.S. courts, of liabilities based solely upon the civil liability provisions of</w:t>
      </w:r>
    </w:p>
    <w:p>
      <w:pPr>
        <w:spacing w:after="0" w:line="2" w:lineRule="exact"/>
        <w:rPr>
          <w:sz w:val="20"/>
          <w:szCs w:val="20"/>
          <w:color w:val="auto"/>
        </w:rPr>
      </w:pP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the U.S. federal securities laws. In addition, shareholders in French corporations may not have standing to initiate a shareholder derivative action in U.S. federal courts.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a result, our public shareholders may have more difficulty in protecting their interests through actions</w:t>
      </w:r>
    </w:p>
    <w:p>
      <w:pPr>
        <w:spacing w:after="0" w:line="2" w:lineRule="exact"/>
        <w:rPr>
          <w:sz w:val="20"/>
          <w:szCs w:val="20"/>
          <w:color w:val="auto"/>
        </w:rPr>
      </w:pPr>
    </w:p>
    <w:p>
      <w:pPr>
        <w:ind w:left="300" w:right="819"/>
        <w:spacing w:after="0" w:line="226" w:lineRule="auto"/>
        <w:rPr>
          <w:sz w:val="20"/>
          <w:szCs w:val="20"/>
          <w:color w:val="auto"/>
        </w:rPr>
      </w:pPr>
      <w:r>
        <w:rPr>
          <w:rFonts w:ascii="Times New Roman" w:cs="Times New Roman" w:eastAsia="Times New Roman" w:hAnsi="Times New Roman"/>
          <w:sz w:val="18"/>
          <w:szCs w:val="18"/>
          <w:color w:val="auto"/>
        </w:rPr>
        <w:t>against us, our management, our directors or our major shareholders than would shareholders of a corporation incorporated in a jurisdiction in the United States.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may adversely affect the liquidity and value of the ADSs.</w:t>
      </w:r>
    </w:p>
    <w:p>
      <w:pPr>
        <w:spacing w:after="0" w:line="9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Our ordinary shares are listed on Euronext Paris and our ADSs are listed on the Nasdaq Stock Market. Trading of the ADSs or ordinary shares in these markets will take place in different currencies (U.S. dollars on Nasdaq and euros on Euronext Paris), and at different times (resulting from different time zones, different trading days and</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w:t>
      </w:r>
    </w:p>
    <w:p>
      <w:pPr>
        <w:spacing w:after="0" w:line="2" w:lineRule="exact"/>
        <w:rPr>
          <w:sz w:val="20"/>
          <w:szCs w:val="20"/>
          <w:color w:val="auto"/>
        </w:rPr>
      </w:pP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listing of our ordinary shares and the ADSs may reduce the liquidity of these securities in one or both markets and may adversely affect the development of an active trading market for the ADSs in the United States.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by-laws and French corporate law contain provisions that may delay or discourage a takeover attempt.</w:t>
      </w:r>
    </w:p>
    <w:p>
      <w:pPr>
        <w:spacing w:after="0" w:line="94"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Provisions contained in our by-laws and French corporate law could make it more difficult for a third party to acquire us, even if doing so might be beneficial to our shareholders. In addition, provisions of our by-laws impose various procedural and other requirements, which could make it more difficult for shareholders to effect certain</w:t>
      </w:r>
    </w:p>
    <w:p>
      <w:pPr>
        <w:ind w:left="300"/>
        <w:spacing w:after="0"/>
        <w:rPr>
          <w:sz w:val="20"/>
          <w:szCs w:val="20"/>
          <w:color w:val="auto"/>
        </w:rPr>
      </w:pPr>
      <w:r>
        <w:rPr>
          <w:rFonts w:ascii="Times New Roman" w:cs="Times New Roman" w:eastAsia="Times New Roman" w:hAnsi="Times New Roman"/>
          <w:sz w:val="18"/>
          <w:szCs w:val="18"/>
          <w:color w:val="auto"/>
        </w:rPr>
        <w:t>corporate actions. These provisions include the following:</w:t>
      </w:r>
    </w:p>
    <w:p>
      <w:pPr>
        <w:spacing w:after="0" w:line="57" w:lineRule="exact"/>
        <w:rPr>
          <w:sz w:val="20"/>
          <w:szCs w:val="20"/>
          <w:color w:val="auto"/>
        </w:rPr>
      </w:pPr>
    </w:p>
    <w:p>
      <w:pPr>
        <w:ind w:left="1280" w:right="319" w:hanging="328"/>
        <w:spacing w:after="0" w:line="224"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the owner of 90% of the share capital or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50" w:lineRule="exact"/>
        <w:rPr>
          <w:rFonts w:ascii="Times New Roman" w:cs="Times New Roman" w:eastAsia="Times New Roman" w:hAnsi="Times New Roman"/>
          <w:sz w:val="18"/>
          <w:szCs w:val="18"/>
          <w:color w:val="auto"/>
        </w:rPr>
      </w:pPr>
    </w:p>
    <w:p>
      <w:pPr>
        <w:ind w:left="1280" w:right="379" w:hanging="328"/>
        <w:spacing w:after="0" w:line="217"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a non-resident of France as well as any French entity controlled by non-residents of France may have to file a declaration for statistical purposes with the Bank of France (</w:t>
      </w:r>
      <w:r>
        <w:rPr>
          <w:rFonts w:ascii="Times New Roman" w:cs="Times New Roman" w:eastAsia="Times New Roman" w:hAnsi="Times New Roman"/>
          <w:sz w:val="18"/>
          <w:szCs w:val="18"/>
          <w:i w:val="1"/>
          <w:iCs w:val="1"/>
          <w:color w:val="auto"/>
        </w:rPr>
        <w:t>Banque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within 20 working days following the date of certain direct foreign investments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purchase of our ADSs. In particular, such filings are required in connection with investments exceeding €15 million that lead to the acquisition of at least 10% of our share capital or voting rights or cross such 10% threshold. See “Limitations Affecting Shareholders of a French Company”;</w:t>
      </w:r>
    </w:p>
    <w:p>
      <w:pPr>
        <w:spacing w:after="0" w:line="66" w:lineRule="exact"/>
        <w:rPr>
          <w:rFonts w:ascii="Times New Roman" w:cs="Times New Roman" w:eastAsia="Times New Roman" w:hAnsi="Times New Roman"/>
          <w:sz w:val="18"/>
          <w:szCs w:val="18"/>
          <w:color w:val="auto"/>
        </w:rPr>
      </w:pPr>
    </w:p>
    <w:p>
      <w:pPr>
        <w:ind w:left="1280" w:right="479" w:hanging="328"/>
        <w:spacing w:after="0" w:line="224"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certain foreign investments in companies incorporated under French laws are subject to the prior authorization from the French Minister of Economy, where all or part of the target’s business and activity relate to a strategic sector, such as energy, transportation, the protection of public health, telecommunications, research and development in biotechnologies, etc.;</w:t>
      </w:r>
    </w:p>
    <w:p>
      <w:pPr>
        <w:spacing w:after="0" w:line="50" w:lineRule="exact"/>
        <w:rPr>
          <w:rFonts w:ascii="Times New Roman" w:cs="Times New Roman" w:eastAsia="Times New Roman" w:hAnsi="Times New Roman"/>
          <w:sz w:val="18"/>
          <w:szCs w:val="18"/>
          <w:color w:val="auto"/>
        </w:rPr>
      </w:pPr>
    </w:p>
    <w:p>
      <w:pPr>
        <w:ind w:left="1280" w:right="519" w:hanging="328"/>
        <w:spacing w:after="0" w:line="220"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as well as a two-thirds majority of the votes held by the shareholders present, represented by proxy or voting by mail at the relevant meeting;</w:t>
      </w:r>
    </w:p>
    <w:p>
      <w:pPr>
        <w:spacing w:after="0" w:line="63" w:lineRule="exact"/>
        <w:rPr>
          <w:rFonts w:ascii="Times New Roman" w:cs="Times New Roman" w:eastAsia="Times New Roman" w:hAnsi="Times New Roman"/>
          <w:sz w:val="18"/>
          <w:szCs w:val="18"/>
          <w:color w:val="auto"/>
        </w:rPr>
      </w:pPr>
    </w:p>
    <w:p>
      <w:pPr>
        <w:ind w:left="1280" w:right="519" w:hanging="328"/>
        <w:spacing w:after="0" w:line="237"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our company into a company incorporated outside of the European Union would require 100% of our shareholders to approve it;</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08" w:right="1440" w:bottom="0" w:gutter="0" w:footer="0" w:header="0"/>
          <w:type w:val="continuous"/>
        </w:sectPr>
      </w:pPr>
    </w:p>
    <w:bookmarkStart w:id="40" w:name="page41"/>
    <w:bookmarkEnd w:id="4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r>
    </w:p>
    <w:p>
      <w:pPr>
        <w:ind w:left="1280" w:right="499" w:hanging="328"/>
        <w:spacing w:after="0" w:line="237"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a cash merger is treated as a share purchase and would require the consent of each participating shareholder;</w:t>
      </w:r>
    </w:p>
    <w:p>
      <w:pPr>
        <w:spacing w:after="0" w:line="63" w:lineRule="exact"/>
        <w:rPr>
          <w:rFonts w:ascii="Times New Roman" w:cs="Times New Roman" w:eastAsia="Times New Roman" w:hAnsi="Times New Roman"/>
          <w:sz w:val="18"/>
          <w:szCs w:val="18"/>
          <w:color w:val="auto"/>
        </w:rPr>
      </w:pPr>
    </w:p>
    <w:p>
      <w:pPr>
        <w:ind w:left="1280" w:right="359" w:hanging="328"/>
        <w:spacing w:after="0" w:line="224"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have granted and may grant in the future our Board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48" w:lineRule="exact"/>
        <w:rPr>
          <w:rFonts w:ascii="Times New Roman" w:cs="Times New Roman" w:eastAsia="Times New Roman" w:hAnsi="Times New Roman"/>
          <w:sz w:val="18"/>
          <w:szCs w:val="18"/>
          <w:color w:val="auto"/>
        </w:rPr>
      </w:pPr>
    </w:p>
    <w:p>
      <w:pPr>
        <w:ind w:left="1280" w:right="439" w:hanging="328"/>
        <w:spacing w:after="0" w:line="225"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shareholders have preferential subscription rights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49" w:lineRule="exact"/>
        <w:rPr>
          <w:rFonts w:ascii="Times New Roman" w:cs="Times New Roman" w:eastAsia="Times New Roman" w:hAnsi="Times New Roman"/>
          <w:sz w:val="18"/>
          <w:szCs w:val="18"/>
          <w:color w:val="auto"/>
        </w:rPr>
      </w:pPr>
    </w:p>
    <w:p>
      <w:pPr>
        <w:ind w:left="1280" w:right="579" w:hanging="328"/>
        <w:spacing w:after="0" w:line="231"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w:t>
      </w:r>
    </w:p>
    <w:p>
      <w:pPr>
        <w:spacing w:after="0" w:line="50" w:lineRule="exact"/>
        <w:rPr>
          <w:rFonts w:ascii="Times New Roman" w:cs="Times New Roman" w:eastAsia="Times New Roman" w:hAnsi="Times New Roman"/>
          <w:sz w:val="18"/>
          <w:szCs w:val="18"/>
          <w:color w:val="auto"/>
        </w:rPr>
      </w:pPr>
    </w:p>
    <w:p>
      <w:pPr>
        <w:ind w:left="1280" w:right="339" w:hanging="328"/>
        <w:spacing w:after="0" w:line="224"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 be convened by our chairman, including upon request from our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if the positions of Chief Executive Officer and Chairman of the Board are not held by the same person, or, when no board meeting has been held for more than two consecutive months, from directors representing at least one-third of the total number of directors;</w:t>
      </w:r>
    </w:p>
    <w:p>
      <w:pPr>
        <w:spacing w:after="0" w:line="64" w:lineRule="exact"/>
        <w:rPr>
          <w:rFonts w:ascii="Times New Roman" w:cs="Times New Roman" w:eastAsia="Times New Roman" w:hAnsi="Times New Roman"/>
          <w:sz w:val="18"/>
          <w:szCs w:val="18"/>
          <w:color w:val="auto"/>
        </w:rPr>
      </w:pPr>
    </w:p>
    <w:p>
      <w:pPr>
        <w:ind w:left="1280" w:right="319" w:hanging="328"/>
        <w:spacing w:after="0" w:line="226"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are registered or bearer, if the legislation so permits, according to the shareholder’s choice;</w:t>
      </w:r>
    </w:p>
    <w:p>
      <w:pPr>
        <w:spacing w:after="0" w:line="63" w:lineRule="exact"/>
        <w:rPr>
          <w:rFonts w:ascii="Times New Roman" w:cs="Times New Roman" w:eastAsia="Times New Roman" w:hAnsi="Times New Roman"/>
          <w:sz w:val="18"/>
          <w:szCs w:val="18"/>
          <w:color w:val="auto"/>
        </w:rPr>
      </w:pPr>
    </w:p>
    <w:p>
      <w:pPr>
        <w:ind w:left="1280" w:right="499" w:hanging="328"/>
        <w:spacing w:after="0" w:line="231"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50" w:lineRule="exact"/>
        <w:rPr>
          <w:rFonts w:ascii="Times New Roman" w:cs="Times New Roman" w:eastAsia="Times New Roman" w:hAnsi="Times New Roman"/>
          <w:sz w:val="18"/>
          <w:szCs w:val="18"/>
          <w:color w:val="auto"/>
        </w:rPr>
      </w:pPr>
    </w:p>
    <w:p>
      <w:pPr>
        <w:ind w:left="1280" w:right="419" w:hanging="328"/>
        <w:spacing w:after="0" w:line="231"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is required for nominations to the Board or for proposing matters to be acted upon at a shareholders’ meeting, except that a vote to remove and replace a director can be proposed at any shareholders’ meeting without notice;</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can be changed in accordance with applicable French laws and regulations;</w:t>
      </w:r>
    </w:p>
    <w:p>
      <w:pPr>
        <w:spacing w:after="0" w:line="90" w:lineRule="exact"/>
        <w:rPr>
          <w:rFonts w:ascii="Times New Roman" w:cs="Times New Roman" w:eastAsia="Times New Roman" w:hAnsi="Times New Roman"/>
          <w:sz w:val="18"/>
          <w:szCs w:val="18"/>
          <w:color w:val="auto"/>
        </w:rPr>
      </w:pPr>
    </w:p>
    <w:p>
      <w:pPr>
        <w:ind w:left="1280" w:right="699" w:hanging="328"/>
        <w:spacing w:after="0" w:line="237"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crossing of certain thresholds must be disclosed and can impose certain obligations (including filing a mandatory public tender offer);</w:t>
      </w:r>
    </w:p>
    <w:p>
      <w:pPr>
        <w:spacing w:after="0" w:line="50" w:lineRule="exact"/>
        <w:rPr>
          <w:rFonts w:ascii="Times New Roman" w:cs="Times New Roman" w:eastAsia="Times New Roman" w:hAnsi="Times New Roman"/>
          <w:sz w:val="18"/>
          <w:szCs w:val="18"/>
          <w:color w:val="auto"/>
        </w:rPr>
      </w:pPr>
    </w:p>
    <w:p>
      <w:pPr>
        <w:ind w:left="1280" w:right="359" w:hanging="328"/>
        <w:spacing w:after="0" w:line="250"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shall comply with applicable insider trading rules and regulations and, in particular, with the EU Market Abuse Directive and Regulation dated April 16, 2014; and</w:t>
      </w:r>
    </w:p>
    <w:p>
      <w:pPr>
        <w:spacing w:after="0" w:line="41" w:lineRule="exact"/>
        <w:rPr>
          <w:rFonts w:ascii="Times New Roman" w:cs="Times New Roman" w:eastAsia="Times New Roman" w:hAnsi="Times New Roman"/>
          <w:sz w:val="18"/>
          <w:szCs w:val="18"/>
          <w:color w:val="auto"/>
        </w:rPr>
      </w:pPr>
    </w:p>
    <w:p>
      <w:pPr>
        <w:ind w:left="1280" w:right="339" w:hanging="328"/>
        <w:spacing w:after="0" w:line="231"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French law, the sections of our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46"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Existing and potential investors in our ordinary shares or ADSs may have to request the prior authorization from the French Ministry of Economy prior to acquiring an interest in our ordinary shares or ADSs.</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Under French law, direct and indirect acquisition of control of all or part of a branch of activity, or, acting alone or in concert, of more than 25% (10% for investments made by non-EU/EEA investors in companies like ours whose shares are admitted to trading on a French or EU regulated market) of voting rights of a French company</w:t>
      </w:r>
    </w:p>
    <w:p>
      <w:pPr>
        <w:ind w:left="300" w:right="659"/>
        <w:spacing w:after="0" w:line="220" w:lineRule="auto"/>
        <w:rPr>
          <w:sz w:val="20"/>
          <w:szCs w:val="20"/>
          <w:color w:val="auto"/>
        </w:rPr>
      </w:pPr>
      <w:r>
        <w:rPr>
          <w:rFonts w:ascii="Times New Roman" w:cs="Times New Roman" w:eastAsia="Times New Roman" w:hAnsi="Times New Roman"/>
          <w:sz w:val="17"/>
          <w:szCs w:val="17"/>
          <w:color w:val="auto"/>
        </w:rPr>
        <w:t>deemed to be active in a strategic industry, by foreign investors is subject to prior authorization of the French Ministry of Economy pursuant to Articles L. 151-1 et seq. and R. 151-1 et seq. of the French Monetary and Financial Code. Industries essential to the protection of public health and research and development activities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biotechnologies are among the categories which fall within the scope of this regulation.</w:t>
      </w:r>
    </w:p>
    <w:p>
      <w:pPr>
        <w:spacing w:after="0" w:line="57" w:lineRule="exact"/>
        <w:rPr>
          <w:sz w:val="20"/>
          <w:szCs w:val="20"/>
          <w:color w:val="auto"/>
        </w:rPr>
      </w:pPr>
    </w:p>
    <w:p>
      <w:pPr>
        <w:ind w:left="300" w:right="1019" w:firstLine="441"/>
        <w:spacing w:after="0" w:line="236" w:lineRule="auto"/>
        <w:rPr>
          <w:sz w:val="20"/>
          <w:szCs w:val="20"/>
          <w:color w:val="auto"/>
        </w:rPr>
      </w:pPr>
      <w:r>
        <w:rPr>
          <w:rFonts w:ascii="Times New Roman" w:cs="Times New Roman" w:eastAsia="Times New Roman" w:hAnsi="Times New Roman"/>
          <w:sz w:val="17"/>
          <w:szCs w:val="17"/>
          <w:color w:val="auto"/>
        </w:rPr>
        <w:t>If necessary to protect strategic assets, the ministry may oppose to the transaction or condition its authorization upon the commitment of the investor to certain structural and behavioral remedies that aim at</w:t>
      </w:r>
    </w:p>
    <w:p>
      <w:pPr>
        <w:ind w:left="300"/>
        <w:spacing w:after="0"/>
        <w:rPr>
          <w:sz w:val="20"/>
          <w:szCs w:val="20"/>
          <w:color w:val="auto"/>
        </w:rPr>
      </w:pPr>
      <w:r>
        <w:rPr>
          <w:rFonts w:ascii="Times New Roman" w:cs="Times New Roman" w:eastAsia="Times New Roman" w:hAnsi="Times New Roman"/>
          <w:sz w:val="18"/>
          <w:szCs w:val="18"/>
          <w:color w:val="auto"/>
        </w:rPr>
        <w:t>maintaining strategic activities, knowledge, MAs and intellectual property in France.</w:t>
      </w:r>
    </w:p>
    <w:p>
      <w:pPr>
        <w:spacing w:after="0" w:line="57" w:lineRule="exact"/>
        <w:rPr>
          <w:sz w:val="20"/>
          <w:szCs w:val="20"/>
          <w:color w:val="auto"/>
        </w:rPr>
      </w:pPr>
    </w:p>
    <w:p>
      <w:pPr>
        <w:ind w:left="300" w:right="619" w:firstLine="441"/>
        <w:spacing w:after="0" w:line="236" w:lineRule="auto"/>
        <w:rPr>
          <w:sz w:val="20"/>
          <w:szCs w:val="20"/>
          <w:color w:val="auto"/>
        </w:rPr>
      </w:pPr>
      <w:r>
        <w:rPr>
          <w:rFonts w:ascii="Times New Roman" w:cs="Times New Roman" w:eastAsia="Times New Roman" w:hAnsi="Times New Roman"/>
          <w:sz w:val="17"/>
          <w:szCs w:val="17"/>
          <w:color w:val="auto"/>
        </w:rPr>
        <w:t>If an investment requiring the prior authorization of the French Minister of Economy is completed without such authorization having been granted, the French Minister of Economy might order the relevant investor to</w:t>
      </w:r>
    </w:p>
    <w:p>
      <w:pPr>
        <w:ind w:left="300" w:right="379" w:hanging="8"/>
        <w:spacing w:after="0" w:line="213" w:lineRule="auto"/>
        <w:tabs>
          <w:tab w:leader="none" w:pos="5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for authorization, (ii) have the situation prior to the completion of the investment restored at its own expense or (iii) amend the investment. Non-compliance with the authorization requirement or breach to the conditions imposed may expose the relevant investor to a criminal fine which cannot exceed the greater of: (i) twice the amount of the relevant investment, (ii) 10% of the annual turnover before tax of the target company and (iii) €5 million (for an entity) or €1 million (for an individual). The French Minister of Economy may also adopt precautionary measures it deems necessary to protect strategic sovereign assets, including the suspension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207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659"/>
        <w:spacing w:after="0" w:line="237" w:lineRule="auto"/>
        <w:rPr>
          <w:sz w:val="20"/>
          <w:szCs w:val="20"/>
          <w:color w:val="auto"/>
        </w:rPr>
      </w:pPr>
      <w:r>
        <w:rPr>
          <w:rFonts w:ascii="Times New Roman" w:cs="Times New Roman" w:eastAsia="Times New Roman" w:hAnsi="Times New Roman"/>
          <w:sz w:val="18"/>
          <w:szCs w:val="18"/>
          <w:color w:val="auto"/>
        </w:rPr>
        <w:t>rights or the prohibition or limitation of the distribution of dividends and remuneration attached to shares whose ownership by the investor should have been subject to prior authorization.</w:t>
      </w:r>
    </w:p>
    <w:p>
      <w:pPr>
        <w:sectPr>
          <w:pgSz w:w="11900" w:h="16838" w:orient="portrait"/>
          <w:cols w:equalWidth="0" w:num="1">
            <w:col w:w="9019"/>
          </w:cols>
          <w:pgMar w:left="1440" w:top="1440" w:right="1440" w:bottom="0" w:gutter="0" w:footer="0" w:header="0"/>
          <w:type w:val="continuous"/>
        </w:sectPr>
      </w:pPr>
    </w:p>
    <w:bookmarkStart w:id="41" w:name="page42"/>
    <w:bookmarkEnd w:id="41"/>
    <w:p>
      <w:pPr>
        <w:ind w:left="300" w:right="479"/>
        <w:spacing w:after="0" w:line="221" w:lineRule="auto"/>
        <w:rPr>
          <w:sz w:val="20"/>
          <w:szCs w:val="20"/>
          <w:color w:val="auto"/>
        </w:rPr>
      </w:pPr>
      <w:r>
        <w:rPr>
          <w:rFonts w:ascii="Times New Roman" w:cs="Times New Roman" w:eastAsia="Times New Roman" w:hAnsi="Times New Roman"/>
          <w:sz w:val="12"/>
          <w:szCs w:val="12"/>
          <w:color w:val="auto"/>
        </w:rPr>
        <w:t>regulated</w:t>
      </w:r>
      <w:r>
        <w:rPr>
          <w:rFonts w:ascii="Times New Roman" w:cs="Times New Roman" w:eastAsia="Times New Roman" w:hAnsi="Times New Roman"/>
          <w:sz w:val="20"/>
          <w:szCs w:val="20"/>
          <w:color w:val="auto"/>
          <w:vertAlign w:val="superscript"/>
        </w:rPr>
        <w:t>The</w:t>
      </w:r>
      <w:r>
        <w:rPr>
          <w:rFonts w:ascii="Times New Roman" w:cs="Times New Roman" w:eastAsia="Times New Roman" w:hAnsi="Times New Roman"/>
          <w:sz w:val="12"/>
          <w:szCs w:val="12"/>
          <w:color w:val="auto"/>
        </w:rPr>
        <w:t>market</w:t>
      </w:r>
      <w:r>
        <w:rPr>
          <w:rFonts w:ascii="Times New Roman" w:cs="Times New Roman" w:eastAsia="Times New Roman" w:hAnsi="Times New Roman"/>
          <w:sz w:val="20"/>
          <w:szCs w:val="20"/>
          <w:color w:val="auto"/>
          <w:vertAlign w:val="superscript"/>
        </w:rPr>
        <w:t>non-EU/EEA</w:t>
      </w:r>
      <w:r>
        <w:rPr>
          <w:rFonts w:ascii="Times New Roman" w:cs="Times New Roman" w:eastAsia="Times New Roman" w:hAnsi="Times New Roman"/>
          <w:sz w:val="12"/>
          <w:szCs w:val="12"/>
          <w:color w:val="auto"/>
        </w:rPr>
        <w:t>reaching</w:t>
      </w:r>
      <w:r>
        <w:rPr>
          <w:rFonts w:ascii="Times New Roman" w:cs="Times New Roman" w:eastAsia="Times New Roman" w:hAnsi="Times New Roman"/>
          <w:sz w:val="20"/>
          <w:szCs w:val="20"/>
          <w:color w:val="auto"/>
          <w:vertAlign w:val="superscript"/>
        </w:rPr>
        <w:t>investors</w:t>
      </w:r>
      <w:r>
        <w:rPr>
          <w:rFonts w:ascii="Times New Roman" w:cs="Times New Roman" w:eastAsia="Times New Roman" w:hAnsi="Times New Roman"/>
          <w:sz w:val="12"/>
          <w:szCs w:val="12"/>
          <w:color w:val="auto"/>
        </w:rPr>
        <w:t>the10%</w:t>
      </w:r>
      <w:r>
        <w:rPr>
          <w:rFonts w:ascii="Times New Roman" w:cs="Times New Roman" w:eastAsia="Times New Roman" w:hAnsi="Times New Roman"/>
          <w:sz w:val="20"/>
          <w:szCs w:val="20"/>
          <w:color w:val="auto"/>
          <w:vertAlign w:val="superscript"/>
        </w:rPr>
        <w:t>in</w:t>
      </w:r>
      <w:r>
        <w:rPr>
          <w:rFonts w:ascii="Times New Roman" w:cs="Times New Roman" w:eastAsia="Times New Roman" w:hAnsi="Times New Roman"/>
          <w:sz w:val="12"/>
          <w:szCs w:val="12"/>
          <w:color w:val="auto"/>
        </w:rPr>
        <w:t>voting</w:t>
      </w:r>
      <w:r>
        <w:rPr>
          <w:rFonts w:ascii="Times New Roman" w:cs="Times New Roman" w:eastAsia="Times New Roman" w:hAnsi="Times New Roman"/>
          <w:sz w:val="20"/>
          <w:szCs w:val="20"/>
          <w:color w:val="auto"/>
          <w:vertAlign w:val="superscript"/>
        </w:rPr>
        <w:t>French</w:t>
      </w:r>
      <w:r>
        <w:rPr>
          <w:rFonts w:ascii="Times New Roman" w:cs="Times New Roman" w:eastAsia="Times New Roman" w:hAnsi="Times New Roman"/>
          <w:sz w:val="12"/>
          <w:szCs w:val="12"/>
          <w:color w:val="auto"/>
        </w:rPr>
        <w:t>rights</w:t>
      </w:r>
      <w:r>
        <w:rPr>
          <w:rFonts w:ascii="Times New Roman" w:cs="Times New Roman" w:eastAsia="Times New Roman" w:hAnsi="Times New Roman"/>
          <w:sz w:val="20"/>
          <w:szCs w:val="20"/>
          <w:color w:val="auto"/>
          <w:vertAlign w:val="superscript"/>
        </w:rPr>
        <w:t>companies</w:t>
      </w:r>
      <w:r>
        <w:rPr>
          <w:rFonts w:ascii="Times New Roman" w:cs="Times New Roman" w:eastAsia="Times New Roman" w:hAnsi="Times New Roman"/>
          <w:sz w:val="12"/>
          <w:szCs w:val="12"/>
          <w:color w:val="auto"/>
        </w:rPr>
        <w:t>threshold</w:t>
      </w:r>
      <w:r>
        <w:rPr>
          <w:rFonts w:ascii="Times New Roman" w:cs="Times New Roman" w:eastAsia="Times New Roman" w:hAnsi="Times New Roman"/>
          <w:sz w:val="20"/>
          <w:szCs w:val="20"/>
          <w:color w:val="auto"/>
          <w:vertAlign w:val="superscript"/>
        </w:rPr>
        <w:t>whose</w:t>
      </w:r>
      <w:r>
        <w:rPr>
          <w:rFonts w:ascii="Times New Roman" w:cs="Times New Roman" w:eastAsia="Times New Roman" w:hAnsi="Times New Roman"/>
          <w:sz w:val="12"/>
          <w:szCs w:val="12"/>
          <w:color w:val="auto"/>
        </w:rPr>
        <w:t>benefit</w:t>
      </w:r>
      <w:r>
        <w:rPr>
          <w:rFonts w:ascii="Times New Roman" w:cs="Times New Roman" w:eastAsia="Times New Roman" w:hAnsi="Times New Roman"/>
          <w:sz w:val="20"/>
          <w:szCs w:val="20"/>
          <w:color w:val="auto"/>
          <w:vertAlign w:val="superscript"/>
        </w:rPr>
        <w:t>shares</w:t>
      </w:r>
      <w:r>
        <w:rPr>
          <w:rFonts w:ascii="Times New Roman" w:cs="Times New Roman" w:eastAsia="Times New Roman" w:hAnsi="Times New Roman"/>
          <w:sz w:val="12"/>
          <w:szCs w:val="12"/>
          <w:color w:val="auto"/>
        </w:rPr>
        <w:t>from</w:t>
      </w:r>
      <w:r>
        <w:rPr>
          <w:rFonts w:ascii="Times New Roman" w:cs="Times New Roman" w:eastAsia="Times New Roman" w:hAnsi="Times New Roman"/>
          <w:sz w:val="20"/>
          <w:szCs w:val="20"/>
          <w:color w:val="auto"/>
          <w:vertAlign w:val="superscript"/>
        </w:rPr>
        <w:t>are</w:t>
      </w: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20"/>
          <w:szCs w:val="20"/>
          <w:color w:val="auto"/>
          <w:vertAlign w:val="superscript"/>
        </w:rPr>
        <w:t>admit</w:t>
      </w:r>
      <w:r>
        <w:rPr>
          <w:rFonts w:ascii="Times New Roman" w:cs="Times New Roman" w:eastAsia="Times New Roman" w:hAnsi="Times New Roman"/>
          <w:sz w:val="12"/>
          <w:szCs w:val="12"/>
          <w:color w:val="auto"/>
        </w:rPr>
        <w:t>“fast-t</w:t>
      </w:r>
      <w:r>
        <w:rPr>
          <w:rFonts w:ascii="Times New Roman" w:cs="Times New Roman" w:eastAsia="Times New Roman" w:hAnsi="Times New Roman"/>
          <w:sz w:val="20"/>
          <w:szCs w:val="20"/>
          <w:color w:val="auto"/>
          <w:vertAlign w:val="superscript"/>
        </w:rPr>
        <w:t>ed</w:t>
      </w:r>
      <w:r>
        <w:rPr>
          <w:rFonts w:ascii="Times New Roman" w:cs="Times New Roman" w:eastAsia="Times New Roman" w:hAnsi="Times New Roman"/>
          <w:sz w:val="12"/>
          <w:szCs w:val="12"/>
          <w:color w:val="auto"/>
        </w:rPr>
        <w:t>rack</w:t>
      </w:r>
      <w:r>
        <w:rPr>
          <w:rFonts w:ascii="Times New Roman" w:cs="Times New Roman" w:eastAsia="Times New Roman" w:hAnsi="Times New Roman"/>
          <w:sz w:val="20"/>
          <w:szCs w:val="20"/>
          <w:color w:val="auto"/>
          <w:vertAlign w:val="superscript"/>
        </w:rPr>
        <w:t>to</w:t>
      </w:r>
      <w:r>
        <w:rPr>
          <w:rFonts w:ascii="Times New Roman" w:cs="Times New Roman" w:eastAsia="Times New Roman" w:hAnsi="Times New Roman"/>
          <w:sz w:val="12"/>
          <w:szCs w:val="12"/>
          <w:color w:val="auto"/>
        </w:rPr>
        <w:t xml:space="preserve"> p</w:t>
      </w:r>
      <w:r>
        <w:rPr>
          <w:rFonts w:ascii="Times New Roman" w:cs="Times New Roman" w:eastAsia="Times New Roman" w:hAnsi="Times New Roman"/>
          <w:sz w:val="20"/>
          <w:szCs w:val="20"/>
          <w:color w:val="auto"/>
          <w:vertAlign w:val="superscript"/>
        </w:rPr>
        <w:t>t</w:t>
      </w:r>
      <w:r>
        <w:rPr>
          <w:rFonts w:ascii="Times New Roman" w:cs="Times New Roman" w:eastAsia="Times New Roman" w:hAnsi="Times New Roman"/>
          <w:sz w:val="12"/>
          <w:szCs w:val="12"/>
          <w:color w:val="auto"/>
        </w:rPr>
        <w:t>r</w:t>
      </w:r>
      <w:r>
        <w:rPr>
          <w:rFonts w:ascii="Times New Roman" w:cs="Times New Roman" w:eastAsia="Times New Roman" w:hAnsi="Times New Roman"/>
          <w:sz w:val="20"/>
          <w:szCs w:val="20"/>
          <w:color w:val="auto"/>
          <w:vertAlign w:val="superscript"/>
        </w:rPr>
        <w:t>ading</w:t>
      </w:r>
      <w:r>
        <w:rPr>
          <w:rFonts w:ascii="Times New Roman" w:cs="Times New Roman" w:eastAsia="Times New Roman" w:hAnsi="Times New Roman"/>
          <w:sz w:val="12"/>
          <w:szCs w:val="12"/>
          <w:color w:val="auto"/>
        </w:rPr>
        <w:t>ocedure”</w:t>
      </w:r>
      <w:r>
        <w:rPr>
          <w:rFonts w:ascii="Times New Roman" w:cs="Times New Roman" w:eastAsia="Times New Roman" w:hAnsi="Times New Roman"/>
          <w:sz w:val="20"/>
          <w:szCs w:val="20"/>
          <w:color w:val="auto"/>
          <w:vertAlign w:val="superscript"/>
        </w:rPr>
        <w:t>on a</w:t>
      </w:r>
      <w:r>
        <w:rPr>
          <w:rFonts w:ascii="Times New Roman" w:cs="Times New Roman" w:eastAsia="Times New Roman" w:hAnsi="Times New Roman"/>
          <w:sz w:val="12"/>
          <w:szCs w:val="12"/>
          <w:color w:val="auto"/>
        </w:rPr>
        <w:t>pursuant</w:t>
      </w:r>
      <w:r>
        <w:rPr>
          <w:rFonts w:ascii="Times New Roman" w:cs="Times New Roman" w:eastAsia="Times New Roman" w:hAnsi="Times New Roman"/>
          <w:sz w:val="20"/>
          <w:szCs w:val="20"/>
          <w:color w:val="auto"/>
          <w:vertAlign w:val="superscript"/>
        </w:rPr>
        <w:t>French or</w:t>
      </w:r>
      <w:r>
        <w:rPr>
          <w:rFonts w:ascii="Times New Roman" w:cs="Times New Roman" w:eastAsia="Times New Roman" w:hAnsi="Times New Roman"/>
          <w:sz w:val="12"/>
          <w:szCs w:val="12"/>
          <w:color w:val="auto"/>
        </w:rPr>
        <w:t xml:space="preserve">to </w:t>
      </w:r>
      <w:r>
        <w:rPr>
          <w:rFonts w:ascii="Times New Roman" w:cs="Times New Roman" w:eastAsia="Times New Roman" w:hAnsi="Times New Roman"/>
          <w:sz w:val="20"/>
          <w:szCs w:val="20"/>
          <w:color w:val="auto"/>
          <w:vertAlign w:val="superscript"/>
        </w:rPr>
        <w:t>EU</w:t>
      </w:r>
      <w:r>
        <w:rPr>
          <w:rFonts w:ascii="Times New Roman" w:cs="Times New Roman" w:eastAsia="Times New Roman" w:hAnsi="Times New Roman"/>
          <w:sz w:val="12"/>
          <w:szCs w:val="12"/>
          <w:color w:val="auto"/>
        </w:rPr>
        <w:t>which the investor is exempt from the authorization request sets forth in Article R. 151-5 of the Monetary and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-248285</wp:posOffset>
            </wp:positionV>
            <wp:extent cx="7016115" cy="7854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Code, provided that the investment project has been the subject of a prior simplified notification to the French Minister of Economy, and the French Minister of Economy did not oppose to the transaction or request to follow the standard authorization process, the transaction can proceed as from ten working days following notification.</w:t>
      </w:r>
    </w:p>
    <w:p>
      <w:pPr>
        <w:spacing w:after="0" w:line="64" w:lineRule="exact"/>
        <w:rPr>
          <w:sz w:val="20"/>
          <w:szCs w:val="20"/>
          <w:color w:val="auto"/>
        </w:rPr>
      </w:pPr>
    </w:p>
    <w:p>
      <w:pPr>
        <w:ind w:left="300" w:right="519" w:firstLine="441"/>
        <w:spacing w:after="0" w:line="239" w:lineRule="auto"/>
        <w:rPr>
          <w:sz w:val="20"/>
          <w:szCs w:val="20"/>
          <w:color w:val="auto"/>
        </w:rPr>
      </w:pPr>
      <w:r>
        <w:rPr>
          <w:rFonts w:ascii="Times New Roman" w:cs="Times New Roman" w:eastAsia="Times New Roman" w:hAnsi="Times New Roman"/>
          <w:sz w:val="17"/>
          <w:szCs w:val="17"/>
          <w:color w:val="auto"/>
        </w:rPr>
        <w:t>Failure to comply with such measures could result in significant consequences in the concerned investment. Such measures could also delay or discourage a takeover or more broadly a foreign investment attempt, and we cannot predict whether these measures will result in a lower or more volatile market price of our ADSs.</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81"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Holders of ADSs may exercise voting rights with respect to the ordinary shares represented by the ADSs only in accordance with the provisions of the deposit agreement. The deposit agreement provides that, upon receipt of</w:t>
      </w: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w:t>
      </w:r>
    </w:p>
    <w:p>
      <w:pPr>
        <w:spacing w:after="0" w:line="2" w:lineRule="exact"/>
        <w:rPr>
          <w:sz w:val="20"/>
          <w:szCs w:val="20"/>
          <w:color w:val="auto"/>
        </w:rPr>
      </w:pPr>
    </w:p>
    <w:p>
      <w:pPr>
        <w:jc w:val="both"/>
        <w:ind w:left="300" w:right="319"/>
        <w:spacing w:after="0" w:line="226" w:lineRule="auto"/>
        <w:rPr>
          <w:sz w:val="20"/>
          <w:szCs w:val="20"/>
          <w:color w:val="auto"/>
        </w:rPr>
      </w:pPr>
      <w:r>
        <w:rPr>
          <w:rFonts w:ascii="Times New Roman" w:cs="Times New Roman" w:eastAsia="Times New Roman" w:hAnsi="Times New Roman"/>
          <w:sz w:val="18"/>
          <w:szCs w:val="18"/>
          <w:color w:val="auto"/>
        </w:rPr>
        <w:t>meeting or solicitation of consent or proxy sent by us and (ii) a statement as to the manner in which instructions may be given by the holders.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Purchasers of ADSs may instruct the depositary of their ADSs to vote the ordinary shares underlying their</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ADSs. Otherwise, purchasers of ADSs will not be able to exercise voting rights unless they withdraw the ordinary shares underlying the ADSs they hold. However, a holder of ADSs may not know about the meeting far enough in advance to withdraw those ordinary shares. If we ask for a holder of ADSs’ instructions, the depositary, upon timely</w:t>
      </w:r>
    </w:p>
    <w:p>
      <w:pPr>
        <w:spacing w:after="0" w:line="2" w:lineRule="exact"/>
        <w:rPr>
          <w:sz w:val="20"/>
          <w:szCs w:val="20"/>
          <w:color w:val="auto"/>
        </w:rPr>
      </w:pP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w:t>
      </w:r>
    </w:p>
    <w:p>
      <w:pPr>
        <w:spacing w:after="0" w:line="2" w:lineRule="exact"/>
        <w:rPr>
          <w:sz w:val="20"/>
          <w:szCs w:val="20"/>
          <w:color w:val="auto"/>
        </w:rPr>
      </w:pPr>
    </w:p>
    <w:p>
      <w:pPr>
        <w:jc w:val="both"/>
        <w:ind w:left="300" w:right="519"/>
        <w:spacing w:after="0" w:line="218" w:lineRule="auto"/>
        <w:rPr>
          <w:sz w:val="20"/>
          <w:szCs w:val="20"/>
          <w:color w:val="auto"/>
        </w:rPr>
      </w:pPr>
      <w:r>
        <w:rPr>
          <w:rFonts w:ascii="Times New Roman" w:cs="Times New Roman" w:eastAsia="Times New Roman" w:hAnsi="Times New Roman"/>
          <w:sz w:val="18"/>
          <w:szCs w:val="18"/>
          <w:color w:val="auto"/>
        </w:rPr>
        <w:t>out voting instructions. This means that a holder of ADSs may not be able to exercise his or her right to vote, and there may be nothing he or she can do if the ordinary shares underlying his or her ADSs are not voted as he or she requested.</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are not holders of our ordinary shares.</w:t>
      </w:r>
    </w:p>
    <w:p>
      <w:pPr>
        <w:spacing w:after="0" w:line="81" w:lineRule="exact"/>
        <w:rPr>
          <w:sz w:val="20"/>
          <w:szCs w:val="20"/>
          <w:color w:val="auto"/>
        </w:rPr>
      </w:pPr>
    </w:p>
    <w:p>
      <w:pPr>
        <w:jc w:val="both"/>
        <w:ind w:left="300" w:right="299" w:firstLine="441"/>
        <w:spacing w:after="0" w:line="236" w:lineRule="auto"/>
        <w:rPr>
          <w:sz w:val="20"/>
          <w:szCs w:val="20"/>
          <w:color w:val="auto"/>
        </w:rPr>
      </w:pPr>
      <w:r>
        <w:rPr>
          <w:rFonts w:ascii="Times New Roman" w:cs="Times New Roman" w:eastAsia="Times New Roman" w:hAnsi="Times New Roman"/>
          <w:sz w:val="17"/>
          <w:szCs w:val="17"/>
          <w:color w:val="auto"/>
        </w:rPr>
        <w:t>A holder of ADSs will not be treated as one of our shareholders and will not have direct shareholder rights. French law governs our shareholder rights. The depositary will be the holder of the ordinary shares underlying ADSs</w:t>
      </w:r>
    </w:p>
    <w:p>
      <w:pPr>
        <w:jc w:val="both"/>
        <w:ind w:left="300" w:right="319"/>
        <w:spacing w:after="0" w:line="218" w:lineRule="auto"/>
        <w:rPr>
          <w:sz w:val="20"/>
          <w:szCs w:val="20"/>
          <w:color w:val="auto"/>
        </w:rPr>
      </w:pPr>
      <w:r>
        <w:rPr>
          <w:rFonts w:ascii="Times New Roman" w:cs="Times New Roman" w:eastAsia="Times New Roman" w:hAnsi="Times New Roman"/>
          <w:sz w:val="18"/>
          <w:szCs w:val="18"/>
          <w:color w:val="auto"/>
        </w:rPr>
        <w:t>held by purchasers of ADSs. Purchasers of ADSs will have ADS holder rights. The deposit agreement among us, the depositary and purchasers of ADSs, as ADS holders, and all other persons directly and indirectly holding ADSs, sets out ADS holder rights, as well as the rights and obligations of the depositary.</w:t>
      </w:r>
    </w:p>
    <w:p>
      <w:pPr>
        <w:spacing w:after="0" w:line="64" w:lineRule="exact"/>
        <w:rPr>
          <w:sz w:val="20"/>
          <w:szCs w:val="20"/>
          <w:color w:val="auto"/>
        </w:rPr>
      </w:pPr>
    </w:p>
    <w:p>
      <w:pPr>
        <w:jc w:val="both"/>
        <w:ind w:left="300" w:right="439" w:firstLine="441"/>
        <w:spacing w:after="0" w:line="239" w:lineRule="auto"/>
        <w:rPr>
          <w:sz w:val="20"/>
          <w:szCs w:val="20"/>
          <w:color w:val="auto"/>
        </w:rPr>
      </w:pPr>
      <w:r>
        <w:rPr>
          <w:rFonts w:ascii="Times New Roman" w:cs="Times New Roman" w:eastAsia="Times New Roman" w:hAnsi="Times New Roman"/>
          <w:sz w:val="17"/>
          <w:szCs w:val="17"/>
          <w:color w:val="auto"/>
        </w:rPr>
        <w:t>A double voting right is attached to each registered ordinary share (except treasury shares) that is held in the name of the same shareholder for at least two years. However, the ordinary shares underlying our ADSs will not be entitled to double voting rights as the depositary will hold the ordinary shares underlying our ADSs in bearer form.</w:t>
      </w:r>
    </w:p>
    <w:p>
      <w:pPr>
        <w:spacing w:after="0" w:line="60" w:lineRule="exact"/>
        <w:rPr>
          <w:sz w:val="20"/>
          <w:szCs w:val="20"/>
          <w:color w:val="auto"/>
        </w:rPr>
      </w:pPr>
    </w:p>
    <w:p>
      <w:pPr>
        <w:ind w:left="300" w:right="5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right as a holder of ADSs to participate in any future preferential subscription rights or to elect to receive dividends in shares may be limited, which may cause dilution to the holdings of purchasers of ADSs.</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According to French law, if we issue additional securities for cash, current shareholders will have preferential</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 xml:space="preserve">subscription rights for these securities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unless they waive those rights at an extraordinary meeting of our shareholders by a two-thirds majority vote or individually by each shareholder. However, ADS holders will not be entitled to exercise or sell such rights unless we register the rights and the securities to which the rights relate</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under the Securities Act or an exemption from the registration requirements is available. In addition, the deposit agreement provides that the depositary will not make rights available to purchasers of ADSs unless the distribution to ADS holders of both the rights and any related securities are either registered under the Securities Act or</w:t>
      </w:r>
    </w:p>
    <w:p>
      <w:pPr>
        <w:spacing w:after="0" w:line="2" w:lineRule="exact"/>
        <w:rPr>
          <w:sz w:val="20"/>
          <w:szCs w:val="20"/>
          <w:color w:val="auto"/>
        </w:rPr>
      </w:pP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w:t>
      </w:r>
    </w:p>
    <w:p>
      <w:pPr>
        <w:spacing w:after="0" w:line="2" w:lineRule="exact"/>
        <w:rPr>
          <w:sz w:val="20"/>
          <w:szCs w:val="20"/>
          <w:color w:val="auto"/>
        </w:rPr>
      </w:pPr>
    </w:p>
    <w:p>
      <w:pPr>
        <w:ind w:left="300" w:right="459"/>
        <w:spacing w:after="0" w:line="239" w:lineRule="auto"/>
        <w:rPr>
          <w:sz w:val="20"/>
          <w:szCs w:val="20"/>
          <w:color w:val="auto"/>
        </w:rPr>
      </w:pPr>
      <w:r>
        <w:rPr>
          <w:rFonts w:ascii="Times New Roman" w:cs="Times New Roman" w:eastAsia="Times New Roman" w:hAnsi="Times New Roman"/>
          <w:sz w:val="17"/>
          <w:szCs w:val="17"/>
          <w:color w:val="auto"/>
        </w:rPr>
        <w:t>the Securities Act. Accordingly, ADS holders may be unable to participate in our rights offerings or to elect to receive dividends in shares and may experience dilution in their holdings. In addition, if the depositary is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57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spacing w:after="0" w:line="237" w:lineRule="auto"/>
        <w:rPr>
          <w:sz w:val="20"/>
          <w:szCs w:val="20"/>
          <w:color w:val="auto"/>
        </w:rPr>
      </w:pPr>
      <w:r>
        <w:rPr>
          <w:rFonts w:ascii="Times New Roman" w:cs="Times New Roman" w:eastAsia="Times New Roman" w:hAnsi="Times New Roman"/>
          <w:sz w:val="18"/>
          <w:szCs w:val="18"/>
          <w:color w:val="auto"/>
        </w:rPr>
        <w:t>sell rights that are not exercised or not distributed or if the sale is not lawful or reasonably practicable, it will allow the rights to lapse, in which case you will receive no value for these rights.</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may be subject to limitations on the withdrawal of the underlying ordinary shares.</w:t>
      </w:r>
    </w:p>
    <w:p>
      <w:pPr>
        <w:spacing w:after="0" w:line="81"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Temporary delays in the cancellation of ADSs and withdrawal of the underlying ordinary shares may arise because the depositary has closed its transfer books or we have closed our transfer books, the transfer of ordinary</w:t>
      </w: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w:t>
      </w:r>
    </w:p>
    <w:p>
      <w:pPr>
        <w:spacing w:after="0" w:line="2" w:lineRule="exact"/>
        <w:rPr>
          <w:sz w:val="20"/>
          <w:szCs w:val="20"/>
          <w:color w:val="auto"/>
        </w:rPr>
      </w:pP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order to comply with any laws or governmental regulations that apply to ADSs or to the withdrawal of ordinary shares or other deposited securities.</w:t>
      </w:r>
    </w:p>
    <w:p>
      <w:pPr>
        <w:sectPr>
          <w:pgSz w:w="11900" w:h="16838" w:orient="portrait"/>
          <w:cols w:equalWidth="0" w:num="1">
            <w:col w:w="9019"/>
          </w:cols>
          <w:pgMar w:left="1440" w:top="108" w:right="1440" w:bottom="0" w:gutter="0" w:footer="0" w:header="0"/>
        </w:sectPr>
      </w:pPr>
    </w:p>
    <w:p>
      <w:pPr>
        <w:spacing w:after="0" w:line="45"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ectPr>
          <w:pgSz w:w="11900" w:h="16838" w:orient="portrait"/>
          <w:cols w:equalWidth="0" w:num="1">
            <w:col w:w="9019"/>
          </w:cols>
          <w:pgMar w:left="1440" w:top="108" w:right="1440" w:bottom="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10"/>
          <w:szCs w:val="10"/>
          <w:color w:val="auto"/>
        </w:rPr>
        <w:t>permittedThe bydepositlaw, ADSagreementholdersgoverningwaivethetherightADSstoarepjuryesentingtrialof ourany ordcla</w:t>
      </w:r>
      <w:r>
        <w:rPr>
          <w:rFonts w:ascii="Times New Roman" w:cs="Times New Roman" w:eastAsia="Times New Roman" w:hAnsi="Times New Roman"/>
          <w:sz w:val="10"/>
          <w:szCs w:val="10"/>
          <w:b w:val="1"/>
          <w:bCs w:val="1"/>
          <w:color w:val="auto"/>
        </w:rPr>
        <w:t>i</w:t>
      </w:r>
      <w:r>
        <w:rPr>
          <w:rFonts w:ascii="Times New Roman" w:cs="Times New Roman" w:eastAsia="Times New Roman" w:hAnsi="Times New Roman"/>
          <w:sz w:val="10"/>
          <w:szCs w:val="10"/>
          <w:color w:val="auto"/>
        </w:rPr>
        <w:t>mnarytheysharesmay provideshaveagainsttha,usto orthethefulld</w:t>
      </w:r>
      <w:r>
        <w:rPr>
          <w:rFonts w:ascii="Times New Roman" w:cs="Times New Roman" w:eastAsia="Times New Roman" w:hAnsi="Times New Roman"/>
          <w:sz w:val="10"/>
          <w:szCs w:val="10"/>
          <w:b w:val="1"/>
          <w:bCs w:val="1"/>
          <w:color w:val="auto"/>
        </w:rPr>
        <w:t>e</w:t>
      </w:r>
      <w:r>
        <w:rPr>
          <w:rFonts w:ascii="Times New Roman" w:cs="Times New Roman" w:eastAsia="Times New Roman" w:hAnsi="Times New Roman"/>
          <w:sz w:val="10"/>
          <w:szCs w:val="10"/>
          <w:color w:val="auto"/>
        </w:rPr>
        <w:t>positarystextent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-52070</wp:posOffset>
            </wp:positionV>
            <wp:extent cx="7016115" cy="648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arising out of or relating to our shares, the ADSs or the deposit agreement, including any claim under the U.S.</w:t>
      </w:r>
    </w:p>
    <w:p>
      <w:pPr>
        <w:ind w:left="300"/>
        <w:spacing w:after="0"/>
        <w:rPr>
          <w:sz w:val="20"/>
          <w:szCs w:val="20"/>
          <w:color w:val="auto"/>
        </w:rPr>
      </w:pPr>
      <w:r>
        <w:rPr>
          <w:rFonts w:ascii="Times New Roman" w:cs="Times New Roman" w:eastAsia="Times New Roman" w:hAnsi="Times New Roman"/>
          <w:sz w:val="18"/>
          <w:szCs w:val="18"/>
          <w:color w:val="auto"/>
        </w:rPr>
        <w:t>federal securities laws.</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jury waiver provision before entering into the deposit agreement.</w:t>
      </w:r>
    </w:p>
    <w:p>
      <w:pPr>
        <w:spacing w:after="0" w:line="57"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If you or any other holders or beneficial owners of ADSs bring a claim against us or the depositary in connection with matters arising under the deposit agreement or the ADSs, including claims under federal securities</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w:t>
      </w:r>
    </w:p>
    <w:p>
      <w:pPr>
        <w:spacing w:after="0" w:line="2" w:lineRule="exact"/>
        <w:rPr>
          <w:sz w:val="20"/>
          <w:szCs w:val="20"/>
          <w:color w:val="auto"/>
        </w:rPr>
      </w:pPr>
    </w:p>
    <w:p>
      <w:pPr>
        <w:jc w:val="both"/>
        <w:ind w:left="300" w:right="319"/>
        <w:spacing w:after="0" w:line="218" w:lineRule="auto"/>
        <w:rPr>
          <w:sz w:val="20"/>
          <w:szCs w:val="20"/>
          <w:color w:val="auto"/>
        </w:rPr>
      </w:pPr>
      <w:r>
        <w:rPr>
          <w:rFonts w:ascii="Times New Roman" w:cs="Times New Roman" w:eastAsia="Times New Roman" w:hAnsi="Times New Roman"/>
          <w:sz w:val="18"/>
          <w:szCs w:val="18"/>
          <w:color w:val="auto"/>
        </w:rPr>
        <w:t>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64" w:lineRule="exact"/>
        <w:rPr>
          <w:sz w:val="20"/>
          <w:szCs w:val="20"/>
          <w:color w:val="auto"/>
        </w:rPr>
      </w:pPr>
    </w:p>
    <w:p>
      <w:pPr>
        <w:ind w:left="300" w:right="639" w:firstLine="441"/>
        <w:spacing w:after="0" w:line="229" w:lineRule="auto"/>
        <w:rPr>
          <w:sz w:val="20"/>
          <w:szCs w:val="20"/>
          <w:color w:val="auto"/>
        </w:rPr>
      </w:pPr>
      <w:r>
        <w:rPr>
          <w:rFonts w:ascii="Times New Roman" w:cs="Times New Roman" w:eastAsia="Times New Roman" w:hAnsi="Times New Roman"/>
          <w:sz w:val="17"/>
          <w:szCs w:val="17"/>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w:t>
      </w:r>
    </w:p>
    <w:p>
      <w:pPr>
        <w:ind w:left="300"/>
        <w:spacing w:after="0"/>
        <w:rPr>
          <w:sz w:val="20"/>
          <w:szCs w:val="20"/>
          <w:color w:val="auto"/>
        </w:rPr>
      </w:pPr>
      <w:r>
        <w:rPr>
          <w:rFonts w:ascii="Times New Roman" w:cs="Times New Roman" w:eastAsia="Times New Roman" w:hAnsi="Times New Roman"/>
          <w:sz w:val="18"/>
          <w:szCs w:val="18"/>
          <w:color w:val="auto"/>
        </w:rPr>
        <w:t>compliance with U.S. federal securities laws and the rules and regulations promulgated thereunder.</w:t>
      </w:r>
    </w:p>
    <w:p>
      <w:pPr>
        <w:spacing w:after="0" w:line="53" w:lineRule="exact"/>
        <w:rPr>
          <w:sz w:val="20"/>
          <w:szCs w:val="20"/>
          <w:color w:val="auto"/>
        </w:rPr>
      </w:pPr>
    </w:p>
    <w:p>
      <w:pPr>
        <w:ind w:left="300" w:right="81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exempt from a number of rules under the U.S. securities laws and are permitted to file less information with the SEC than a U.S. public company. This may limit the information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available to holders of ADSs.</w:t>
      </w:r>
    </w:p>
    <w:p>
      <w:pPr>
        <w:spacing w:after="0" w:line="57"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We are a foreign private issuer, as defined in the SEC’s rules and regulations and, consequently, we are not subject to all of the disclosure requirements applicable to public companies organized within the United States. For</w:t>
      </w:r>
    </w:p>
    <w:p>
      <w:pPr>
        <w:ind w:left="300" w:right="699"/>
        <w:spacing w:after="0" w:line="220" w:lineRule="auto"/>
        <w:rPr>
          <w:sz w:val="20"/>
          <w:szCs w:val="20"/>
          <w:color w:val="auto"/>
        </w:rPr>
      </w:pPr>
      <w:r>
        <w:rPr>
          <w:rFonts w:ascii="Times New Roman" w:cs="Times New Roman" w:eastAsia="Times New Roman" w:hAnsi="Times New Roman"/>
          <w:sz w:val="17"/>
          <w:szCs w:val="17"/>
          <w:color w:val="auto"/>
        </w:rPr>
        <w:t>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w:t>
      </w:r>
    </w:p>
    <w:p>
      <w:pPr>
        <w:spacing w:after="0" w:line="2" w:lineRule="exact"/>
        <w:rPr>
          <w:sz w:val="20"/>
          <w:szCs w:val="20"/>
          <w:color w:val="auto"/>
        </w:rPr>
      </w:pPr>
    </w:p>
    <w:p>
      <w:pPr>
        <w:jc w:val="both"/>
        <w:ind w:left="300" w:right="299"/>
        <w:spacing w:after="0" w:line="220" w:lineRule="auto"/>
        <w:rPr>
          <w:sz w:val="20"/>
          <w:szCs w:val="20"/>
          <w:color w:val="auto"/>
        </w:rPr>
      </w:pPr>
      <w:r>
        <w:rPr>
          <w:rFonts w:ascii="Times New Roman" w:cs="Times New Roman" w:eastAsia="Times New Roman" w:hAnsi="Times New Roman"/>
          <w:sz w:val="17"/>
          <w:szCs w:val="17"/>
          <w:color w:val="auto"/>
        </w:rPr>
        <w:t>addition, our officers and directors are exempt from the “short-swing” profit recovery provisions of Section 16 of the Exchange Act and related rules with respect to their purchases and sales of our securities. Moreover, while we make annual and semi-annual filings with respect to our listing on Euronext Paris, we are not required to file periodic</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reports and financial statements with the SEC as frequently or as promptly as U.S. public companies and are not required to file quarterly reports on Form 10-Q or current reports on Form 8-K under the Exchange Act. Accordingly, there will be less publicly available information concerning our company than there would be if we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were not a foreign private issuer.</w:t>
      </w:r>
    </w:p>
    <w:p>
      <w:pPr>
        <w:spacing w:after="0" w:line="53"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950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practices may afford less protection to shareholders than they would enjoy if we complied fully with the corporate governance standards of the Nasdaq Global Market.</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As a foreign private issuer listed on the Nasdaq Global Market, we are subject to Nasdaq’s corporate governance standards. However, Nasdaq rules provide that foreign private issuers are permitted to follow home country corporate governance practices in lieu of Nasdaq’s corporate governance standards, with certain exceptions,</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as long as notification is provided to Nasdaq of the intention to take advantage of such exemptions. We intend to rely on exemptions for foreign private issuers and follow French corporate governance practices in lieu of Nasdaq’s corporate governance standards, to the extent possible. Certain corporate governance practices in France, which is</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our home country, may differ significantly from Nasdaq corporate governance standards. For example, as a French company, neither the corporate laws of France nor our by-laws require a majority of our directors to be independent and we can include non-independent directors as members of our remuneration committee, and our independent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are not required to hold regularly scheduled meetings at which only independent directors are present.</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We are also exempt from provisions set forth in Nasdaq rules which require an issuer to provide in its by-laws for a generally applicable quorum, and that such quorum may not be less than one-third of the outstanding voting</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stock. Consistent with French law, our by-laws provide that a quorum requires the presence of shareholders having at least (i) 20% of the shares entitled to vote in the case of an ordinary shareholders’ general meeting or at an extraordinary shareholders’ general meeting where shareholders are voting on a capital increase by capitalization of</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reserves, profits or share premium, or (ii) 25% of the shares entitled to vote in the case of any other extraordinary shareholders’ general meeting. If a quorum is not present, the meeting is adjourned. There is no quorum requirement when an ordinary general meeting is reconvened, but the reconvened meeting may consider only questions which</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reconvened meeting. If a quorum is not present at a reconvened meeting requiring a quorum, then the meeting may be adjourned for a maximum of two months.</w:t>
      </w:r>
    </w:p>
    <w:p>
      <w:pPr>
        <w:sectPr>
          <w:pgSz w:w="11900" w:h="16838" w:orient="portrait"/>
          <w:cols w:equalWidth="0" w:num="1">
            <w:col w:w="9019"/>
          </w:cols>
          <w:pgMar w:left="1440" w:top="108" w:right="1440" w:bottom="0" w:gutter="0" w:footer="0" w:header="0"/>
        </w:sectPr>
      </w:pPr>
    </w:p>
    <w:bookmarkStart w:id="43" w:name="page44"/>
    <w:bookmarkEnd w:id="43"/>
    <w:p>
      <w:pPr>
        <w:spacing w:after="0" w:line="39" w:lineRule="exact"/>
        <w:rPr>
          <w:sz w:val="20"/>
          <w:szCs w:val="20"/>
          <w:color w:val="auto"/>
        </w:rPr>
      </w:pPr>
    </w:p>
    <w:p>
      <w:pPr>
        <w:ind w:left="300" w:right="379" w:firstLine="441"/>
        <w:spacing w:after="0" w:line="180" w:lineRule="auto"/>
        <w:rPr>
          <w:sz w:val="20"/>
          <w:szCs w:val="20"/>
          <w:color w:val="auto"/>
        </w:rPr>
      </w:pPr>
      <w:r>
        <w:rPr>
          <w:rFonts w:ascii="Times New Roman" w:cs="Times New Roman" w:eastAsia="Times New Roman" w:hAnsi="Times New Roman"/>
          <w:sz w:val="16"/>
          <w:szCs w:val="16"/>
          <w:color w:val="auto"/>
        </w:rPr>
        <w:t>As a foreign private issuer, we are required to comply with Rule 10A-3 of the Exchange Act, relating to audit committee composition and responsibilities. Under French law, the audit committee may only have an advisory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7016115" cy="511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ind w:left="300" w:right="439"/>
        <w:spacing w:after="0" w:line="223" w:lineRule="auto"/>
        <w:rPr>
          <w:sz w:val="20"/>
          <w:szCs w:val="20"/>
          <w:color w:val="auto"/>
        </w:rPr>
      </w:pPr>
      <w:r>
        <w:rPr>
          <w:rFonts w:ascii="Times New Roman" w:cs="Times New Roman" w:eastAsia="Times New Roman" w:hAnsi="Times New Roman"/>
          <w:sz w:val="17"/>
          <w:szCs w:val="17"/>
          <w:color w:val="auto"/>
        </w:rPr>
        <w:t>and appointment of our statutory auditors, in particular, must be decided by the shareholders at our annual meeting. Therefore, our shareholders may be afforded less protection than they otherwise would have under Nasdaq’s</w:t>
      </w:r>
    </w:p>
    <w:p>
      <w:pPr>
        <w:spacing w:after="0" w:line="1" w:lineRule="exact"/>
        <w:rPr>
          <w:sz w:val="20"/>
          <w:szCs w:val="20"/>
          <w:color w:val="auto"/>
        </w:rPr>
      </w:pPr>
    </w:p>
    <w:p>
      <w:pPr>
        <w:ind w:left="300" w:right="539"/>
        <w:spacing w:after="0" w:line="226" w:lineRule="auto"/>
        <w:rPr>
          <w:sz w:val="20"/>
          <w:szCs w:val="20"/>
          <w:color w:val="auto"/>
        </w:rPr>
      </w:pPr>
      <w:r>
        <w:rPr>
          <w:rFonts w:ascii="Times New Roman" w:cs="Times New Roman" w:eastAsia="Times New Roman" w:hAnsi="Times New Roman"/>
          <w:sz w:val="18"/>
          <w:szCs w:val="18"/>
          <w:color w:val="auto"/>
        </w:rPr>
        <w:t>corporate governance standards applicable to U.S. domestic issuers. For an overview of our corporate governance practices, see “Part II—Item 16G—Corporate Governance.”</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will be able to avail ourselves of reduced</w:t>
      </w:r>
    </w:p>
    <w:p>
      <w:pPr>
        <w:spacing w:after="0" w:line="6"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disclosure requirements applicable to emerging growth companies, which could make our ADSs less attractive to investors.</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certain exemptions from various reporting requirements that are applicable to other public companies that are not “emerging growth companies”, including not being required to comply with the auditor attestation requirements of Section 404(b) of the Sarbanes-Oxley Act of 2002 (“Sarbanes-Oxley Act”), and exemptions from the requirements</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for complying with new or revised accounting standards. We will not take advantage of the extended transition period provided under Section 7(a)(2)(B) of the Securities Act for complying with new or revised accounting standards. Since IFRS makes no distinction between public and private companies for purposes of compliance with</w:t>
      </w:r>
    </w:p>
    <w:p>
      <w:pPr>
        <w:spacing w:after="0" w:line="2" w:lineRule="exact"/>
        <w:rPr>
          <w:sz w:val="20"/>
          <w:szCs w:val="20"/>
          <w:color w:val="auto"/>
        </w:rPr>
      </w:pPr>
    </w:p>
    <w:p>
      <w:pPr>
        <w:ind w:left="300" w:right="719"/>
        <w:spacing w:after="0" w:line="226" w:lineRule="auto"/>
        <w:rPr>
          <w:sz w:val="20"/>
          <w:szCs w:val="20"/>
          <w:color w:val="auto"/>
        </w:rPr>
      </w:pPr>
      <w:r>
        <w:rPr>
          <w:rFonts w:ascii="Times New Roman" w:cs="Times New Roman" w:eastAsia="Times New Roman" w:hAnsi="Times New Roman"/>
          <w:sz w:val="18"/>
          <w:szCs w:val="18"/>
          <w:color w:val="auto"/>
        </w:rPr>
        <w:t>new or revised accounting standards, the requirements for our compliance as a private company and as a public company are the same.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cannot predict if investors will find our ADSs less attractive because we may rely on these exemptions. If</w:t>
      </w:r>
    </w:p>
    <w:p>
      <w:pPr>
        <w:spacing w:after="0" w:line="2" w:lineRule="exact"/>
        <w:rPr>
          <w:sz w:val="20"/>
          <w:szCs w:val="20"/>
          <w:color w:val="auto"/>
        </w:rPr>
      </w:pPr>
    </w:p>
    <w:p>
      <w:pPr>
        <w:jc w:val="both"/>
        <w:ind w:left="300" w:right="419"/>
        <w:spacing w:after="0" w:line="220" w:lineRule="auto"/>
        <w:rPr>
          <w:sz w:val="20"/>
          <w:szCs w:val="20"/>
          <w:color w:val="auto"/>
        </w:rPr>
      </w:pPr>
      <w:r>
        <w:rPr>
          <w:rFonts w:ascii="Times New Roman" w:cs="Times New Roman" w:eastAsia="Times New Roman" w:hAnsi="Times New Roman"/>
          <w:sz w:val="17"/>
          <w:szCs w:val="17"/>
          <w:color w:val="auto"/>
        </w:rPr>
        <w:t>some investors find our ADSs less attractive as a result, there may be a less active trading market for our ADSs and the price of our ADSs may be more volatile. We may take advantage of these reporting exemptions until we are no longer an emerging growth company. We will remain an emerging growth company until the earliest of (1) the last</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day of the fiscal year in which we have total annual gross revenue of $1.235 billion or more; (2) the last day of our fiscal year following the fifth anniversary of the date of the completion of our U.S. initial public offering and listing on Nasdaq; (3) the date on which we have issued more than $1.0 billion in nonconvertible debt during the previous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three years; and (4) the date on which we are deemed to be a large accelerated filer under the rules of the SEC.</w:t>
      </w:r>
    </w:p>
    <w:p>
      <w:pPr>
        <w:spacing w:after="0" w:line="53" w:lineRule="exact"/>
        <w:rPr>
          <w:sz w:val="20"/>
          <w:szCs w:val="20"/>
          <w:color w:val="auto"/>
        </w:rPr>
      </w:pPr>
    </w:p>
    <w:p>
      <w:pPr>
        <w:ind w:left="300" w:right="47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64" w:lineRule="exact"/>
        <w:rPr>
          <w:sz w:val="20"/>
          <w:szCs w:val="20"/>
          <w:color w:val="auto"/>
        </w:rPr>
      </w:pPr>
    </w:p>
    <w:p>
      <w:pPr>
        <w:ind w:left="300" w:right="559" w:firstLine="441"/>
        <w:spacing w:after="0" w:line="229" w:lineRule="auto"/>
        <w:rPr>
          <w:sz w:val="20"/>
          <w:szCs w:val="20"/>
          <w:color w:val="auto"/>
        </w:rPr>
      </w:pPr>
      <w:r>
        <w:rPr>
          <w:rFonts w:ascii="Times New Roman" w:cs="Times New Roman" w:eastAsia="Times New Roman" w:hAnsi="Times New Roman"/>
          <w:sz w:val="17"/>
          <w:szCs w:val="17"/>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2026. In the future, we could lose</w:t>
      </w:r>
    </w:p>
    <w:p>
      <w:pPr>
        <w:ind w:left="300"/>
        <w:spacing w:after="0"/>
        <w:rPr>
          <w:sz w:val="20"/>
          <w:szCs w:val="20"/>
          <w:color w:val="auto"/>
        </w:rPr>
      </w:pPr>
      <w:r>
        <w:rPr>
          <w:rFonts w:ascii="Times New Roman" w:cs="Times New Roman" w:eastAsia="Times New Roman" w:hAnsi="Times New Roman"/>
          <w:sz w:val="18"/>
          <w:szCs w:val="18"/>
          <w:color w:val="auto"/>
        </w:rPr>
        <w:t>our foreign private issuer status if we fail to meet the requirements necessary to maintain our foreign private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322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59"/>
        <w:spacing w:after="0" w:line="236" w:lineRule="auto"/>
        <w:rPr>
          <w:sz w:val="20"/>
          <w:szCs w:val="20"/>
          <w:color w:val="auto"/>
        </w:rPr>
      </w:pPr>
      <w:r>
        <w:rPr>
          <w:rFonts w:ascii="Times New Roman" w:cs="Times New Roman" w:eastAsia="Times New Roman" w:hAnsi="Times New Roman"/>
          <w:sz w:val="17"/>
          <w:szCs w:val="17"/>
          <w:color w:val="auto"/>
        </w:rPr>
        <w:t>status as of the relevant determination date. We will remain a foreign private issuer until such time that more than 50% of our outstanding voting securities are held by U.S. residents and any of the following three circumstances</w:t>
      </w: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applies: (i) the majority of our executive officers or directors are U.S. citizens or residents; (ii) more than 50% of our assets are located in the United States; or (iii) our business is administered principally in the United States. For additional information relating to our principal shareholders, see "Item 7.A Major Shareholders".</w:t>
      </w:r>
    </w:p>
    <w:p>
      <w:pPr>
        <w:spacing w:after="0" w:line="64" w:lineRule="exact"/>
        <w:rPr>
          <w:sz w:val="20"/>
          <w:szCs w:val="20"/>
          <w:color w:val="auto"/>
        </w:rPr>
      </w:pPr>
    </w:p>
    <w:p>
      <w:pPr>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w:t>
      </w:r>
    </w:p>
    <w:p>
      <w:pPr>
        <w:jc w:val="both"/>
        <w:ind w:left="300" w:right="659"/>
        <w:spacing w:after="0" w:line="220" w:lineRule="auto"/>
        <w:rPr>
          <w:sz w:val="20"/>
          <w:szCs w:val="20"/>
          <w:color w:val="auto"/>
        </w:rPr>
      </w:pPr>
      <w:r>
        <w:rPr>
          <w:rFonts w:ascii="Times New Roman" w:cs="Times New Roman" w:eastAsia="Times New Roman" w:hAnsi="Times New Roman"/>
          <w:sz w:val="17"/>
          <w:szCs w:val="17"/>
          <w:color w:val="auto"/>
        </w:rPr>
        <w:t>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herein and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exemptions from procedural requirements related to the solicitation of proxies.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77"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37" w:lineRule="exact"/>
        <w:rPr>
          <w:sz w:val="20"/>
          <w:szCs w:val="20"/>
          <w:color w:val="auto"/>
        </w:rPr>
      </w:pPr>
    </w:p>
    <w:p>
      <w:pPr>
        <w:ind w:left="300" w:right="779" w:firstLine="441"/>
        <w:spacing w:after="0" w:line="236" w:lineRule="auto"/>
        <w:rPr>
          <w:sz w:val="20"/>
          <w:szCs w:val="20"/>
          <w:color w:val="auto"/>
        </w:rPr>
      </w:pPr>
      <w:r>
        <w:rPr>
          <w:rFonts w:ascii="Times New Roman" w:cs="Times New Roman" w:eastAsia="Times New Roman" w:hAnsi="Times New Roman"/>
          <w:sz w:val="17"/>
          <w:szCs w:val="17"/>
          <w:color w:val="auto"/>
        </w:rPr>
        <w:t>The growth of our business may depend in part on our ability to acquire, in-license or use third-party proprietary rights. For example, our drug candidates may require specific formulations to work effectively and</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efficiently, we may develop drug candidates containing our compounds and pre-existing pharmaceutical compounds, or we may be required by the FDA or comparable foreign regulatory authorities to provide a companion diagnostic test or tests with our drug candidates, any of which could require us to obtain rights to use intellectual property held</w:t>
      </w:r>
    </w:p>
    <w:p>
      <w:pPr>
        <w:spacing w:after="0" w:line="2" w:lineRule="exact"/>
        <w:rPr>
          <w:sz w:val="20"/>
          <w:szCs w:val="20"/>
          <w:color w:val="auto"/>
        </w:rPr>
      </w:pP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to us. In that event, we may be required to expend significant time and resources to develop or license replacement technology.</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w:t>
      </w:r>
    </w:p>
    <w:p>
      <w:pPr>
        <w:sectPr>
          <w:pgSz w:w="11900" w:h="16877" w:orient="portrait"/>
          <w:cols w:equalWidth="0" w:num="1">
            <w:col w:w="9019"/>
          </w:cols>
          <w:pgMar w:left="1440" w:top="108" w:right="1440" w:bottom="0" w:gutter="0" w:footer="0" w:header="0"/>
        </w:sectPr>
      </w:pPr>
    </w:p>
    <w:bookmarkStart w:id="44" w:name="page45"/>
    <w:bookmarkEnd w:id="44"/>
    <w:p>
      <w:pPr>
        <w:ind w:left="300" w:right="419"/>
        <w:spacing w:after="0" w:line="211" w:lineRule="auto"/>
        <w:rPr>
          <w:sz w:val="20"/>
          <w:szCs w:val="20"/>
          <w:color w:val="auto"/>
        </w:rPr>
      </w:pPr>
      <w:r>
        <w:rPr>
          <w:rFonts w:ascii="Times New Roman" w:cs="Times New Roman" w:eastAsia="Times New Roman" w:hAnsi="Times New Roman"/>
          <w:sz w:val="17"/>
          <w:szCs w:val="17"/>
          <w:color w:val="auto"/>
        </w:rPr>
        <w:t>development under written agreements with these institutions. In certain cases, these institutions provide us with an option to negotiate a license to any of the institution’s rights in technology resulting from the collaboration.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-197485</wp:posOffset>
            </wp:positionV>
            <wp:extent cx="7016115" cy="3739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we hold such an option, we may be unable to negotiate a license from the institution within the specified timeframe</w:t>
      </w:r>
    </w:p>
    <w:p>
      <w:pPr>
        <w:spacing w:after="0" w:line="1"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or under terms that are acceptable to us. If we are unable to do so, the institution may offer the intellectual property rights to others, potentially blocking our ability to pursue our program.</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that may be more established or have greater resources than we do may also be pursuing strategies to license or acquire third-party intellectual property rights that we may consider necessary or attractive in order to commercialize our drug candidates. More established companies may have a competitive advantage over us due to their size, cash</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w:t>
      </w:r>
    </w:p>
    <w:p>
      <w:pPr>
        <w:spacing w:after="0" w:line="2" w:lineRule="exact"/>
        <w:rPr>
          <w:sz w:val="20"/>
          <w:szCs w:val="20"/>
          <w:color w:val="auto"/>
        </w:rPr>
      </w:pP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surrounding the additional drug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 and prospects could suffer.</w:t>
      </w:r>
    </w:p>
    <w:p>
      <w:pPr>
        <w:spacing w:after="0" w:line="53" w:lineRule="exact"/>
        <w:rPr>
          <w:sz w:val="20"/>
          <w:szCs w:val="20"/>
          <w:color w:val="auto"/>
        </w:rPr>
      </w:pPr>
    </w:p>
    <w:p>
      <w:pPr>
        <w:ind w:left="300" w:right="6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equity securities may be volatile, and purchasers of our ADSs could incur substantial losses.</w:t>
      </w:r>
    </w:p>
    <w:p>
      <w:pPr>
        <w:spacing w:after="0" w:line="64" w:lineRule="exact"/>
        <w:rPr>
          <w:sz w:val="20"/>
          <w:szCs w:val="20"/>
          <w:color w:val="auto"/>
        </w:rPr>
      </w:pPr>
    </w:p>
    <w:p>
      <w:pPr>
        <w:ind w:left="300" w:right="479" w:firstLine="441"/>
        <w:spacing w:after="0" w:line="239" w:lineRule="auto"/>
        <w:rPr>
          <w:sz w:val="20"/>
          <w:szCs w:val="20"/>
          <w:color w:val="auto"/>
        </w:rPr>
      </w:pPr>
      <w:r>
        <w:rPr>
          <w:rFonts w:ascii="Times New Roman" w:cs="Times New Roman" w:eastAsia="Times New Roman" w:hAnsi="Times New Roman"/>
          <w:sz w:val="17"/>
          <w:szCs w:val="17"/>
          <w:color w:val="auto"/>
        </w:rPr>
        <w:t>The market price for our ADSs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6941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19"/>
        <w:spacing w:after="0" w:line="237" w:lineRule="auto"/>
        <w:rPr>
          <w:sz w:val="20"/>
          <w:szCs w:val="20"/>
          <w:color w:val="auto"/>
        </w:rPr>
      </w:pPr>
      <w:r>
        <w:rPr>
          <w:rFonts w:ascii="Times New Roman" w:cs="Times New Roman" w:eastAsia="Times New Roman" w:hAnsi="Times New Roman"/>
          <w:sz w:val="18"/>
          <w:szCs w:val="18"/>
          <w:color w:val="auto"/>
        </w:rPr>
        <w:t>ADSs at or above the price originally paid for the security. The market price for our ADSs and ordinary shares may be influenced by many factors, including:</w:t>
      </w:r>
    </w:p>
    <w:p>
      <w:pPr>
        <w:spacing w:after="0" w:line="64" w:lineRule="exact"/>
        <w:rPr>
          <w:sz w:val="20"/>
          <w:szCs w:val="20"/>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0" w:lineRule="exact"/>
        <w:rPr>
          <w:rFonts w:ascii="Times New Roman" w:cs="Times New Roman" w:eastAsia="Times New Roman" w:hAnsi="Times New Roman"/>
          <w:sz w:val="18"/>
          <w:szCs w:val="18"/>
          <w:color w:val="auto"/>
        </w:rPr>
      </w:pPr>
    </w:p>
    <w:p>
      <w:pPr>
        <w:ind w:left="1280" w:right="859" w:hanging="328"/>
        <w:spacing w:after="0" w:line="237"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0" w:lineRule="exact"/>
        <w:rPr>
          <w:rFonts w:ascii="Times New Roman" w:cs="Times New Roman" w:eastAsia="Times New Roman" w:hAnsi="Times New Roman"/>
          <w:sz w:val="18"/>
          <w:szCs w:val="18"/>
          <w:color w:val="auto"/>
        </w:rPr>
      </w:pPr>
    </w:p>
    <w:p>
      <w:pPr>
        <w:ind w:left="1280" w:right="479" w:hanging="328"/>
        <w:spacing w:after="0" w:line="250"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76" w:lineRule="exact"/>
        <w:rPr>
          <w:rFonts w:ascii="Times New Roman" w:cs="Times New Roman" w:eastAsia="Times New Roman" w:hAnsi="Times New Roman"/>
          <w:sz w:val="18"/>
          <w:szCs w:val="18"/>
          <w:color w:val="auto"/>
        </w:rPr>
      </w:pPr>
    </w:p>
    <w:p>
      <w:pPr>
        <w:jc w:val="both"/>
        <w:ind w:left="1280" w:right="559" w:hanging="328"/>
        <w:spacing w:after="0" w:line="250"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disputes or other developments related to proprietary rights, including patents, litigation matters, and our ability to obtain patent protection for our technologies;</w:t>
      </w:r>
    </w:p>
    <w:p>
      <w:pPr>
        <w:spacing w:after="0" w:line="41" w:lineRule="exact"/>
        <w:rPr>
          <w:rFonts w:ascii="Times New Roman" w:cs="Times New Roman" w:eastAsia="Times New Roman" w:hAnsi="Times New Roman"/>
          <w:sz w:val="18"/>
          <w:szCs w:val="18"/>
          <w:color w:val="auto"/>
        </w:rPr>
      </w:pPr>
    </w:p>
    <w:p>
      <w:pPr>
        <w:ind w:left="1280" w:right="659" w:hanging="328"/>
        <w:spacing w:after="0" w:line="237"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or ADSs by us, our insiders or our other shareholders;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90" w:lineRule="exact"/>
        <w:rPr>
          <w:sz w:val="20"/>
          <w:szCs w:val="20"/>
          <w:color w:val="auto"/>
        </w:rPr>
      </w:pPr>
    </w:p>
    <w:p>
      <w:pPr>
        <w:ind w:left="300" w:right="319" w:firstLine="441"/>
        <w:spacing w:after="0" w:line="22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the trading market for our ADSs.</w:t>
      </w:r>
    </w:p>
    <w:p>
      <w:pPr>
        <w:spacing w:after="0" w:line="59"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ADSs and their trading volume could decline.</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analysts publish about us or our business. If no or few securities or industry analysts cover our company, the trading price for our ADSs would be negatively impacted. If one or more of the analysts who covers us downgrades our equity securities or publishes incorrect or unfavorable research about our business, the price of our ADSs would</w:t>
      </w:r>
    </w:p>
    <w:p>
      <w:pPr>
        <w:spacing w:after="0" w:line="2" w:lineRule="exact"/>
        <w:rPr>
          <w:sz w:val="20"/>
          <w:szCs w:val="20"/>
          <w:color w:val="auto"/>
        </w:rPr>
      </w:pPr>
    </w:p>
    <w:p>
      <w:pPr>
        <w:ind w:left="300" w:right="579"/>
        <w:spacing w:after="0" w:line="218" w:lineRule="auto"/>
        <w:rPr>
          <w:sz w:val="20"/>
          <w:szCs w:val="20"/>
          <w:color w:val="auto"/>
        </w:rPr>
      </w:pPr>
      <w:r>
        <w:rPr>
          <w:rFonts w:ascii="Times New Roman" w:cs="Times New Roman" w:eastAsia="Times New Roman" w:hAnsi="Times New Roman"/>
          <w:sz w:val="18"/>
          <w:szCs w:val="18"/>
          <w:color w:val="auto"/>
        </w:rPr>
        <w:t>likely decline. If one or more of these analysts ceases coverage of our company or fails to publish reports on us regularly, or downgrades our securities, demand for our ADSs could decrease, which could cause the price of our ADSs or their trading volume to decline.</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U.S. public company may strain our resources and divert management’s attention.</w:t>
      </w:r>
    </w:p>
    <w:p>
      <w:pPr>
        <w:spacing w:after="0" w:line="81"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We are required to comply with various corporate governance and financial reporting requirements under the Sarbanes-Oxley Act, the Exchange Act, Nasdaq listing rules, and the rules and regulations adopted by the SEC and</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the Public Company Accounting Oversight Board, in addition to operating as a dual-listed company in France. Further, compliance with various regulatory reporting requires significant commitments of time from our management and our directors, which reduces the time available for the performance of their other responsibilities.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failure to track and comply with the various rules may materially adversely affect our reputation, ability to</w:t>
      </w:r>
    </w:p>
    <w:p>
      <w:pPr>
        <w:sectPr>
          <w:pgSz w:w="11900" w:h="16838" w:orient="portrait"/>
          <w:cols w:equalWidth="0" w:num="1">
            <w:col w:w="9019"/>
          </w:cols>
          <w:pgMar w:left="1440" w:top="108" w:right="1440" w:bottom="0" w:gutter="0" w:footer="0" w:header="0"/>
        </w:sectPr>
      </w:pPr>
    </w:p>
    <w:bookmarkStart w:id="45" w:name="page46"/>
    <w:bookmarkEnd w:id="45"/>
    <w:p>
      <w:pPr>
        <w:ind w:left="300" w:right="639"/>
        <w:spacing w:after="0" w:line="356" w:lineRule="auto"/>
        <w:rPr>
          <w:sz w:val="20"/>
          <w:szCs w:val="20"/>
          <w:color w:val="auto"/>
        </w:rPr>
      </w:pPr>
      <w:r>
        <w:rPr>
          <w:rFonts w:ascii="Times New Roman" w:cs="Times New Roman" w:eastAsia="Times New Roman" w:hAnsi="Times New Roman"/>
          <w:sz w:val="17"/>
          <w:szCs w:val="17"/>
          <w:color w:val="auto"/>
        </w:rPr>
        <w:t>couldobtainadverselythenecessaryaffectcertificationsthevalueof t</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7"/>
          <w:szCs w:val="17"/>
          <w:color w:val="auto"/>
        </w:rPr>
        <w:t>urfinanciordin</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lrystatements,sharesor ADSsleadto. additional regulatory enforcement actions, and </w:t>
      </w: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-347345</wp:posOffset>
            </wp:positionV>
            <wp:extent cx="7016115" cy="2367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biopharmaceutical</w:t>
      </w:r>
    </w:p>
    <w:p>
      <w:pPr>
        <w:jc w:val="both"/>
        <w:ind w:left="300" w:right="339"/>
        <w:spacing w:after="0" w:line="218" w:lineRule="auto"/>
        <w:rPr>
          <w:sz w:val="20"/>
          <w:szCs w:val="20"/>
          <w:color w:val="auto"/>
        </w:rPr>
      </w:pPr>
      <w:r>
        <w:rPr>
          <w:rFonts w:ascii="Times New Roman" w:cs="Times New Roman" w:eastAsia="Times New Roman" w:hAnsi="Times New Roman"/>
          <w:sz w:val="18"/>
          <w:szCs w:val="18"/>
          <w:color w:val="auto"/>
        </w:rPr>
        <w:t>companies have experienced significant share price volatility in recent years. If we were to be sued, it could result in substantial costs, which could be insufficiently covered by insurance,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06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47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intend to pay dividends on our securities and, consequently, your ability to achieve a return on your investment will depend on appreciation in the price of the ordinary shares and our ADSs. In addition,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French law may limit the amount of dividends we are able to distribute.</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We have never declared or paid any cash dividends on our ordinary shares and do not currently intend to do so for the foreseeable future. We currently intend to invest our future earnings, if any, to fund our growth. Therefore,</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you are not likely to receive any dividends on your ADSs for the foreseeable future and the success of an investment in ADSs will depend upon any future appreciation in its value. Consequently, investors may need to sell all or part of their holdings of ADSs after price appreciation, which may never occur, as the only way to realize any future</w:t>
      </w:r>
    </w:p>
    <w:p>
      <w:pPr>
        <w:spacing w:after="0" w:line="2" w:lineRule="exact"/>
        <w:rPr>
          <w:sz w:val="20"/>
          <w:szCs w:val="20"/>
          <w:color w:val="auto"/>
        </w:rPr>
      </w:pP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gains on their investment. There is no guarantee that the ADSs will appreciate in value or even maintain the price at which our shareholders have purchased them. Investors seeking cash dividends should not purchase our ADSs. Furthermore, certain of our debt instruments restrict the payment of dividends or require consent to pay dividends.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“Item 8.A Consolidated Statements and Other Financial Information—Dividend Policy.”</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Further, under French law, the determination of whether we have been sufficiently profitable to pay dividends is made on the basis of our statutory financial statements prepared and presented in accordance with accounting</w:t>
      </w:r>
    </w:p>
    <w:p>
      <w:pPr>
        <w:jc w:val="both"/>
        <w:ind w:left="300" w:right="539"/>
        <w:spacing w:after="0" w:line="239" w:lineRule="auto"/>
        <w:rPr>
          <w:sz w:val="20"/>
          <w:szCs w:val="20"/>
          <w:color w:val="auto"/>
        </w:rPr>
      </w:pPr>
      <w:r>
        <w:rPr>
          <w:rFonts w:ascii="Times New Roman" w:cs="Times New Roman" w:eastAsia="Times New Roman" w:hAnsi="Times New Roman"/>
          <w:sz w:val="17"/>
          <w:szCs w:val="17"/>
          <w:color w:val="auto"/>
        </w:rPr>
        <w:t>standards applicable in France. In addition, payment of dividends may subject us to additional taxes under French law. Therefore, we may be more restricted in our ability to declare dividends than companies not based in France.</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exchange rate fluctuations may affect the amount of euros that we are able to distribute, and the</w:t>
      </w:r>
    </w:p>
    <w:p>
      <w:pPr>
        <w:spacing w:after="0" w:line="2" w:lineRule="exact"/>
        <w:rPr>
          <w:sz w:val="20"/>
          <w:szCs w:val="20"/>
          <w:color w:val="auto"/>
        </w:rPr>
      </w:pPr>
    </w:p>
    <w:p>
      <w:pPr>
        <w:ind w:left="300" w:right="539"/>
        <w:spacing w:after="0" w:line="218" w:lineRule="auto"/>
        <w:rPr>
          <w:sz w:val="20"/>
          <w:szCs w:val="20"/>
          <w:color w:val="auto"/>
        </w:rPr>
      </w:pPr>
      <w:r>
        <w:rPr>
          <w:rFonts w:ascii="Times New Roman" w:cs="Times New Roman" w:eastAsia="Times New Roman" w:hAnsi="Times New Roman"/>
          <w:sz w:val="18"/>
          <w:szCs w:val="18"/>
          <w:color w:val="auto"/>
        </w:rPr>
        <w:t>amount in U.S. dollars that our shareholders receive upon the payment of cash dividends or other distributions we declare and pay in euros, if any. These factors could harm the value of our ADSs, and, in turn, the U.S. dollar proceeds that holders receive from the sale of our ADSs.</w:t>
      </w:r>
    </w:p>
    <w:p>
      <w:pPr>
        <w:sectPr>
          <w:pgSz w:w="11900" w:h="16838" w:orient="portrait"/>
          <w:cols w:equalWidth="0" w:num="1">
            <w:col w:w="9019"/>
          </w:cols>
          <w:pgMar w:left="1440" w:top="108"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96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96315"/>
                    </a:xfrm>
                    <a:prstGeom prst="rect">
                      <a:avLst/>
                    </a:prstGeom>
                    <a:noFill/>
                  </pic:spPr>
                </pic:pic>
              </a:graphicData>
            </a:graphic>
          </wp:anchor>
        </w:drawing>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1255" w:right="144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119"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7"/>
          <w:szCs w:val="17"/>
          <w:color w:val="auto"/>
        </w:rPr>
        <w:t xml:space="preserve">Our legal and commercial name is Abivax SA. We were incorporated as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(limited liability company) under the laws of France on December 4, 2013 for a period of 99 years until December 22, 2112, subject</w:t>
      </w: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to extension or early dissolution and registered at the Paris Trade and Company Register on December 27, 2013 under the number 799 363 718. Our principal executive offices are located at 7-11 boulevard Haussmann 75009 Paris, France, and our telephone number is +33 (0) 1 53 83 09 63. We have one wholly owned subsidiary, Abivax</w:t>
      </w:r>
    </w:p>
    <w:p>
      <w:pPr>
        <w:spacing w:after="0" w:line="2" w:lineRule="exact"/>
        <w:rPr>
          <w:sz w:val="20"/>
          <w:szCs w:val="20"/>
          <w:color w:val="auto"/>
        </w:rPr>
      </w:pPr>
    </w:p>
    <w:p>
      <w:pPr>
        <w:ind w:left="300" w:right="759"/>
        <w:spacing w:after="0" w:line="226" w:lineRule="auto"/>
        <w:rPr>
          <w:sz w:val="20"/>
          <w:szCs w:val="20"/>
          <w:color w:val="auto"/>
        </w:rPr>
      </w:pPr>
      <w:r>
        <w:rPr>
          <w:rFonts w:ascii="Times New Roman" w:cs="Times New Roman" w:eastAsia="Times New Roman" w:hAnsi="Times New Roman"/>
          <w:sz w:val="18"/>
          <w:szCs w:val="18"/>
          <w:color w:val="auto"/>
        </w:rPr>
        <w:t>LLC, a Delaware limited liability company, formed on March 20, 2023. Our agent for service of process in the United States is CT Corporation System, 1015 15th Street N.W., Suite 1000, Washington, D.C. 20005.</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been listed on Euronext Paris since June 2015. In October 2023, we completed the initial public</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offering of our ordinary shares in the form of ADSs on the Nasdaq Global Market, raising approximately $235.8 million in gross proceeds (equivalent to approximately €223.3 million based on the exchange rate then in effect), inclusive of proceeds from our concurrent private placement of ordinary shares in certain jurisdictions outside of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w:t>
      </w:r>
    </w:p>
    <w:p>
      <w:pPr>
        <w:spacing w:after="0" w:line="57"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We did not incur any material capital expenditures for the years ended December 31, 2025, 2024 and 2023 other than in the ordinary course of business, as described below in Item 5—Operating and Financial Review and</w:t>
      </w:r>
    </w:p>
    <w:p>
      <w:pPr>
        <w:ind w:left="300"/>
        <w:spacing w:after="0"/>
        <w:rPr>
          <w:sz w:val="20"/>
          <w:szCs w:val="20"/>
          <w:color w:val="auto"/>
        </w:rPr>
      </w:pPr>
      <w:r>
        <w:rPr>
          <w:rFonts w:ascii="Times New Roman" w:cs="Times New Roman" w:eastAsia="Times New Roman" w:hAnsi="Times New Roman"/>
          <w:sz w:val="18"/>
          <w:szCs w:val="18"/>
          <w:color w:val="auto"/>
        </w:rPr>
        <w:t>Prospects.</w:t>
      </w:r>
    </w:p>
    <w:p>
      <w:pPr>
        <w:spacing w:after="0" w:line="57"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SEC maintains an Internet site that contains reports, proxy information statements and other information regarding issuers that file electronically with the SEC. The address of that site is http://www.sec.gov. Our website</w:t>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address is www.abivax.com. The reference to our website is an inactive textual reference only and information contained in, or that can be accessed through, our website or any other website cited in this annual report is not part of this annual report.</w:t>
      </w:r>
    </w:p>
    <w:p>
      <w:pPr>
        <w:spacing w:after="0" w:line="168"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We are a clinical-stage biotechnology company focused on developing therapeutics that harness the body’s natural regulatory mechanisms to stabilize the immune response in patients with chronic inflammatory diseases. We</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focus on indications where existing treatments have left patients with significant unmet needs, and where we believe our investigational agents have the potential to be meaningfully differentiated from currently available therapies. Our initial focus is on inflammatory bowel diseases ("IBD"), chronic conditions involving inflammation of the</w:t>
      </w:r>
    </w:p>
    <w:p>
      <w:pPr>
        <w:spacing w:after="0" w:line="2" w:lineRule="exact"/>
        <w:rPr>
          <w:sz w:val="20"/>
          <w:szCs w:val="20"/>
          <w:color w:val="auto"/>
        </w:rPr>
      </w:pPr>
    </w:p>
    <w:p>
      <w:pPr>
        <w:ind w:left="300" w:right="879"/>
        <w:spacing w:after="0" w:line="226" w:lineRule="auto"/>
        <w:rPr>
          <w:sz w:val="20"/>
          <w:szCs w:val="20"/>
          <w:color w:val="auto"/>
        </w:rPr>
      </w:pPr>
      <w:r>
        <w:rPr>
          <w:rFonts w:ascii="Times New Roman" w:cs="Times New Roman" w:eastAsia="Times New Roman" w:hAnsi="Times New Roman"/>
          <w:sz w:val="18"/>
          <w:szCs w:val="18"/>
          <w:color w:val="auto"/>
        </w:rPr>
        <w:t>gastrointestinal tract, of which the two most common forms are ulcerative colitis ("UC") and Crohn’s disease ("CD").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believe our lead drug candidate, obefazimod, is differentiated from competing approaches for the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treatment of IBD via its novel mechanism of action ("MOA"). Obefazimod was demonstrated to specifically enhance the expression of a single micro-RNA, miR-124, which plays a critical role in the regulation of the inflammatory response. In the context of inflammation, miR-124 is a natural regulator of the inflammatory response,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ectPr>
          <w:pgSz w:w="11900" w:h="16838" w:orient="portrait"/>
          <w:cols w:equalWidth="0" w:num="1">
            <w:col w:w="9019"/>
          </w:cols>
          <w:pgMar w:left="1440" w:top="1255" w:right="1440" w:bottom="3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81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019"/>
          </w:cols>
          <w:pgMar w:left="1440" w:top="1255" w:right="1440" w:bottom="393" w:gutter="0" w:footer="0" w:header="0"/>
          <w:type w:val="continuous"/>
        </w:sectPr>
      </w:pPr>
    </w:p>
    <w:bookmarkStart w:id="47" w:name="page48"/>
    <w:bookmarkEnd w:id="47"/>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80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300" w:right="919" w:firstLine="441"/>
        <w:spacing w:after="0" w:line="236" w:lineRule="auto"/>
        <w:rPr>
          <w:sz w:val="20"/>
          <w:szCs w:val="20"/>
          <w:color w:val="auto"/>
        </w:rPr>
      </w:pPr>
      <w:r>
        <w:rPr>
          <w:rFonts w:ascii="Times New Roman" w:cs="Times New Roman" w:eastAsia="Times New Roman" w:hAnsi="Times New Roman"/>
          <w:sz w:val="17"/>
          <w:szCs w:val="17"/>
          <w:color w:val="auto"/>
        </w:rPr>
        <w:t>Our lead drug candidate, obefazimod, is currently in Phase 3 clinical development for the treatment of moderately to severely active UC. We are continuing to develop obefazimod for the treatment of CD and are</w:t>
      </w:r>
    </w:p>
    <w:p>
      <w:pPr>
        <w:ind w:left="300" w:right="539"/>
        <w:spacing w:after="0" w:line="218" w:lineRule="auto"/>
        <w:rPr>
          <w:sz w:val="20"/>
          <w:szCs w:val="20"/>
          <w:color w:val="auto"/>
        </w:rPr>
      </w:pPr>
      <w:r>
        <w:rPr>
          <w:rFonts w:ascii="Times New Roman" w:cs="Times New Roman" w:eastAsia="Times New Roman" w:hAnsi="Times New Roman"/>
          <w:sz w:val="18"/>
          <w:szCs w:val="18"/>
          <w:color w:val="auto"/>
        </w:rPr>
        <w:t>evaluating potential combination therapy opportunities in IBD to pursue. In parallel, we are in the process of strengthening our development portfolio by generating follow-on compounds based on our miR-124 platform and assessing external early drug candidates in IBD. The chart below sets forth details of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0" w:hanging="78"/>
        <w:spacing w:after="0"/>
        <w:tabs>
          <w:tab w:leader="none" w:pos="48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Under evaluation based on induction and maintenance Phase 3 clinical trials.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primary goal is to develop and commercialize obefazimod for the treatment of IBD, starting with</w:t>
      </w:r>
    </w:p>
    <w:p>
      <w:pPr>
        <w:spacing w:after="0" w:line="2" w:lineRule="exact"/>
        <w:rPr>
          <w:sz w:val="20"/>
          <w:szCs w:val="20"/>
          <w:color w:val="auto"/>
        </w:rPr>
      </w:pPr>
    </w:p>
    <w:p>
      <w:pPr>
        <w:ind w:left="300" w:right="1039"/>
        <w:spacing w:after="0" w:line="239" w:lineRule="auto"/>
        <w:rPr>
          <w:sz w:val="20"/>
          <w:szCs w:val="20"/>
          <w:color w:val="auto"/>
        </w:rPr>
      </w:pPr>
      <w:r>
        <w:rPr>
          <w:rFonts w:ascii="Times New Roman" w:cs="Times New Roman" w:eastAsia="Times New Roman" w:hAnsi="Times New Roman"/>
          <w:sz w:val="17"/>
          <w:szCs w:val="17"/>
          <w:color w:val="auto"/>
        </w:rPr>
        <w:t>moderately to severely active UC and CD. We focus on indications with high unmet needs with substantial commercial potential. To achieve our goal, we are pursuing the following key elements of our strategy:</w:t>
      </w:r>
    </w:p>
    <w:p>
      <w:pPr>
        <w:spacing w:after="0" w:line="46" w:lineRule="exact"/>
        <w:rPr>
          <w:sz w:val="20"/>
          <w:szCs w:val="20"/>
          <w:color w:val="auto"/>
        </w:rPr>
      </w:pPr>
    </w:p>
    <w:p>
      <w:pPr>
        <w:ind w:left="940" w:right="379" w:hanging="324"/>
        <w:spacing w:after="0" w:line="271" w:lineRule="auto"/>
        <w:tabs>
          <w:tab w:leader="none" w:pos="9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obefazimod through pivotal clinical trials and establish obefazimod as a potential preferred advanced therapy for IBD.</w:t>
      </w:r>
    </w:p>
    <w:p>
      <w:pPr>
        <w:spacing w:after="0" w:line="49" w:lineRule="exact"/>
        <w:rPr>
          <w:rFonts w:ascii="Times New Roman" w:cs="Times New Roman" w:eastAsia="Times New Roman" w:hAnsi="Times New Roman"/>
          <w:sz w:val="18"/>
          <w:szCs w:val="18"/>
          <w:b w:val="1"/>
          <w:bCs w:val="1"/>
          <w:color w:val="auto"/>
        </w:rPr>
      </w:pPr>
    </w:p>
    <w:p>
      <w:pPr>
        <w:ind w:left="940" w:right="339"/>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the strength of the induction data we have generated in July 2025 in our Phase 3 clinical trials, with a pooled 16.4% placebo-adjusted clinical remission rate after 8 weeks of treatment, and a highly differentiated placebo adjusted clinical response rate across all lines of bio-naïve and bio-refractory patients, including JAK resistant patients, with no major safety concerns, uniquely positions obefazimod as a potential highly competitive advanced therapy choice for moderately to severely active UC, if approved.</w:t>
      </w:r>
    </w:p>
    <w:p>
      <w:pPr>
        <w:spacing w:after="0" w:line="50" w:lineRule="exact"/>
        <w:rPr>
          <w:rFonts w:ascii="Times New Roman" w:cs="Times New Roman" w:eastAsia="Times New Roman" w:hAnsi="Times New Roman"/>
          <w:sz w:val="18"/>
          <w:szCs w:val="18"/>
          <w:b w:val="1"/>
          <w:bCs w:val="1"/>
          <w:color w:val="auto"/>
        </w:rPr>
      </w:pPr>
    </w:p>
    <w:p>
      <w:pPr>
        <w:ind w:left="940" w:right="379"/>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also believe that the strength of the maintenance data demonstrated in our Phase 2b trial (as evidenced by a clinical remission rate of 53%, clinical response rate of 73% and no new adverse safety signals observed from our two-year Phase 2b open label maintenance trial), should they be confirmed in our ongoing Phase 3 maintenance trial, could further position obefazimod as a potential treatment of choice for all UC patient treatment lines.</w:t>
      </w:r>
    </w:p>
    <w:p>
      <w:pPr>
        <w:spacing w:after="0" w:line="63" w:lineRule="exact"/>
        <w:rPr>
          <w:rFonts w:ascii="Times New Roman" w:cs="Times New Roman" w:eastAsia="Times New Roman" w:hAnsi="Times New Roman"/>
          <w:sz w:val="18"/>
          <w:szCs w:val="18"/>
          <w:b w:val="1"/>
          <w:bCs w:val="1"/>
          <w:color w:val="auto"/>
        </w:rPr>
      </w:pPr>
    </w:p>
    <w:p>
      <w:pPr>
        <w:ind w:left="940" w:right="439"/>
        <w:spacing w:after="0" w:line="21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positive clinical data generated in our UC trials, preclinical studies in dextran sulfate sodium ("DSS") mouse model which provide support for pursuing further development in CD, and underlying biological and mechanistic rationale, we also initiated a Phase 2b clinical trial in patients with CD in the fourth quarter of 2024, with a planned top-line induction data read-out in the fourth quarter of 2026. CD causes long-lasting inflammation and ulcers in the digestive tract, with fibrosis and structuring, playing a key role in disease progression. It differs from UC in that it affects the entire thickness of the bowel wall and all parts of the digestive tract from mouth to anus. However, CD shares many of the underlying pathophysiological processes and clinical manifestations of UC, and, as a result, the current treatment paradigm of CD is similar to UC, as described further below.</w:t>
      </w:r>
    </w:p>
    <w:p>
      <w:pPr>
        <w:spacing w:after="0" w:line="66" w:lineRule="exact"/>
        <w:rPr>
          <w:rFonts w:ascii="Times New Roman" w:cs="Times New Roman" w:eastAsia="Times New Roman" w:hAnsi="Times New Roman"/>
          <w:sz w:val="18"/>
          <w:szCs w:val="18"/>
          <w:b w:val="1"/>
          <w:bCs w:val="1"/>
          <w:color w:val="auto"/>
        </w:rPr>
      </w:pPr>
    </w:p>
    <w:p>
      <w:pPr>
        <w:ind w:left="940" w:right="1079"/>
        <w:spacing w:after="0" w:line="2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we believe that obefazimod’s clinical profile observed to date lends itself to potential combinations with existing or new therapies, which we are exploring.</w:t>
      </w:r>
    </w:p>
    <w:p>
      <w:pPr>
        <w:spacing w:after="0" w:line="46" w:lineRule="exact"/>
        <w:rPr>
          <w:rFonts w:ascii="Times New Roman" w:cs="Times New Roman" w:eastAsia="Times New Roman" w:hAnsi="Times New Roman"/>
          <w:sz w:val="18"/>
          <w:szCs w:val="18"/>
          <w:b w:val="1"/>
          <w:bCs w:val="1"/>
          <w:color w:val="auto"/>
        </w:rPr>
      </w:pPr>
    </w:p>
    <w:p>
      <w:pPr>
        <w:ind w:left="940" w:hanging="312"/>
        <w:spacing w:after="0"/>
        <w:tabs>
          <w:tab w:leader="none" w:pos="94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combination therapy in IBD with obefazimod.</w:t>
      </w:r>
    </w:p>
    <w:p>
      <w:pPr>
        <w:spacing w:after="0" w:line="107" w:lineRule="exact"/>
        <w:rPr>
          <w:rFonts w:ascii="Times New Roman" w:cs="Times New Roman" w:eastAsia="Times New Roman" w:hAnsi="Times New Roman"/>
          <w:sz w:val="18"/>
          <w:szCs w:val="18"/>
          <w:b w:val="1"/>
          <w:bCs w:val="1"/>
          <w:color w:val="auto"/>
        </w:rPr>
      </w:pPr>
    </w:p>
    <w:p>
      <w:pPr>
        <w:ind w:left="940" w:right="43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Currently available therapies have limited efficacy and durability that wane over time, have extensive pre-initiation requirements, carry significant safety and tolerability challenges (such as black box safety warnings), and many of them are injectable biologics. We believe several of obefazimod’s attributes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653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 w:right="639"/>
        <w:spacing w:after="0" w:line="236" w:lineRule="auto"/>
        <w:rPr>
          <w:sz w:val="20"/>
          <w:szCs w:val="20"/>
          <w:color w:val="auto"/>
        </w:rPr>
      </w:pPr>
      <w:r>
        <w:rPr>
          <w:rFonts w:ascii="Times New Roman" w:cs="Times New Roman" w:eastAsia="Times New Roman" w:hAnsi="Times New Roman"/>
          <w:sz w:val="17"/>
          <w:szCs w:val="17"/>
          <w:color w:val="auto"/>
        </w:rPr>
        <w:t>it a potentially attractive candidate to pair with other advanced treatments. First, the oral route of administration is preferred by a majority of patients, potentially resulting in higher levels of medication</w:t>
      </w:r>
    </w:p>
    <w:p>
      <w:pPr>
        <w:ind w:left="940" w:right="359"/>
        <w:spacing w:after="0" w:line="220" w:lineRule="auto"/>
        <w:rPr>
          <w:sz w:val="20"/>
          <w:szCs w:val="20"/>
          <w:color w:val="auto"/>
        </w:rPr>
      </w:pPr>
      <w:r>
        <w:rPr>
          <w:rFonts w:ascii="Times New Roman" w:cs="Times New Roman" w:eastAsia="Times New Roman" w:hAnsi="Times New Roman"/>
          <w:sz w:val="17"/>
          <w:szCs w:val="17"/>
          <w:color w:val="auto"/>
        </w:rPr>
        <w:t>adherence. Further, obefazimod’s proposed MOA harnesses the body’s natural regulatory mechanisms to stabilize the immune response in patients with chronic inflammatory diseases. The novel MOA of obefazimod potentially lends itself as complementary to other oral or injectable agents with the potential of</w:t>
      </w:r>
    </w:p>
    <w:p>
      <w:pPr>
        <w:spacing w:after="0" w:line="2" w:lineRule="exact"/>
        <w:rPr>
          <w:sz w:val="20"/>
          <w:szCs w:val="20"/>
          <w:color w:val="auto"/>
        </w:rPr>
      </w:pPr>
    </w:p>
    <w:p>
      <w:pPr>
        <w:ind w:left="940" w:right="459"/>
        <w:spacing w:after="0" w:line="239" w:lineRule="auto"/>
        <w:rPr>
          <w:sz w:val="20"/>
          <w:szCs w:val="20"/>
          <w:color w:val="auto"/>
        </w:rPr>
      </w:pPr>
      <w:r>
        <w:rPr>
          <w:rFonts w:ascii="Times New Roman" w:cs="Times New Roman" w:eastAsia="Times New Roman" w:hAnsi="Times New Roman"/>
          <w:sz w:val="17"/>
          <w:szCs w:val="17"/>
          <w:color w:val="auto"/>
        </w:rPr>
        <w:t>improving the induction and remission efficacy over monotherapy. We have initiated a formal process evaluating oral and injectable combination therapy candidate with obefazimod in UC. In September 2024,</w:t>
      </w:r>
    </w:p>
    <w:p>
      <w:pPr>
        <w:sectPr>
          <w:pgSz w:w="11900" w:h="16891" w:orient="portrait"/>
          <w:cols w:equalWidth="0" w:num="1">
            <w:col w:w="9019"/>
          </w:cols>
          <w:pgMar w:left="1440" w:top="954" w:right="1440" w:bottom="0" w:gutter="0" w:footer="0" w:header="0"/>
        </w:sectPr>
      </w:pPr>
    </w:p>
    <w:bookmarkStart w:id="48" w:name="page49"/>
    <w:bookmarkEnd w:id="48"/>
    <w:p>
      <w:pPr>
        <w:ind w:left="940" w:right="679"/>
        <w:spacing w:after="0" w:line="191" w:lineRule="auto"/>
        <w:rPr>
          <w:sz w:val="20"/>
          <w:szCs w:val="20"/>
          <w:color w:val="auto"/>
        </w:rPr>
      </w:pPr>
      <w:r>
        <w:rPr>
          <w:rFonts w:ascii="Times New Roman" w:cs="Times New Roman" w:eastAsia="Times New Roman" w:hAnsi="Times New Roman"/>
          <w:sz w:val="18"/>
          <w:szCs w:val="18"/>
          <w:color w:val="auto"/>
        </w:rPr>
        <w:t>we announced initial preclinical combination data of obefazimod combined with etrasimod in a mouse model of IBD. The results showed that treatment with the combination improved the response on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-187960</wp:posOffset>
            </wp:positionV>
            <wp:extent cx="7016115" cy="7408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ind w:left="940" w:right="339"/>
        <w:spacing w:after="0" w:line="223" w:lineRule="auto"/>
        <w:rPr>
          <w:sz w:val="20"/>
          <w:szCs w:val="20"/>
          <w:color w:val="auto"/>
        </w:rPr>
      </w:pPr>
      <w:r>
        <w:rPr>
          <w:rFonts w:ascii="Times New Roman" w:cs="Times New Roman" w:eastAsia="Times New Roman" w:hAnsi="Times New Roman"/>
          <w:sz w:val="17"/>
          <w:szCs w:val="17"/>
          <w:color w:val="auto"/>
        </w:rPr>
        <w:t>weight protection and Disease Activity Index, and a synergistic and statistically significant reduction of several cytokines (TNFa, IL-17, IL-6, IFNg) in the blood compared to each drug alone. Beyond this current</w:t>
      </w:r>
    </w:p>
    <w:p>
      <w:pPr>
        <w:spacing w:after="0" w:line="1" w:lineRule="exact"/>
        <w:rPr>
          <w:sz w:val="20"/>
          <w:szCs w:val="20"/>
          <w:color w:val="auto"/>
        </w:rPr>
      </w:pPr>
    </w:p>
    <w:p>
      <w:pPr>
        <w:ind w:left="940" w:right="739"/>
        <w:spacing w:after="0" w:line="226" w:lineRule="auto"/>
        <w:rPr>
          <w:sz w:val="20"/>
          <w:szCs w:val="20"/>
          <w:color w:val="auto"/>
        </w:rPr>
      </w:pPr>
      <w:r>
        <w:rPr>
          <w:rFonts w:ascii="Times New Roman" w:cs="Times New Roman" w:eastAsia="Times New Roman" w:hAnsi="Times New Roman"/>
          <w:sz w:val="18"/>
          <w:szCs w:val="18"/>
          <w:color w:val="auto"/>
        </w:rPr>
        <w:t>S1P opportunity, we are also investigating potential synergies with agents resulting from several other MOAs (a4b7, IL-23, PDE-4 and ahR).</w:t>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Additional preclinical data to support our decision-making on a combination agent, which would also be</w:t>
      </w:r>
    </w:p>
    <w:p>
      <w:pPr>
        <w:spacing w:after="0" w:line="2" w:lineRule="exact"/>
        <w:rPr>
          <w:sz w:val="20"/>
          <w:szCs w:val="20"/>
          <w:color w:val="auto"/>
        </w:rPr>
      </w:pPr>
    </w:p>
    <w:p>
      <w:pPr>
        <w:ind w:left="940" w:right="479"/>
        <w:spacing w:after="0" w:line="226" w:lineRule="auto"/>
        <w:rPr>
          <w:sz w:val="20"/>
          <w:szCs w:val="20"/>
          <w:color w:val="auto"/>
        </w:rPr>
      </w:pPr>
      <w:r>
        <w:rPr>
          <w:rFonts w:ascii="Times New Roman" w:cs="Times New Roman" w:eastAsia="Times New Roman" w:hAnsi="Times New Roman"/>
          <w:sz w:val="18"/>
          <w:szCs w:val="18"/>
          <w:color w:val="auto"/>
        </w:rPr>
        <w:t>based on an evaluation of our induction and maintenance data from our Phase 3 clinical trials, is expected in 2026.</w:t>
      </w:r>
    </w:p>
    <w:p>
      <w:pPr>
        <w:spacing w:after="0" w:line="45" w:lineRule="exact"/>
        <w:rPr>
          <w:sz w:val="20"/>
          <w:szCs w:val="20"/>
          <w:color w:val="auto"/>
        </w:rPr>
      </w:pPr>
    </w:p>
    <w:p>
      <w:pPr>
        <w:ind w:left="940" w:hanging="312"/>
        <w:spacing w:after="0"/>
        <w:tabs>
          <w:tab w:leader="none" w:pos="94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Leverage library of miR-124 enhancers to expand our pipeline in chronic inflammatory diseases.</w:t>
      </w:r>
    </w:p>
    <w:p>
      <w:pPr>
        <w:spacing w:after="0" w:line="107" w:lineRule="exact"/>
        <w:rPr>
          <w:rFonts w:ascii="Times New Roman" w:cs="Times New Roman" w:eastAsia="Times New Roman" w:hAnsi="Times New Roman"/>
          <w:sz w:val="18"/>
          <w:szCs w:val="18"/>
          <w:b w:val="1"/>
          <w:bCs w:val="1"/>
          <w:color w:val="auto"/>
        </w:rPr>
      </w:pPr>
    </w:p>
    <w:p>
      <w:pPr>
        <w:ind w:left="940" w:right="479"/>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mechanistic concept of obefazimod,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 We expect to announce an obefazimod follow-on candidate selection in 2026.</w:t>
      </w:r>
    </w:p>
    <w:p>
      <w:pPr>
        <w:spacing w:after="0" w:line="50" w:lineRule="exact"/>
        <w:rPr>
          <w:rFonts w:ascii="Times New Roman" w:cs="Times New Roman" w:eastAsia="Times New Roman" w:hAnsi="Times New Roman"/>
          <w:sz w:val="18"/>
          <w:szCs w:val="18"/>
          <w:b w:val="1"/>
          <w:bCs w:val="1"/>
          <w:color w:val="auto"/>
        </w:rPr>
      </w:pPr>
    </w:p>
    <w:p>
      <w:pPr>
        <w:ind w:left="94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also consider R&amp;D portfolio additions anytime, with compounds resulting from external scientific and medical partnerships in chronic inflammatory diseases.at preclinical or clinical stage.</w:t>
      </w:r>
    </w:p>
    <w:p>
      <w:pPr>
        <w:spacing w:after="0" w:line="50" w:lineRule="exact"/>
        <w:rPr>
          <w:rFonts w:ascii="Times New Roman" w:cs="Times New Roman" w:eastAsia="Times New Roman" w:hAnsi="Times New Roman"/>
          <w:sz w:val="18"/>
          <w:szCs w:val="18"/>
          <w:b w:val="1"/>
          <w:bCs w:val="1"/>
          <w:color w:val="auto"/>
        </w:rPr>
      </w:pPr>
    </w:p>
    <w:p>
      <w:pPr>
        <w:ind w:left="940" w:right="799" w:hanging="324"/>
        <w:spacing w:after="0" w:line="271" w:lineRule="auto"/>
        <w:tabs>
          <w:tab w:leader="none" w:pos="9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Opportunistically evaluate strategic partnerships to maximize the value of obefazimod and our therapeutic pipeline.</w:t>
      </w:r>
    </w:p>
    <w:p>
      <w:pPr>
        <w:spacing w:after="0" w:line="49" w:lineRule="exact"/>
        <w:rPr>
          <w:rFonts w:ascii="Times New Roman" w:cs="Times New Roman" w:eastAsia="Times New Roman" w:hAnsi="Times New Roman"/>
          <w:sz w:val="18"/>
          <w:szCs w:val="18"/>
          <w:b w:val="1"/>
          <w:bCs w:val="1"/>
          <w:color w:val="auto"/>
        </w:rPr>
      </w:pPr>
    </w:p>
    <w:p>
      <w:pPr>
        <w:ind w:left="940" w:right="519"/>
        <w:spacing w:after="0" w:line="2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have discovered and are developing obefazimod as an innovative medicinal product and we currently hold its worldwide rights. We intend to retain worldwide development and commercialization rights for obefazimod. For certain geographies, we may opportunistically enter into strategic partnerships to accelerate development activities in order to realize the commercial potential of obefazimod as well as other assets in our pipeline. In connection with any potential strategic partnership, we plan to pursue and receive upfront funding, milestone payments and future royalties for these agreements.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Lead Drug Candidate for the Treatment of Inflammatory Diseases: Obefazimod</w:t>
      </w:r>
    </w:p>
    <w:p>
      <w:pPr>
        <w:spacing w:after="0" w:line="121"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Obefazimod is an oral small molecule drug candidate in clinical development for the treatment of moderately to severely active UC and CD. We believe that obefazimod is the only small molecule drug candidate in clinical development with a mechanism of action that was demonstrated to specifically enhance the expression of a single</w:t>
      </w:r>
    </w:p>
    <w:p>
      <w:pPr>
        <w:ind w:left="300"/>
        <w:spacing w:after="0"/>
        <w:rPr>
          <w:sz w:val="20"/>
          <w:szCs w:val="20"/>
          <w:color w:val="auto"/>
        </w:rPr>
      </w:pPr>
      <w:r>
        <w:rPr>
          <w:rFonts w:ascii="Times New Roman" w:cs="Times New Roman" w:eastAsia="Times New Roman" w:hAnsi="Times New Roman"/>
          <w:sz w:val="18"/>
          <w:szCs w:val="18"/>
          <w:color w:val="auto"/>
        </w:rPr>
        <w:t>micro-RNA, miR-124, which plays a critical role in the regulation of the inflammatory response.</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Market Opportunity: UC and CD</w:t>
      </w:r>
    </w:p>
    <w:p>
      <w:pPr>
        <w:spacing w:after="0" w:line="121"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estimated market opportunity for UC was approximately $9.2 billion in worldwide sales in 2025 and is expected to reach $21.8 billion in worldwide sales in 2032. In the United States, UC sales were approximately $6.0</w:t>
      </w: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billion in 2025 and are expected to reach $14.9 billion by 2032. The UC market has seen tremendous growth which is expected to continue. From 2020 to 2025, U.S. advanced therapy usage has increased by approximately 96% from approximately 138,000 advanced therapy patients in 2020 to approximately 271,000 advanced therapy patients in</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2025. Recent and future anticipated growth stems from recent launches in UC, increased advanced therapy use, and differentiated MOA currently in the pipeline. We currently estimate that approximately 300,000 moderate-to-severe UC patients in the United States, out of an estimated 500,000 patients, are on conventional therapy or steroids only,</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and a safe, efficacious, oral therapy will have the unique ability to further penetrate this patient segment. We believe the potential for oral agents to gain significant market share is supported by physician and patient preference for the convenience of oral administration over injectable agents, increasing demand for therapies with long-term efficacy</w:t>
      </w:r>
    </w:p>
    <w:p>
      <w:pPr>
        <w:spacing w:after="0" w:line="2" w:lineRule="exact"/>
        <w:rPr>
          <w:sz w:val="20"/>
          <w:szCs w:val="20"/>
          <w:color w:val="auto"/>
        </w:rPr>
      </w:pPr>
    </w:p>
    <w:p>
      <w:pPr>
        <w:ind w:left="300" w:right="1139"/>
        <w:spacing w:after="0" w:line="226" w:lineRule="auto"/>
        <w:rPr>
          <w:sz w:val="20"/>
          <w:szCs w:val="20"/>
          <w:color w:val="auto"/>
        </w:rPr>
      </w:pPr>
      <w:r>
        <w:rPr>
          <w:rFonts w:ascii="Times New Roman" w:cs="Times New Roman" w:eastAsia="Times New Roman" w:hAnsi="Times New Roman"/>
          <w:sz w:val="18"/>
          <w:szCs w:val="18"/>
          <w:color w:val="auto"/>
        </w:rPr>
        <w:t>profiles and the opportunity for potent and well-tolerated oral agents to expand the overall segment of the moderately to severely active UC population undergoing treatment.</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estimated market opportunity for CD was approximately $15.2 billion in worldwide sales in 2025 and is</w:t>
      </w:r>
    </w:p>
    <w:p>
      <w:pPr>
        <w:spacing w:after="0" w:line="2" w:lineRule="exact"/>
        <w:rPr>
          <w:sz w:val="20"/>
          <w:szCs w:val="20"/>
          <w:color w:val="auto"/>
        </w:rPr>
      </w:pPr>
    </w:p>
    <w:p>
      <w:pPr>
        <w:ind w:left="300" w:right="799"/>
        <w:spacing w:after="0" w:line="231" w:lineRule="auto"/>
        <w:rPr>
          <w:sz w:val="20"/>
          <w:szCs w:val="20"/>
          <w:color w:val="auto"/>
        </w:rPr>
      </w:pPr>
      <w:r>
        <w:rPr>
          <w:rFonts w:ascii="Times New Roman" w:cs="Times New Roman" w:eastAsia="Times New Roman" w:hAnsi="Times New Roman"/>
          <w:sz w:val="17"/>
          <w:szCs w:val="17"/>
          <w:color w:val="auto"/>
        </w:rPr>
        <w:t>expected to reach $19.4 billion in worldwide sales in 2032. In 2025, approximately $10.5 billion of sales were generated from the United States. Similar to the UC market, we believe oral agents represent a significant commercial opportunity, particularly if such therapeutics can provide long-term safety and efficacy profiles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025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spacing w:after="0" w:line="237" w:lineRule="auto"/>
        <w:rPr>
          <w:sz w:val="20"/>
          <w:szCs w:val="20"/>
          <w:color w:val="auto"/>
        </w:rPr>
      </w:pPr>
      <w:r>
        <w:rPr>
          <w:rFonts w:ascii="Times New Roman" w:cs="Times New Roman" w:eastAsia="Times New Roman" w:hAnsi="Times New Roman"/>
          <w:sz w:val="18"/>
          <w:szCs w:val="18"/>
          <w:color w:val="auto"/>
        </w:rPr>
        <w:t>comparable to injectable agents. We currently estimate that there are approximately 480,000 moderate-to-severe CD patients in the United States, out of an estimated 800,000 patients.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Obefazimod’s Mechanism of Action</w:t>
      </w:r>
    </w:p>
    <w:p>
      <w:pPr>
        <w:spacing w:after="0" w:line="81"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We believe our lead drug candidate, obefazimod, is differentiated from competing approaches for the treatment of IBD via its novel MOA. It has been demonstrated that obefazimod enhances the expression of a single</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Once expressed,</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micro-RNA interact with specific mRNA targets and decrease their translation into proteins to regulate specific pathways. miR-124 is known to have an effect on two key immune cells, Th17 cells and macrophages, which causes reductions in both cell populations in the gut, as well as decreases in key related cytokines such as IL-17 and IL-6.</w:t>
      </w:r>
    </w:p>
    <w:p>
      <w:pPr>
        <w:spacing w:after="0" w:line="2" w:lineRule="exact"/>
        <w:rPr>
          <w:sz w:val="20"/>
          <w:szCs w:val="20"/>
          <w:color w:val="auto"/>
        </w:rPr>
      </w:pPr>
    </w:p>
    <w:p>
      <w:pPr>
        <w:ind w:left="300" w:right="339"/>
        <w:spacing w:after="0" w:line="231" w:lineRule="auto"/>
        <w:rPr>
          <w:sz w:val="20"/>
          <w:szCs w:val="20"/>
          <w:color w:val="auto"/>
        </w:rPr>
      </w:pPr>
      <w:r>
        <w:rPr>
          <w:rFonts w:ascii="Times New Roman" w:cs="Times New Roman" w:eastAsia="Times New Roman" w:hAnsi="Times New Roman"/>
          <w:sz w:val="17"/>
          <w:szCs w:val="17"/>
          <w:color w:val="auto"/>
        </w:rPr>
        <w:t>IL-23, and TNFα. In addition, we now have pre-clinical evidence that obefazimod has an effect on fibroblasts and other fibrosis-related cell types. We know that miR-124 can target both TGF-β pathways and matrix metalloproteinases ("MMPs"), and this can potentially have an anti-fibrotic effect, as illustrated in the images below.</w:t>
      </w:r>
    </w:p>
    <w:p>
      <w:pPr>
        <w:sectPr>
          <w:pgSz w:w="11900" w:h="16838" w:orient="portrait"/>
          <w:cols w:equalWidth="0" w:num="1">
            <w:col w:w="9019"/>
          </w:cols>
          <w:pgMar w:left="1440" w:top="108" w:right="1440" w:bottom="56"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036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396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ectPr>
          <w:pgSz w:w="11900" w:h="16838" w:orient="portrait"/>
          <w:cols w:equalWidth="0" w:num="1">
            <w:col w:w="9019"/>
          </w:cols>
          <w:pgMar w:left="1440" w:top="1440" w:right="1440"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As further support of our understanding of obefazimod's MOA, in both ABTECT Phase 3 induction trials, we observed that obefazimod significantly reduced IL-17A and IL-6 levels in serum in patients at week 8 compared with placebo as seen in the image below. IL-17A and IL-6 reflect effects on the Th17 and inflammatory macrophage</w:t>
      </w:r>
    </w:p>
    <w:p>
      <w:pPr>
        <w:ind w:left="300"/>
        <w:spacing w:after="0"/>
        <w:rPr>
          <w:sz w:val="20"/>
          <w:szCs w:val="20"/>
          <w:color w:val="auto"/>
        </w:rPr>
      </w:pPr>
      <w:r>
        <w:rPr>
          <w:rFonts w:ascii="Times New Roman" w:cs="Times New Roman" w:eastAsia="Times New Roman" w:hAnsi="Times New Roman"/>
          <w:sz w:val="18"/>
          <w:szCs w:val="18"/>
          <w:color w:val="auto"/>
        </w:rPr>
        <w:t>populations, which are all drivers of mucosal inflammation in both UC and CD.</w:t>
      </w:r>
    </w:p>
    <w:p>
      <w:pPr>
        <w:sectPr>
          <w:pgSz w:w="11900" w:h="16838" w:orient="portrait"/>
          <w:cols w:equalWidth="0" w:num="1">
            <w:col w:w="9019"/>
          </w:cols>
          <w:pgMar w:left="1440" w:top="1440" w:right="1440" w:bottom="684"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653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768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8"/>
          <w:szCs w:val="18"/>
          <w:b w:val="1"/>
          <w:bCs w:val="1"/>
          <w:color w:val="auto"/>
        </w:rPr>
        <w:t>Overview of Our Completed Phase 3 ABTECT Induction Trials and Ongoing Phase 3 ABTECT Maintenance Trial</w:t>
      </w:r>
    </w:p>
    <w:p>
      <w:pPr>
        <w:spacing w:after="0" w:line="64" w:lineRule="exact"/>
        <w:rPr>
          <w:sz w:val="20"/>
          <w:szCs w:val="20"/>
          <w:color w:val="auto"/>
        </w:rPr>
      </w:pPr>
    </w:p>
    <w:p>
      <w:pPr>
        <w:ind w:left="300" w:right="319" w:firstLine="441"/>
        <w:spacing w:after="0" w:line="216" w:lineRule="auto"/>
        <w:rPr>
          <w:sz w:val="20"/>
          <w:szCs w:val="20"/>
          <w:color w:val="auto"/>
        </w:rPr>
      </w:pPr>
      <w:r>
        <w:rPr>
          <w:rFonts w:ascii="Times New Roman" w:cs="Times New Roman" w:eastAsia="Times New Roman" w:hAnsi="Times New Roman"/>
          <w:sz w:val="18"/>
          <w:szCs w:val="18"/>
          <w:color w:val="auto"/>
        </w:rPr>
        <w:t>We initiated our pivotal Phase 3 clinical trials of obefazimod for the treatment of moderately to severely active UC in October 2022, which consists of two induction trials (ABTECT-1 and ABTECT-2) and one ABTECT maintenance trial. In July 2025, we announced the top-line data from the two ABTECT induction trials. Overall,</w:t>
      </w:r>
    </w:p>
    <w:p>
      <w:pPr>
        <w:ind w:left="300"/>
        <w:spacing w:after="0" w:line="204" w:lineRule="auto"/>
        <w:rPr>
          <w:sz w:val="20"/>
          <w:szCs w:val="20"/>
          <w:color w:val="auto"/>
        </w:rPr>
      </w:pPr>
      <w:r>
        <w:rPr>
          <w:rFonts w:ascii="Times New Roman" w:cs="Times New Roman" w:eastAsia="Times New Roman" w:hAnsi="Times New Roman"/>
          <w:sz w:val="18"/>
          <w:szCs w:val="18"/>
          <w:color w:val="auto"/>
        </w:rPr>
        <w:t>1,275 patients were randomized and 1,272 patients were treated in ABTECT-1 (N=636) and ABTECT-2 (N=636).</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are the trial designs of our ABTECT induction and maintenance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both trials, baseline demographics and disease characteristics were similar between groups; 45% and 49%</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of patients had inadequate response to one or more advanced therapies. A slightly more severe and refractory population were randomized to the 25 mg group in ABTECT-2 compared to ABTECT-1. Overall this was a highly refractory patient population with approximately 21% of advanced therapy inadequate responders having previously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failed a JAK inhibitor.</w:t>
      </w:r>
    </w:p>
    <w:p>
      <w:pPr>
        <w:spacing w:after="0" w:line="57"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In the pooled analysis of ABTECT trials, a significantly higher proportion of patients receiving obefazimod 50 mg (20.8%) or obefazimod 25 mg (17.6%) versus placebo (4.4%) achieved clinical remission (obefazimod 50 mg-</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placebo difference: 16.4%, p&lt;0.0001; obefazimod 25 mg-placebo difference: 13.2%, p&lt;0.0001) and met all key secondary endpoints in both trials. A significantly higher proportion of patients receiving obefazimod 50 mg (ABTECT-1: 21.7%, ABTECT-2: 19.8%) versus placebo (2.5% and 6.3%) achieved clinical remission (obefazimod</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50 mg-placebo difference: ABTECT-1: 19.3%, p&lt;0.0001; ABTECT-2: 13.4%, p=0.0001) and met all key secondary endpoints in both trials. In ABTECT-1, a significantly higher proportion of patients receiving obefazimod 25 mg versus placebo achieved clinical remission (obefazimod 25 mg -placebo difference: 21.4%, p&lt;0.0001) and met all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key secondary endpoints. These results are shown in the charts below.</w:t>
      </w:r>
    </w:p>
    <w:p>
      <w:pPr>
        <w:sectPr>
          <w:pgSz w:w="11900" w:h="16838" w:orient="portrait"/>
          <w:cols w:equalWidth="0" w:num="1">
            <w:col w:w="9019"/>
          </w:cols>
          <w:pgMar w:left="1440" w:top="1440" w:right="1440" w:bottom="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937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139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jc w:val="both"/>
        <w:ind w:left="300" w:right="459" w:hanging="8"/>
        <w:spacing w:after="0" w:line="261" w:lineRule="auto"/>
        <w:tabs>
          <w:tab w:leader="none" w:pos="49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Difference is for ABX464 minus placebo and is based on estimated common risk difference using the Mantel-Haenszel weights adjusting for the randomization stratification factors: inadequate response to advanced therapies (yes/no), Baseline oral corticosteroids usage (yes/no). P-values are two sided. NRI is used for subjects with missing outcome at Week 8 and subjects reporting any IE prior to Week 8.</w:t>
      </w:r>
    </w:p>
    <w:p>
      <w:pPr>
        <w:spacing w:after="0" w:line="1" w:lineRule="exact"/>
        <w:rPr>
          <w:rFonts w:ascii="Times New Roman" w:cs="Times New Roman" w:eastAsia="Times New Roman" w:hAnsi="Times New Roman"/>
          <w:sz w:val="14"/>
          <w:szCs w:val="14"/>
          <w:color w:val="auto"/>
        </w:rPr>
      </w:pPr>
    </w:p>
    <w:p>
      <w:pPr>
        <w:ind w:left="500" w:hanging="208"/>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remission is defined as SFS = 0 or 1, and RBS = 0 and MES = 0 or 1 (MES of 1 modified to exclude friability).</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Endoscopic improvement is defined as MES = 0 or 1 (MES of 1 modified to exclude friability).</w:t>
      </w:r>
    </w:p>
    <w:p>
      <w:pPr>
        <w:spacing w:after="0" w:line="11" w:lineRule="exact"/>
        <w:rPr>
          <w:sz w:val="20"/>
          <w:szCs w:val="20"/>
          <w:color w:val="auto"/>
        </w:rPr>
      </w:pPr>
    </w:p>
    <w:p>
      <w:pPr>
        <w:ind w:left="300" w:right="599"/>
        <w:spacing w:after="0" w:line="283" w:lineRule="auto"/>
        <w:rPr>
          <w:sz w:val="20"/>
          <w:szCs w:val="20"/>
          <w:color w:val="auto"/>
        </w:rPr>
      </w:pPr>
      <w:r>
        <w:rPr>
          <w:rFonts w:ascii="Times New Roman" w:cs="Times New Roman" w:eastAsia="Times New Roman" w:hAnsi="Times New Roman"/>
          <w:sz w:val="14"/>
          <w:szCs w:val="14"/>
          <w:color w:val="auto"/>
        </w:rPr>
        <w:t>Clinical response is defined as a reduction from Baseline in MMS &gt;= 2 points and a relative reduction from Baseline in MMS &gt;= 30%, and a reduction from Baseline in RBS &gt;= 1 point and/or RBS = 0 or 1. HEMI is defined as MES = 0 or 1 and Geboes Index score &lt;3.1</w:t>
      </w:r>
    </w:p>
    <w:p>
      <w:pPr>
        <w:spacing w:after="0" w:line="71"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The overall rates of serious adverse events and treatment emergent adverse events ("TEAEs") leading to study drug discontinuation for patients treated with obefazimod were similar to placebo. Proportions of patients who</w:t>
      </w:r>
    </w:p>
    <w:p>
      <w:pPr>
        <w:jc w:val="both"/>
        <w:ind w:left="300" w:right="579"/>
        <w:spacing w:after="0" w:line="220" w:lineRule="auto"/>
        <w:rPr>
          <w:sz w:val="20"/>
          <w:szCs w:val="20"/>
          <w:color w:val="auto"/>
        </w:rPr>
      </w:pPr>
      <w:r>
        <w:rPr>
          <w:rFonts w:ascii="Times New Roman" w:cs="Times New Roman" w:eastAsia="Times New Roman" w:hAnsi="Times New Roman"/>
          <w:sz w:val="17"/>
          <w:szCs w:val="17"/>
          <w:color w:val="auto"/>
        </w:rPr>
        <w:t>reported at least one TEAE in ABTECT-1 were 59.4%, 46.9%, and 53.2% for obefazimod 50 mg, obefazimod 25 mg, and placebo, respectively. For ABTECT-2, TEAEs occurred in 61.0%, 50.9%, and 48.4% for obefazimod 50 mg, obefazimod 25 mg, and placebo, respectively. The most frequent TEAE was headache (obefazimod 50 mg:</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20.8-25.8%; obefazimod 25 mg: 14.5-15.6%; placebo: 5.7%). The headaches were mild, transient, short in duration and not a barrier to treatment, as evidenced by a low discontinuation rate of 1.6%. No signal was observed for serious, severe, or opportunistic infections or malignancies. No clustering of serious TEAEs was observed; only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worsening of UC and pneumonia were reported more than once in any individual treatment arm.</w:t>
      </w:r>
    </w:p>
    <w:p>
      <w:pPr>
        <w:spacing w:after="0" w:line="57" w:lineRule="exact"/>
        <w:rPr>
          <w:sz w:val="20"/>
          <w:szCs w:val="20"/>
          <w:color w:val="auto"/>
        </w:rPr>
      </w:pPr>
    </w:p>
    <w:p>
      <w:pPr>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Obefazimod’s tolerability profile indicates potentially important clinical differentiation. As of the data cutoff date (September 30, 2025), 1,372 patients have received obefazimod in all completed and ongoing clinical trials</w:t>
      </w:r>
    </w:p>
    <w:p>
      <w:pPr>
        <w:ind w:left="300" w:right="639"/>
        <w:spacing w:after="0" w:line="226" w:lineRule="auto"/>
        <w:rPr>
          <w:sz w:val="20"/>
          <w:szCs w:val="20"/>
          <w:color w:val="auto"/>
        </w:rPr>
      </w:pPr>
      <w:r>
        <w:rPr>
          <w:rFonts w:ascii="Times New Roman" w:cs="Times New Roman" w:eastAsia="Times New Roman" w:hAnsi="Times New Roman"/>
          <w:sz w:val="18"/>
          <w:szCs w:val="18"/>
          <w:color w:val="auto"/>
        </w:rPr>
        <w:t>across all indications, including 324 patients for longer than one year. Additionally, 1,163 patients have received only blinded obefazimod or placebo in the ABTECT program or Phase 2b clinical trial in CD.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also conducted sub-group analyses for efficacy endpoints at week 8 for patients with and without prior</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inadequate response to advanced therapies (AT-IR-Yes, AT-IR-No). In a pooled analysis of ABTECT-1 and ABTECT-2, a higher proportion of the AT-IR-Yes subgroup receiving obefazimod 50 mg achieved all efficacy measures relative to placebo including clinical remission (obefazimod 50 mg – placebo difference: 10.1%). In the</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AT-IR-Yes subgroup, the difference from placebo across all efficacy measures was lower for patients receiving obefazimod 25 mg relative to obefazimod 50 mg. In the AT-IR-No subgroup, larger proportions achieved all efficacy measures relative to placebo including clinical remission (obefazimod 50 mg – placebo difference: 22.4%).</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In the AT-IR-No subgroup, obefazimod 50 mg and obefazimod 25 mg performed similarly in the pooled analysis across efficacy measures. In the subset of patients who failed JAKi, higher proportions of patients receiving obefazimod 50 mg or obefazimod 25 mg achieved clinical response vs. placebo. The difference from placebo in</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 xml:space="preserve">clinical response for obefazimod 50 mg was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25% across lines of treatment, from AT-IR-No through 4+ AT-IRs as seen below.</w:t>
      </w:r>
    </w:p>
    <w:p>
      <w:pPr>
        <w:sectPr>
          <w:pgSz w:w="11900" w:h="16838" w:orient="portrait"/>
          <w:cols w:equalWidth="0" w:num="1">
            <w:col w:w="9019"/>
          </w:cols>
          <w:pgMar w:left="1440" w:top="1440" w:right="1440" w:bottom="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922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511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jc w:val="both"/>
        <w:ind w:left="300" w:right="459" w:hanging="8"/>
        <w:spacing w:after="0" w:line="256" w:lineRule="auto"/>
        <w:tabs>
          <w:tab w:leader="none" w:pos="49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Difference is for ABX464 minus placebo and is based on estimated common risk difference using the Mantel-Haenszel weights adjusting for the randomization stratification factors: inadequate response to advanced therapies (yes/no), Baseline oral corticosteroids usage (yes/no). P-values are two sided. NRI is used for subjects with missing outcome at Week 8 and subjects reporting any IE prior to Week 8.</w:t>
      </w:r>
    </w:p>
    <w:p>
      <w:pPr>
        <w:spacing w:after="0" w:line="1" w:lineRule="exact"/>
        <w:rPr>
          <w:rFonts w:ascii="Times New Roman" w:cs="Times New Roman" w:eastAsia="Times New Roman" w:hAnsi="Times New Roman"/>
          <w:sz w:val="14"/>
          <w:szCs w:val="14"/>
          <w:color w:val="auto"/>
        </w:rPr>
      </w:pPr>
    </w:p>
    <w:p>
      <w:pPr>
        <w:ind w:left="300" w:right="399" w:hanging="8"/>
        <w:spacing w:after="0" w:line="278" w:lineRule="auto"/>
        <w:tabs>
          <w:tab w:leader="none" w:pos="50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response is defined as a reduction from Baseline in MMS &gt;= 2 points and a relative reduction from Baseline in MMS &gt;= 30%, and a reduction from Baseline in RBS &gt;= 1 point and/or RBS = 0 or 1</w:t>
      </w:r>
    </w:p>
    <w:p>
      <w:pPr>
        <w:spacing w:after="0" w:line="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to report top-line data from our Phase 3 ABTECT maintenance trial in late second quarter of 2026.</w:t>
      </w:r>
    </w:p>
    <w:p>
      <w:pPr>
        <w:ind w:left="300"/>
        <w:spacing w:after="0"/>
        <w:rPr>
          <w:sz w:val="20"/>
          <w:szCs w:val="20"/>
          <w:color w:val="auto"/>
        </w:rPr>
      </w:pPr>
      <w:r>
        <w:rPr>
          <w:rFonts w:ascii="Times New Roman" w:cs="Times New Roman" w:eastAsia="Times New Roman" w:hAnsi="Times New Roman"/>
          <w:sz w:val="18"/>
          <w:szCs w:val="18"/>
          <w:color w:val="auto"/>
        </w:rPr>
        <w:t>Subject to positive data, we currently expect to submit our NDA with the FDA in the fourth quarter of 2026.</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Our Completed Maintenance Phase 2b Clinical Trial of Obefazimod for the Treatment of UC</w:t>
      </w:r>
    </w:p>
    <w:p>
      <w:pPr>
        <w:spacing w:after="0" w:line="81" w:lineRule="exact"/>
        <w:rPr>
          <w:sz w:val="20"/>
          <w:szCs w:val="20"/>
          <w:color w:val="auto"/>
        </w:rPr>
      </w:pPr>
    </w:p>
    <w:p>
      <w:pPr>
        <w:ind w:left="300" w:right="299" w:firstLine="441"/>
        <w:spacing w:after="0" w:line="236" w:lineRule="auto"/>
        <w:rPr>
          <w:sz w:val="20"/>
          <w:szCs w:val="20"/>
          <w:color w:val="auto"/>
        </w:rPr>
      </w:pPr>
      <w:r>
        <w:rPr>
          <w:rFonts w:ascii="Times New Roman" w:cs="Times New Roman" w:eastAsia="Times New Roman" w:hAnsi="Times New Roman"/>
          <w:sz w:val="17"/>
          <w:szCs w:val="17"/>
          <w:color w:val="auto"/>
        </w:rPr>
        <w:t>Of the 222 patients who completed our 16-week Phase 2b induction trial, 217 patients (98%) enrolled in the subsequent open-label maintenance trial to evaluate the long-term safety and efficacy profile of obefazimod for up to</w:t>
      </w:r>
    </w:p>
    <w:p>
      <w:pPr>
        <w:ind w:left="300"/>
        <w:spacing w:after="0"/>
        <w:rPr>
          <w:sz w:val="20"/>
          <w:szCs w:val="20"/>
          <w:color w:val="auto"/>
        </w:rPr>
      </w:pPr>
      <w:r>
        <w:rPr>
          <w:rFonts w:ascii="Times New Roman" w:cs="Times New Roman" w:eastAsia="Times New Roman" w:hAnsi="Times New Roman"/>
          <w:sz w:val="18"/>
          <w:szCs w:val="18"/>
          <w:color w:val="auto"/>
        </w:rPr>
        <w:t>two years, irrespective of treatments or treatment outcome during the induction phase.</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At week 48, of those 217 patients who received a 50 mg once-daily oral dosing with obefazimod, 178 patients (82%) had clinical response, 119 patients (55%) were in clinical remission, 133 patients (61%) had endoscopic</w:t>
      </w: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improvement and 72 patients (33%) had endoscopic remission. Among the 98 bio-refractory patients, 66 patients (67%) had a clinical response, 38 patients (39%) were in clinical remission, 46 patients (47%) had endoscopic improvement and 20 patients (20%) had endoscopic remission at week 96. These results demonstrate potential for</w:t>
      </w:r>
    </w:p>
    <w:p>
      <w:pPr>
        <w:spacing w:after="0" w:line="2" w:lineRule="exact"/>
        <w:rPr>
          <w:sz w:val="20"/>
          <w:szCs w:val="20"/>
          <w:color w:val="auto"/>
        </w:rPr>
      </w:pPr>
    </w:p>
    <w:p>
      <w:pPr>
        <w:ind w:left="300" w:right="599"/>
        <w:spacing w:after="0" w:line="239" w:lineRule="auto"/>
        <w:rPr>
          <w:sz w:val="20"/>
          <w:szCs w:val="20"/>
          <w:color w:val="auto"/>
        </w:rPr>
      </w:pPr>
      <w:r>
        <w:rPr>
          <w:rFonts w:ascii="Times New Roman" w:cs="Times New Roman" w:eastAsia="Times New Roman" w:hAnsi="Times New Roman"/>
          <w:sz w:val="17"/>
          <w:szCs w:val="17"/>
          <w:color w:val="auto"/>
        </w:rPr>
        <w:t>long-term clinical remission and clinical response of obefazimod in patients who were refractory to conventional treatments, as well as patients who had previously failed treatment with biologics and/or JAK inhibitors.</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Of the patients included in the maintenance trial, 164 patients (76%) completed two years of once-daily oral</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dosing with 50 mg obefazimod. Thirty patients dropped out during the first year of treatment. Six patients did not qualify for the second year due to non-response after the first year of treatment, and 17 patients dropped out during the second year. These patients were all considered as treatment failures in the intent-to-treat analysis.</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Of all 217 patients who entered the Phase 2b open-label maintenance trial, regardless of their status at the end of the 8-week induction period, 119 patients (55%) achieved clinical remission at week 48 and 114 patients (53%) achieved clinical remission at week 96. Among the 124 patients who achieved clinical response at the end of the 8-</w:t>
      </w:r>
    </w:p>
    <w:p>
      <w:pPr>
        <w:ind w:left="300" w:right="699"/>
        <w:spacing w:after="0" w:line="218" w:lineRule="auto"/>
        <w:rPr>
          <w:sz w:val="20"/>
          <w:szCs w:val="20"/>
          <w:color w:val="auto"/>
        </w:rPr>
      </w:pPr>
      <w:r>
        <w:rPr>
          <w:rFonts w:ascii="Times New Roman" w:cs="Times New Roman" w:eastAsia="Times New Roman" w:hAnsi="Times New Roman"/>
          <w:sz w:val="18"/>
          <w:szCs w:val="18"/>
          <w:color w:val="auto"/>
        </w:rPr>
        <w:t>week induction period of the double-blind trial, 82 patients (66%) achieved clinical remission at week 48, mimicking the re-randomization of responders approach typically utilized in Phase 3 maintenance trials, and 74 patients (60%) achieved clinical remission at week 96. This comparison is shown below:</w:t>
      </w:r>
    </w:p>
    <w:p>
      <w:pPr>
        <w:sectPr>
          <w:pgSz w:w="11900" w:h="16838" w:orient="portrait"/>
          <w:cols w:equalWidth="0" w:num="1">
            <w:col w:w="9019"/>
          </w:cols>
          <w:pgMar w:left="1440" w:top="1440" w:right="1440"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0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550545"/>
                    </a:xfrm>
                    <a:prstGeom prst="rect">
                      <a:avLst/>
                    </a:prstGeom>
                    <a:noFill/>
                  </pic:spPr>
                </pic:pic>
              </a:graphicData>
            </a:graphic>
          </wp:anchor>
        </w:drawing>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553" w:right="1440"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217/222 eligible patients enrolled into open-label maintenance trial.</w:t>
      </w:r>
    </w:p>
    <w:p>
      <w:pPr>
        <w:spacing w:after="0" w:line="14" w:lineRule="exact"/>
        <w:rPr>
          <w:rFonts w:ascii="Times New Roman" w:cs="Times New Roman" w:eastAsia="Times New Roman" w:hAnsi="Times New Roman"/>
          <w:sz w:val="14"/>
          <w:szCs w:val="14"/>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Irrespective of the outcome at the end of the 8-week induction phase.</w:t>
      </w:r>
    </w:p>
    <w:p>
      <w:pPr>
        <w:spacing w:after="0" w:line="14" w:lineRule="exact"/>
        <w:rPr>
          <w:rFonts w:ascii="Times New Roman" w:cs="Times New Roman" w:eastAsia="Times New Roman" w:hAnsi="Times New Roman"/>
          <w:sz w:val="14"/>
          <w:szCs w:val="14"/>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 = Number of patients that met the respective endpoint.</w:t>
      </w:r>
    </w:p>
    <w:p>
      <w:pPr>
        <w:spacing w:after="0" w:line="4" w:lineRule="exact"/>
        <w:rPr>
          <w:rFonts w:ascii="Times New Roman" w:cs="Times New Roman" w:eastAsia="Times New Roman" w:hAnsi="Times New Roman"/>
          <w:sz w:val="14"/>
          <w:szCs w:val="14"/>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 = Number of patients in the relevant analysis set.</w:t>
      </w:r>
    </w:p>
    <w:p>
      <w:pPr>
        <w:spacing w:after="0" w:line="11" w:lineRule="exact"/>
        <w:rPr>
          <w:rFonts w:ascii="Times New Roman" w:cs="Times New Roman" w:eastAsia="Times New Roman" w:hAnsi="Times New Roman"/>
          <w:sz w:val="14"/>
          <w:szCs w:val="14"/>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124 patients achieved clinical response at end of the 8-week induction phase.</w:t>
      </w:r>
    </w:p>
    <w:p>
      <w:pPr>
        <w:spacing w:after="0" w:line="14" w:lineRule="exact"/>
        <w:rPr>
          <w:rFonts w:ascii="Times New Roman" w:cs="Times New Roman" w:eastAsia="Times New Roman" w:hAnsi="Times New Roman"/>
          <w:sz w:val="14"/>
          <w:szCs w:val="14"/>
          <w:color w:val="auto"/>
        </w:rPr>
      </w:pPr>
    </w:p>
    <w:p>
      <w:pPr>
        <w:ind w:left="440" w:hanging="148"/>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93 patients did not achieve clinical response at end of the 8-week induction phase.</w:t>
      </w:r>
    </w:p>
    <w:p>
      <w:pPr>
        <w:spacing w:after="0" w:line="218" w:lineRule="exact"/>
        <w:rPr>
          <w:sz w:val="20"/>
          <w:szCs w:val="20"/>
          <w:color w:val="auto"/>
        </w:rPr>
      </w:pPr>
    </w:p>
    <w:p>
      <w:pPr>
        <w:ind w:left="300" w:right="959"/>
        <w:spacing w:after="0" w:line="239" w:lineRule="auto"/>
        <w:rPr>
          <w:sz w:val="20"/>
          <w:szCs w:val="20"/>
          <w:color w:val="auto"/>
        </w:rPr>
      </w:pPr>
      <w:r>
        <w:rPr>
          <w:rFonts w:ascii="Times New Roman" w:cs="Times New Roman" w:eastAsia="Times New Roman" w:hAnsi="Times New Roman"/>
          <w:sz w:val="18"/>
          <w:szCs w:val="18"/>
          <w:b w:val="1"/>
          <w:bCs w:val="1"/>
          <w:color w:val="auto"/>
        </w:rPr>
        <w:t>Overview of Our Completed Phase 2 Open-Label Trial to Evaluate Long-Term Safety and Efficacy of Obefazimod at 25 mg in UC</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this open-label maintenance trial, patients who had completed the four-year Phase 2a or 2-year Phase 2b</w:t>
      </w:r>
    </w:p>
    <w:p>
      <w:pPr>
        <w:spacing w:after="0" w:line="2" w:lineRule="exact"/>
        <w:rPr>
          <w:sz w:val="20"/>
          <w:szCs w:val="20"/>
          <w:color w:val="auto"/>
        </w:rPr>
      </w:pPr>
    </w:p>
    <w:p>
      <w:pPr>
        <w:jc w:val="both"/>
        <w:ind w:left="300" w:right="339"/>
        <w:spacing w:after="0" w:line="208" w:lineRule="auto"/>
        <w:rPr>
          <w:sz w:val="20"/>
          <w:szCs w:val="20"/>
          <w:color w:val="auto"/>
        </w:rPr>
      </w:pPr>
      <w:r>
        <w:rPr>
          <w:rFonts w:ascii="Times New Roman" w:cs="Times New Roman" w:eastAsia="Times New Roman" w:hAnsi="Times New Roman"/>
          <w:sz w:val="18"/>
          <w:szCs w:val="18"/>
          <w:color w:val="auto"/>
        </w:rPr>
        <w:t>open label maintenance trials, where they had received 50 mg of once-daily obefazimod, were given the opportunity to continue receiving obefazimod at a reduced dose of 25 mg daily for up to five additional years (provided they met the eligibility criteria of Mayo Endoscopic Subscore = 0 or 1). A total of 130 patients entered the trial, as of</w:t>
      </w:r>
    </w:p>
    <w:p>
      <w:pPr>
        <w:spacing w:after="0" w:line="2" w:lineRule="exact"/>
        <w:rPr>
          <w:sz w:val="20"/>
          <w:szCs w:val="20"/>
          <w:color w:val="auto"/>
        </w:rPr>
      </w:pP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September 11, 2024, the data cut-off date, 113 patients have been evaluated out to 48 weeks and 74 patients have undergone the full 96-week evaluation.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At study baseline, 89% (116/130) of patients were in clinical remission. At weeks 48 and 96 of treatment, 84%</w:t>
      </w:r>
    </w:p>
    <w:p>
      <w:pPr>
        <w:spacing w:after="0" w:line="14"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(95/113) and 87% (64/74) of patients evaluated were in clinical remission, respectively. Similarly, 92% (119/130) of patients were in symptomatic remission at study baseline. At weeks 48 and 96, 91% (103/113) and 92% (68/74) of patients evaluated were in symptomatic remission, respectively. Similar trends were observed with other efficacy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analyses.</w:t>
      </w:r>
    </w:p>
    <w:p>
      <w:pPr>
        <w:spacing w:after="0" w:line="57"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The safety results were consistent with previous trials, with no new safety signals detected. Patient retention rates were high, with only 12% (16/130) of patients discontinuing in the first year and 5% (6/114) discontinuing</w:t>
      </w: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during the second year of treatment. Thirty-three patients had not reached week 96 as of September 11, 2024, the data cutoff date.</w:t>
      </w:r>
    </w:p>
    <w:p>
      <w:pPr>
        <w:sectPr>
          <w:pgSz w:w="11900" w:h="16838" w:orient="portrait"/>
          <w:cols w:equalWidth="0" w:num="1">
            <w:col w:w="9019"/>
          </w:cols>
          <w:pgMar w:left="1440" w:top="553" w:right="1440"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277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ectPr>
          <w:pgSz w:w="11900" w:h="16838" w:orient="portrait"/>
          <w:cols w:equalWidth="0" w:num="1">
            <w:col w:w="9019"/>
          </w:cols>
          <w:pgMar w:left="1440" w:top="553" w:right="1440" w:bottom="1095"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34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t>Overview of Our Ongoing Phase 2b Crohn's Disease Trial (ENHANCE-CD)</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have also initiated a Phase 2b clinical trial of obefazimod in patients with CD. Our Investigational New</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Drug ("IND") application for a Phase 2b clinical trial in patients with CD (trial design shown below) was cleared by the FDA in the fourth quarter of 2023, and we initiated enrollment in October 2024. We intend to announce Phase 2b induction trial top-line results in the fourth quarter of 2026 with the objective to demonstrate clinical response</w:t>
      </w:r>
    </w:p>
    <w:p>
      <w:pPr>
        <w:spacing w:after="0" w:line="2" w:lineRule="exact"/>
        <w:rPr>
          <w:sz w:val="20"/>
          <w:szCs w:val="20"/>
          <w:color w:val="auto"/>
        </w:rPr>
      </w:pPr>
    </w:p>
    <w:p>
      <w:pPr>
        <w:jc w:val="both"/>
        <w:ind w:left="300" w:right="379"/>
        <w:spacing w:after="0" w:line="218" w:lineRule="auto"/>
        <w:rPr>
          <w:sz w:val="20"/>
          <w:szCs w:val="20"/>
          <w:color w:val="auto"/>
        </w:rPr>
      </w:pPr>
      <w:r>
        <w:rPr>
          <w:rFonts w:ascii="Times New Roman" w:cs="Times New Roman" w:eastAsia="Times New Roman" w:hAnsi="Times New Roman"/>
          <w:sz w:val="18"/>
          <w:szCs w:val="18"/>
          <w:color w:val="auto"/>
        </w:rPr>
        <w:t>and a tolerability profile consistent with that already observed in our clinical trials for moderately to severely active UC. Based on the results from this Phase 2b clinical trial, if positive, we intend to proceed to a Phase 3 clinical trial. Below is the design of our Phase 2b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Existing UC Therapies and Their Limitations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current UC treatment approach is influenced by multiple factors, including disease severity, previous</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response to treatment, side effects and co-morbidities. Both existing conventional therapies as well as advanced therapies, including approved products and drug candidates in development, face significant room for improvement in efficacy, safety and tolerability, and convenience from dosing and route of administration standpoints as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discussed below.</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Conventional Therapies for UC</w:t>
      </w:r>
    </w:p>
    <w:p>
      <w:pPr>
        <w:spacing w:after="0" w:line="9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Aminosalicylates (5-ASAs) are used as a first-line therapy in mildly to moderately active UC. Corticosteroids are used primarily during induction therapy and are effective for reducing symptoms, but do not address mucosal healing which limit their ability to modify and improve the underlying cause of disease. In addition, there are safety</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considerations with extended corticosteroid use, including lowered quality of life, bone loss, weight gain and cardiovascular complications. As a result, corticosteroids are used primarily as a bridge to manage symptoms until immunomodulators or biologic agents become effective and enable mucosal healing. Oral immunosuppressants (e.g.</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azathioprine, 6-mercatopurine and methotrexate) have not been effective as induction agents and are generally used for steroid-sparing or as an adjunctive therapy for reducing immunogenicity against biologic agents. Oral immunosuppressants are also associated with known toxicities such as drops in white blood cell counts and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increased risk for infection.</w:t>
      </w:r>
    </w:p>
    <w:p>
      <w:pPr>
        <w:spacing w:after="0" w:line="57" w:lineRule="exact"/>
        <w:rPr>
          <w:sz w:val="20"/>
          <w:szCs w:val="20"/>
          <w:color w:val="auto"/>
        </w:rPr>
      </w:pPr>
    </w:p>
    <w:p>
      <w:pPr>
        <w:ind w:left="300" w:right="459" w:firstLine="441"/>
        <w:spacing w:after="0" w:line="237" w:lineRule="auto"/>
        <w:rPr>
          <w:sz w:val="20"/>
          <w:szCs w:val="20"/>
          <w:color w:val="auto"/>
        </w:rPr>
      </w:pPr>
      <w:r>
        <w:rPr>
          <w:rFonts w:ascii="Times New Roman" w:cs="Times New Roman" w:eastAsia="Times New Roman" w:hAnsi="Times New Roman"/>
          <w:sz w:val="18"/>
          <w:szCs w:val="18"/>
          <w:color w:val="auto"/>
        </w:rPr>
        <w:t>Given the above insufficiencies of these conventional therapies, patients suffering from mild UC may evolve towards moderate and severe forms requiring the use of advanced therapies.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Advanced Therapies for UC</w:t>
      </w:r>
    </w:p>
    <w:p>
      <w:pPr>
        <w:spacing w:after="0" w:line="81"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Advanced therapies for UC include biological agents as well as emerging oral molecules. Biological agents such as TNF-alpha inhibitors (including infliximab, adalimumab and golimumab), IL-12/23 inhibitors (such as</w:t>
      </w:r>
    </w:p>
    <w:p>
      <w:pPr>
        <w:jc w:val="both"/>
        <w:ind w:left="300" w:right="299"/>
        <w:spacing w:after="0" w:line="220" w:lineRule="auto"/>
        <w:rPr>
          <w:sz w:val="20"/>
          <w:szCs w:val="20"/>
          <w:color w:val="auto"/>
        </w:rPr>
      </w:pPr>
      <w:r>
        <w:rPr>
          <w:rFonts w:ascii="Times New Roman" w:cs="Times New Roman" w:eastAsia="Times New Roman" w:hAnsi="Times New Roman"/>
          <w:sz w:val="17"/>
          <w:szCs w:val="17"/>
          <w:color w:val="auto"/>
        </w:rPr>
        <w:t>ustekinumab) or IL-23 inhibitors (mirikizumab, guselkumab, risankizumab), specifically block certain inflammatory factors involved in UC. Biological agents also include gut-specific anti-integrin antibodies (such as vedolizumab and natalizumab). Current oral therapies that target inflammatory pathways include JAK inhibitors (such as tofacitinib</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and upadacitinib), as well as agents that reduce the trafficking of inflammatory cells, such as S1P receptor agonists (e.g., ozanimod and etrasimod).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0993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00" w:right="559"/>
        <w:spacing w:after="0" w:line="236" w:lineRule="auto"/>
        <w:rPr>
          <w:sz w:val="20"/>
          <w:szCs w:val="20"/>
          <w:color w:val="auto"/>
        </w:rPr>
      </w:pPr>
      <w:r>
        <w:rPr>
          <w:rFonts w:ascii="Times New Roman" w:cs="Times New Roman" w:eastAsia="Times New Roman" w:hAnsi="Times New Roman"/>
          <w:sz w:val="17"/>
          <w:szCs w:val="17"/>
          <w:color w:val="auto"/>
        </w:rPr>
        <w:t>However, these therapies often only have moderate efficacy that may wane over time, as patients stop responding or do not respond at all to these treatments and thus require new therapeutic management options. For</w:t>
      </w:r>
    </w:p>
    <w:p>
      <w:pPr>
        <w:ind w:left="300" w:right="799"/>
        <w:spacing w:after="0" w:line="226" w:lineRule="auto"/>
        <w:rPr>
          <w:sz w:val="20"/>
          <w:szCs w:val="20"/>
          <w:color w:val="auto"/>
        </w:rPr>
      </w:pPr>
      <w:r>
        <w:rPr>
          <w:rFonts w:ascii="Times New Roman" w:cs="Times New Roman" w:eastAsia="Times New Roman" w:hAnsi="Times New Roman"/>
          <w:sz w:val="18"/>
          <w:szCs w:val="18"/>
          <w:color w:val="auto"/>
        </w:rPr>
        <w:t>patients who do not or no longer respond to treatment, or experience complications, surgical treatment may be necessary. Approximately 10% to 30% of UC patients require surgery over their lifetime.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while TNF-alpha inhibitors and JAK inhibitors and newer biological agents, including anti-</w:t>
      </w:r>
    </w:p>
    <w:p>
      <w:pPr>
        <w:spacing w:after="0" w:line="2" w:lineRule="exact"/>
        <w:rPr>
          <w:sz w:val="20"/>
          <w:szCs w:val="20"/>
          <w:color w:val="auto"/>
        </w:rPr>
      </w:pPr>
    </w:p>
    <w:p>
      <w:pPr>
        <w:ind w:left="300" w:right="739"/>
        <w:spacing w:after="0" w:line="220" w:lineRule="auto"/>
        <w:rPr>
          <w:sz w:val="20"/>
          <w:szCs w:val="20"/>
          <w:color w:val="auto"/>
        </w:rPr>
      </w:pPr>
      <w:r>
        <w:rPr>
          <w:rFonts w:ascii="Times New Roman" w:cs="Times New Roman" w:eastAsia="Times New Roman" w:hAnsi="Times New Roman"/>
          <w:sz w:val="17"/>
          <w:szCs w:val="17"/>
          <w:color w:val="auto"/>
        </w:rPr>
        <w:t>integrin antibodies, IL-12/23 inhibitors and IL-23 inhibitors, have generally improved the care of moderate to severely active IBD, these are all anti-inflammatory agents with safety and tolerability concerns. These include increased risks for cancers, infections and blood clots due to their systemic impact and resulting effects on the</w:t>
      </w:r>
    </w:p>
    <w:p>
      <w:pPr>
        <w:spacing w:after="0" w:line="2" w:lineRule="exact"/>
        <w:rPr>
          <w:sz w:val="20"/>
          <w:szCs w:val="20"/>
          <w:color w:val="auto"/>
        </w:rPr>
      </w:pPr>
    </w:p>
    <w:p>
      <w:pPr>
        <w:ind w:left="300" w:right="419"/>
        <w:spacing w:after="0" w:line="239" w:lineRule="auto"/>
        <w:rPr>
          <w:sz w:val="20"/>
          <w:szCs w:val="20"/>
          <w:color w:val="auto"/>
        </w:rPr>
      </w:pPr>
      <w:r>
        <w:rPr>
          <w:rFonts w:ascii="Times New Roman" w:cs="Times New Roman" w:eastAsia="Times New Roman" w:hAnsi="Times New Roman"/>
          <w:sz w:val="17"/>
          <w:szCs w:val="17"/>
          <w:color w:val="auto"/>
        </w:rPr>
        <w:t>immune system outside of the GI tract. In addition, prolonged treatment with biological therapies can lead to anti-drug antibody development by patients’ immune systems which may lead to gradual waning of therapeutic efficacy</w:t>
      </w:r>
    </w:p>
    <w:p>
      <w:pPr>
        <w:sectPr>
          <w:pgSz w:w="11900" w:h="16838" w:orient="portrait"/>
          <w:cols w:equalWidth="0" w:num="1">
            <w:col w:w="9019"/>
          </w:cols>
          <w:pgMar w:left="1440" w:top="252" w:right="1440" w:bottom="0" w:gutter="0" w:footer="0" w:header="0"/>
        </w:sectPr>
      </w:pPr>
    </w:p>
    <w:bookmarkStart w:id="55" w:name="page56"/>
    <w:bookmarkEnd w:id="55"/>
    <w:p>
      <w:pPr>
        <w:ind w:left="300" w:right="879"/>
        <w:spacing w:after="0" w:line="180" w:lineRule="auto"/>
        <w:rPr>
          <w:sz w:val="20"/>
          <w:szCs w:val="20"/>
          <w:color w:val="auto"/>
        </w:rPr>
      </w:pPr>
      <w:r>
        <w:rPr>
          <w:rFonts w:ascii="Times New Roman" w:cs="Times New Roman" w:eastAsia="Times New Roman" w:hAnsi="Times New Roman"/>
          <w:sz w:val="16"/>
          <w:szCs w:val="16"/>
          <w:color w:val="auto"/>
        </w:rPr>
        <w:t>and patients needing to switch to other biological agents. Furthermore, biological agents require injections or intravenous infusions, resulting in patient inconvenience and burden, which often negatively impacts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7016115" cy="6962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compliance. Injections can also lead to injection-related events such as sciatica, neuralgia, neuropathic pain and peripheral neuropathy.</w:t>
      </w:r>
    </w:p>
    <w:p>
      <w:pPr>
        <w:spacing w:after="0" w:line="63" w:lineRule="exact"/>
        <w:rPr>
          <w:sz w:val="20"/>
          <w:szCs w:val="20"/>
          <w:color w:val="auto"/>
        </w:rPr>
      </w:pPr>
    </w:p>
    <w:p>
      <w:pPr>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In September 2021, the FDA published strict warnings about increased risk of serious heart-related events, cancer, blood clots and death for JAK inhibitors that treat certain chronic inflammatory conditions (including UC). In January 2023, the EMA stated recommendations to minimize the risk of serious side effects with JAK inhibitors</w:t>
      </w: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used to treat several chronic inflammatory disorders, noting that these side effects include cardiovascular conditions, blood clots, cancer and serious infections which were adopted by the European Commission in March 2023.</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Recently, there have been efforts to develop drug candidates targeting novel mechanisms, such as S1P</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receptor agonists and TL1A inhibitors. S1P agonists, while offering convenient oral dosing, have not achieved meaningful commercial adoption. Ozanimod and etrasimod work by blocking the capacity of lymphocytes to egress from lymph nodes, thereby reducing the number of lymphocytes in peripheral blood, which can lead to increased</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susceptibility to infections. Furthermore, ozanimod, in its UC Study 1 which assessed efficacy during the induction period, achieved 18% clinical remission in all patients compared to 6% for placebo at week 10. For patients with prior exposure to TNF inhibitors, only 10% of patients achieved clinical remission compared to 5% for placebo.</w:t>
      </w:r>
    </w:p>
    <w:p>
      <w:pPr>
        <w:spacing w:after="0" w:line="2" w:lineRule="exact"/>
        <w:rPr>
          <w:sz w:val="20"/>
          <w:szCs w:val="20"/>
          <w:color w:val="auto"/>
        </w:rPr>
      </w:pPr>
    </w:p>
    <w:p>
      <w:pPr>
        <w:jc w:val="both"/>
        <w:ind w:left="300" w:right="739"/>
        <w:spacing w:after="0" w:line="218" w:lineRule="auto"/>
        <w:rPr>
          <w:sz w:val="20"/>
          <w:szCs w:val="20"/>
          <w:color w:val="auto"/>
        </w:rPr>
      </w:pPr>
      <w:r>
        <w:rPr>
          <w:rFonts w:ascii="Times New Roman" w:cs="Times New Roman" w:eastAsia="Times New Roman" w:hAnsi="Times New Roman"/>
          <w:sz w:val="18"/>
          <w:szCs w:val="18"/>
          <w:color w:val="auto"/>
        </w:rPr>
        <w:t>TL1A inhibitors have garnered interest from those seeking newer targets and agents with differentiated clinical profiles. Merck-Prometheus and Pfizer-Roivant have generated promising early Phase 2 data in both biologic-experienced and biologic-naïve patients, and have recently initiated Phase 3 clinical trials.</w:t>
      </w:r>
    </w:p>
    <w:p>
      <w:pPr>
        <w:spacing w:after="0" w:line="64" w:lineRule="exact"/>
        <w:rPr>
          <w:sz w:val="20"/>
          <w:szCs w:val="20"/>
          <w:color w:val="auto"/>
        </w:rPr>
      </w:pPr>
    </w:p>
    <w:p>
      <w:pPr>
        <w:ind w:left="300" w:right="379" w:firstLine="441"/>
        <w:spacing w:after="0" w:line="226" w:lineRule="auto"/>
        <w:rPr>
          <w:sz w:val="20"/>
          <w:szCs w:val="20"/>
          <w:color w:val="auto"/>
        </w:rPr>
      </w:pPr>
      <w:r>
        <w:rPr>
          <w:rFonts w:ascii="Times New Roman" w:cs="Times New Roman" w:eastAsia="Times New Roman" w:hAnsi="Times New Roman"/>
          <w:sz w:val="18"/>
          <w:szCs w:val="18"/>
          <w:color w:val="auto"/>
        </w:rPr>
        <w:t>In summary, we believe that there is significant unmet medical need in the UC treatment paradigm due to imperfect existing therapies with unfavorable clinical characteristics and limited efficacy that frequently wanes over time.</w:t>
      </w:r>
    </w:p>
    <w:p>
      <w:pPr>
        <w:spacing w:after="0" w:line="63"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w:t>
      </w:r>
    </w:p>
    <w:p>
      <w:pPr>
        <w:ind w:left="300"/>
        <w:spacing w:after="0"/>
        <w:rPr>
          <w:sz w:val="20"/>
          <w:szCs w:val="20"/>
          <w:color w:val="auto"/>
        </w:rPr>
      </w:pPr>
      <w:r>
        <w:rPr>
          <w:rFonts w:ascii="Times New Roman" w:cs="Times New Roman" w:eastAsia="Times New Roman" w:hAnsi="Times New Roman"/>
          <w:sz w:val="18"/>
          <w:szCs w:val="18"/>
          <w:color w:val="auto"/>
        </w:rPr>
        <w:t>approved.</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Phase 3 Clinical Trials and Regulatory Pathway in UC</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working with IQVIA, a global premier contract research organization, to conduct the Phase 3 clinical</w:t>
      </w:r>
    </w:p>
    <w:p>
      <w:pPr>
        <w:spacing w:after="0" w:line="2" w:lineRule="exact"/>
        <w:rPr>
          <w:sz w:val="20"/>
          <w:szCs w:val="20"/>
          <w:color w:val="auto"/>
        </w:rPr>
      </w:pPr>
    </w:p>
    <w:p>
      <w:pPr>
        <w:ind w:left="300" w:right="819"/>
        <w:spacing w:after="0" w:line="226" w:lineRule="auto"/>
        <w:rPr>
          <w:sz w:val="20"/>
          <w:szCs w:val="20"/>
          <w:color w:val="auto"/>
        </w:rPr>
      </w:pPr>
      <w:r>
        <w:rPr>
          <w:rFonts w:ascii="Times New Roman" w:cs="Times New Roman" w:eastAsia="Times New Roman" w:hAnsi="Times New Roman"/>
          <w:sz w:val="18"/>
          <w:szCs w:val="18"/>
          <w:color w:val="auto"/>
        </w:rPr>
        <w:t>trials with obefazimod in moderately to severely active UC, following consultations with regulatory agencies, including FDA, EMA, CDE and PMDA.</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These pivotal Phase 3 clinical trials consist of two induction trials (ABTECT-1 and ABTECT-2) and the</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subsequent ABTECT maintenance trial investigating obefazimod at doses of 25 mg and 50 mg across 36 countries in North America, Latin America, Europe and Asia Pacific, involving 1,275 moderately to severely active UC patients in over 600 sites. Each of the trials were randomized, double-blind and placebo-controlled, using</w:t>
      </w:r>
    </w:p>
    <w:p>
      <w:pPr>
        <w:spacing w:after="0" w:line="2" w:lineRule="exact"/>
        <w:rPr>
          <w:sz w:val="20"/>
          <w:szCs w:val="20"/>
          <w:color w:val="auto"/>
        </w:rPr>
      </w:pPr>
    </w:p>
    <w:p>
      <w:pPr>
        <w:ind w:left="300" w:right="579"/>
        <w:spacing w:after="0" w:line="218" w:lineRule="auto"/>
        <w:rPr>
          <w:sz w:val="20"/>
          <w:szCs w:val="20"/>
          <w:color w:val="auto"/>
        </w:rPr>
      </w:pPr>
      <w:r>
        <w:rPr>
          <w:rFonts w:ascii="Times New Roman" w:cs="Times New Roman" w:eastAsia="Times New Roman" w:hAnsi="Times New Roman"/>
          <w:sz w:val="18"/>
          <w:szCs w:val="18"/>
          <w:color w:val="auto"/>
        </w:rPr>
        <w:t>independent and central review of the video-taped endoscopies with the primary endpoint of clinical remission according to the Modified Mayo Score assessed at week 8 (induction) and at the end of the 44-week maintenance trial (total 52 weeks), as recommended by the FDA.</w:t>
      </w:r>
    </w:p>
    <w:p>
      <w:pPr>
        <w:spacing w:after="0" w:line="64"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The Modified Mayo Score evaluates UC disease activity, based on three parameters: stool frequency, rectal bleeding and endoscopic evaluation. Each parameter of the score ranges from zero (normal or inactive disease) to three (severe activity). The patient rates stool frequency score (“SFS”) and rectal bleeding score (“RBS”) daily. The</w:t>
      </w: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endoscopy subscore is evaluated by a central reader (who is blinded to any clinical information about the patient) from an endoscopy that is performed at the trial site. The inclusion criteria based on FDA guidance for moderately to severely active UC is active disease defined by a Modified Mayo Score ≥ 5 with (RBS) ≥ 1 and endoscopy subscore</w:t>
      </w:r>
    </w:p>
    <w:p>
      <w:pPr>
        <w:spacing w:after="0" w:line="2" w:lineRule="exact"/>
        <w:rPr>
          <w:sz w:val="20"/>
          <w:szCs w:val="20"/>
          <w:color w:val="auto"/>
        </w:rPr>
      </w:pPr>
    </w:p>
    <w:p>
      <w:pPr>
        <w:jc w:val="both"/>
        <w:ind w:left="300" w:right="579"/>
        <w:spacing w:after="0" w:line="220" w:lineRule="auto"/>
        <w:rPr>
          <w:sz w:val="20"/>
          <w:szCs w:val="20"/>
          <w:color w:val="auto"/>
        </w:rPr>
      </w:pPr>
      <w:r>
        <w:rPr>
          <w:rFonts w:ascii="Times New Roman" w:cs="Times New Roman" w:eastAsia="Times New Roman" w:hAnsi="Times New Roman"/>
          <w:sz w:val="17"/>
          <w:szCs w:val="17"/>
          <w:color w:val="auto"/>
        </w:rPr>
        <w:t>of 2 or 3 (confirmed by central reader). The primary endpoint for induction and maintenance is clinical remission defined as SFS of 0 or 1 and not greater than baseline and RBS = 0 and endoscopy subscore of 0 or 1. At week 8, secondary endpoints include endoscopic improvement, clinical response, symptomatic remission and histologic-</w:t>
      </w:r>
    </w:p>
    <w:p>
      <w:pPr>
        <w:spacing w:after="0" w:line="2" w:lineRule="exact"/>
        <w:rPr>
          <w:sz w:val="20"/>
          <w:szCs w:val="20"/>
          <w:color w:val="auto"/>
        </w:rPr>
      </w:pPr>
    </w:p>
    <w:p>
      <w:pPr>
        <w:ind w:left="300" w:right="679"/>
        <w:spacing w:after="0" w:line="239" w:lineRule="auto"/>
        <w:rPr>
          <w:sz w:val="20"/>
          <w:szCs w:val="20"/>
          <w:color w:val="auto"/>
        </w:rPr>
      </w:pPr>
      <w:r>
        <w:rPr>
          <w:rFonts w:ascii="Times New Roman" w:cs="Times New Roman" w:eastAsia="Times New Roman" w:hAnsi="Times New Roman"/>
          <w:sz w:val="17"/>
          <w:szCs w:val="17"/>
          <w:color w:val="auto"/>
        </w:rPr>
        <w:t>endoscopic mucosal improvement (“HEMI”). At week 44 of the maintenance trial, secondary endpoints include endoscopic improvement, symptomatic remission, corticosteroid-free clinical remission, sustained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470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spacing w:after="0" w:line="222" w:lineRule="auto"/>
        <w:rPr>
          <w:sz w:val="20"/>
          <w:szCs w:val="20"/>
          <w:color w:val="auto"/>
        </w:rPr>
      </w:pPr>
      <w:r>
        <w:rPr>
          <w:rFonts w:ascii="Times New Roman" w:cs="Times New Roman" w:eastAsia="Times New Roman" w:hAnsi="Times New Roman"/>
          <w:sz w:val="18"/>
          <w:szCs w:val="18"/>
          <w:color w:val="auto"/>
        </w:rPr>
        <w:t>remission, HEMI and endoscopic remission. After week 44, a long-term extension trial will follow for eligible and willing subjects for an additional for up to 4 years, or until the commercialization of obefazimod, whichever occurs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Enrollment of the first patient under this program in the United States occurred on October 11, 2022. Top-line data from the ABTECT-1 and ABTECT-2 induction trials were announced in July 2025, and top-line data from the</w:t>
      </w:r>
    </w:p>
    <w:p>
      <w:pPr>
        <w:ind w:left="300"/>
        <w:spacing w:after="0"/>
        <w:rPr>
          <w:sz w:val="20"/>
          <w:szCs w:val="20"/>
          <w:color w:val="auto"/>
        </w:rPr>
      </w:pPr>
      <w:r>
        <w:rPr>
          <w:rFonts w:ascii="Times New Roman" w:cs="Times New Roman" w:eastAsia="Times New Roman" w:hAnsi="Times New Roman"/>
          <w:sz w:val="18"/>
          <w:szCs w:val="18"/>
          <w:color w:val="auto"/>
        </w:rPr>
        <w:t>ABTECT maintenance trial is expected to be announced in late second quarter of 2026.</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Clinical Trials Completed with Obefazimod</w:t>
      </w:r>
    </w:p>
    <w:p>
      <w:pPr>
        <w:spacing w:after="0" w:line="94" w:lineRule="exact"/>
        <w:rPr>
          <w:sz w:val="20"/>
          <w:szCs w:val="20"/>
          <w:color w:val="auto"/>
        </w:rPr>
      </w:pPr>
    </w:p>
    <w:p>
      <w:pPr>
        <w:ind w:left="300" w:right="439" w:firstLine="441"/>
        <w:spacing w:after="0" w:line="216" w:lineRule="auto"/>
        <w:rPr>
          <w:sz w:val="20"/>
          <w:szCs w:val="20"/>
          <w:color w:val="auto"/>
        </w:rPr>
      </w:pPr>
      <w:r>
        <w:rPr>
          <w:rFonts w:ascii="Times New Roman" w:cs="Times New Roman" w:eastAsia="Times New Roman" w:hAnsi="Times New Roman"/>
          <w:sz w:val="18"/>
          <w:szCs w:val="18"/>
          <w:color w:val="auto"/>
        </w:rPr>
        <w:t>In addition, three Phase 1 clinical trials have been completed in 2025 to assess the tolerability and safety profile of obefazimod: (i) two drug-drug interaction trials, for the purposes of providing further information on any possible interactions of obefazimod with other drugs, for which we enrolled 24 and 36 healthy volunteers</w:t>
      </w:r>
    </w:p>
    <w:p>
      <w:pPr>
        <w:spacing w:after="0" w:line="1"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respectively; and (ii) a trial in participants with mild and moderate hepatic impairment compared to matched control normal liver function participants, for the purposes of assessing pharmacokinetics, safety and tolerability in this population, for which we enrolled 30 participants. The results of these Phase 1 clinical trials provide supportive data</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for our further clinical development and New Drug Application (“NDA”) submission. Furthermore, additional Phase 1 clinical trials to support NDA submission are ongoing. While we have decided not to pursue additional clinical work in rheumatoid arthritis ("RA") at this point, we have completed a Phase 2a clinical trial in patients with RA,</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where we saw encouraging proof-of-concept data supporting obefazimod’s potential role in addressing inflammatory conditions beyond IBD.</w:t>
      </w:r>
    </w:p>
    <w:p>
      <w:pPr>
        <w:sectPr>
          <w:pgSz w:w="11900" w:h="16838" w:orient="portrait"/>
          <w:cols w:equalWidth="0" w:num="1">
            <w:col w:w="9019"/>
          </w:cols>
          <w:pgMar w:left="1440" w:top="108" w:right="1440" w:bottom="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8"/>
          <w:szCs w:val="18"/>
          <w:b w:val="1"/>
          <w:bCs w:val="1"/>
          <w:color w:val="auto"/>
        </w:rPr>
        <w:t>Potential Combination Therapy for the Treatment of IBD with Obefazimod as the Cornerstone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-107950</wp:posOffset>
            </wp:positionV>
            <wp:extent cx="7016115" cy="5591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p>
      <w:pPr>
        <w:spacing w:after="0" w:line="20"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Despite the development of various advanced targeted therapies for IBD over the past 20 years, a single agent with transformational efficacy remains elusive. Although cross-trial efficacy comparisons must be interpreted with caution, induction of clinical remission rates have currently reached a placebo-adjusted therapeutic ceiling up to</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30%. Improved efficacy of combination therapy with thiopurines and TNF-alpha inhibitors has been well described (SONIC and UC-SUCCESS) but did not breach the aforementioned efficacy ceiling. Emerging data utilizing dual advanced targeted therapy affecting complementary mechanisms of action indicate a potential path to higher</w:t>
      </w:r>
    </w:p>
    <w:p>
      <w:pPr>
        <w:ind w:left="300"/>
        <w:spacing w:after="0" w:line="206" w:lineRule="auto"/>
        <w:rPr>
          <w:sz w:val="20"/>
          <w:szCs w:val="20"/>
          <w:color w:val="auto"/>
        </w:rPr>
      </w:pPr>
      <w:r>
        <w:rPr>
          <w:rFonts w:ascii="Times New Roman" w:cs="Times New Roman" w:eastAsia="Times New Roman" w:hAnsi="Times New Roman"/>
          <w:sz w:val="18"/>
          <w:szCs w:val="18"/>
          <w:color w:val="auto"/>
        </w:rPr>
        <w:t>efficacy rates. The first trial utilizing this strategy (VEGA) randomized patients to three parallel treatment groups:</w:t>
      </w:r>
    </w:p>
    <w:p>
      <w:pPr>
        <w:ind w:left="540" w:hanging="248"/>
        <w:spacing w:after="0" w:line="203"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 combination therapy with guselkumab (IL-23 inhibitor) plus golimumab (TNF-alpha inhibitor); (2)</w:t>
      </w:r>
    </w:p>
    <w:p>
      <w:pPr>
        <w:jc w:val="both"/>
        <w:ind w:left="300" w:right="679"/>
        <w:spacing w:after="0" w:line="2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guselkumab alone; or (3) golimumab alone. At the end of the 12-week induction period, a greater proportion of patients randomized to dual combination therapy achieved clinical remission (approximately 47%) compared to either monotherapy treatment arms (guselkumab at approximately 25%; golimumab at approximately 24%).</w:t>
      </w:r>
    </w:p>
    <w:p>
      <w:pPr>
        <w:spacing w:after="0" w:line="1" w:lineRule="exact"/>
        <w:rPr>
          <w:rFonts w:ascii="Times New Roman" w:cs="Times New Roman" w:eastAsia="Times New Roman" w:hAnsi="Times New Roman"/>
          <w:sz w:val="18"/>
          <w:szCs w:val="18"/>
          <w:color w:val="auto"/>
        </w:rPr>
      </w:pPr>
    </w:p>
    <w:p>
      <w:pPr>
        <w:jc w:val="both"/>
        <w:ind w:left="300" w:right="519"/>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adverse events, serious adverse events and infection rates were comparable among treatment groups. J&amp;J has progressed these findings and initiated a fixed-dose combination phase 2 clinical trial of guselkumab plus golimumab (JNJ-4804) in UC/CD.</w:t>
      </w:r>
    </w:p>
    <w:p>
      <w:pPr>
        <w:spacing w:after="0" w:line="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believe synergistic improvements that may be achieved with advanced combination therapy should be</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balanced with patient adherence to multiple biologic injections and safety considerations associated with immune suppression. Several of obefazimod’s attributes make it a potentially attractive candidate to pair with other advanced treatments. First, the oral route of administration is preferred by a majority of patients, potentially resulting in higher</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levels of medication adherence. Further, obefazimod’s proposed mechanism of action harnesses the body’s natural regulatory mechanisms to stabilize the immune response in patients with chronic inflammatory diseases. The novel mechanism of action of obefazimod potentially lends itself as complementary to other oral or injectable agents with</w:t>
      </w:r>
    </w:p>
    <w:p>
      <w:pPr>
        <w:spacing w:after="0" w:line="2" w:lineRule="exact"/>
        <w:rPr>
          <w:sz w:val="20"/>
          <w:szCs w:val="20"/>
          <w:color w:val="auto"/>
        </w:rPr>
      </w:pPr>
    </w:p>
    <w:p>
      <w:pPr>
        <w:jc w:val="both"/>
        <w:ind w:left="300" w:right="559"/>
        <w:spacing w:after="0" w:line="218" w:lineRule="auto"/>
        <w:rPr>
          <w:sz w:val="20"/>
          <w:szCs w:val="20"/>
          <w:color w:val="auto"/>
        </w:rPr>
      </w:pPr>
      <w:r>
        <w:rPr>
          <w:rFonts w:ascii="Times New Roman" w:cs="Times New Roman" w:eastAsia="Times New Roman" w:hAnsi="Times New Roman"/>
          <w:sz w:val="18"/>
          <w:szCs w:val="18"/>
          <w:color w:val="auto"/>
        </w:rPr>
        <w:t>the potential of improving the induction and remission efficacy over monotherapy. We believe the current clinical results we have observed with obefazimod including a lack of safety signals up to 96 weeks of treatment support development as an agent to be used in potential combination therapy.</w:t>
      </w:r>
    </w:p>
    <w:p>
      <w:pPr>
        <w:spacing w:after="0" w:line="64" w:lineRule="exact"/>
        <w:rPr>
          <w:sz w:val="20"/>
          <w:szCs w:val="20"/>
          <w:color w:val="auto"/>
        </w:rPr>
      </w:pPr>
    </w:p>
    <w:p>
      <w:pPr>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We have initiated a formal process evaluating oral and injectable combination therapy candidate with obefazimod in UC. In September 2024, we announced results of initial preclinical combination data of obefazimod combined with etrasimod in a mouse model of IBD. The results showed that treatment with the combination</w:t>
      </w:r>
    </w:p>
    <w:p>
      <w:pPr>
        <w:ind w:left="300" w:right="499"/>
        <w:spacing w:after="0" w:line="231" w:lineRule="auto"/>
        <w:rPr>
          <w:sz w:val="20"/>
          <w:szCs w:val="20"/>
          <w:color w:val="auto"/>
        </w:rPr>
      </w:pPr>
      <w:r>
        <w:rPr>
          <w:rFonts w:ascii="Times New Roman" w:cs="Times New Roman" w:eastAsia="Times New Roman" w:hAnsi="Times New Roman"/>
          <w:sz w:val="17"/>
          <w:szCs w:val="17"/>
          <w:color w:val="auto"/>
        </w:rPr>
        <w:t>improved the response on body weight protection and Disease Activity Index with a synergistic and statistically significant reduction of several cytokines (TNFa, IL-17, IL-6, IFNg) in the blood compared to each drug alone. Additional preclinical data to support our decision-making on a combination agent is expected by the end of 2026.</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Follow-On Compounds Program</w:t>
      </w:r>
    </w:p>
    <w:p>
      <w:pPr>
        <w:spacing w:after="0" w:line="81" w:lineRule="exact"/>
        <w:rPr>
          <w:sz w:val="20"/>
          <w:szCs w:val="20"/>
          <w:color w:val="auto"/>
        </w:rPr>
      </w:pPr>
    </w:p>
    <w:p>
      <w:pPr>
        <w:ind w:left="300" w:right="339" w:firstLine="441"/>
        <w:spacing w:after="0" w:line="222" w:lineRule="auto"/>
        <w:rPr>
          <w:sz w:val="20"/>
          <w:szCs w:val="20"/>
          <w:color w:val="auto"/>
        </w:rPr>
      </w:pPr>
      <w:r>
        <w:rPr>
          <w:rFonts w:ascii="Times New Roman" w:cs="Times New Roman" w:eastAsia="Times New Roman" w:hAnsi="Times New Roman"/>
          <w:sz w:val="18"/>
          <w:szCs w:val="18"/>
          <w:color w:val="auto"/>
        </w:rPr>
        <w:t>Based on the mechanistic concept of obefazimod, a research and development program is currently ongoing to generate new potential drug candidates to strengthen our intellectual property portfolio on the miR-124 platform.</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first follow-on drug candidate is expected to be selected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842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Ongoing Pre-Clinical Research</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major complication of chronic inflammation in IBD is fibrosis, particularly in CD. To date, no efficacious</w:t>
      </w:r>
    </w:p>
    <w:p>
      <w:pPr>
        <w:spacing w:after="0" w:line="2"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anti-fibrotic treatment for IBD patients is available. As miR-124 is reduced in fibrotic tissue and can suppress TGF-β, a central driver of fibrogenesis, we assessed whether obefazimod-mediated miR-124 induction affects collagen deposition and fibrotic markers in preclinical models.</w:t>
      </w:r>
    </w:p>
    <w:p>
      <w:pPr>
        <w:spacing w:after="0" w:line="62"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 xml:space="preserve">Two sets of experiments were performed to assess the anti-fibrotic effects of obefazimod: (1)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fibrosis was evaluated in the Scar-in-a-Jar ("SiaJ") model using human small-intestinal fibroblasts, stimulated with an IBD-fibrotic cytokine cocktail ("IBD-FC"). Nintedanib, omipalisib and upadacitinib were used as comparators. Readouts</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 xml:space="preserve">included cytotoxicity, PRO-C3, and α-SMA; and (2)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effects were assessed in the chronic TNBS-colitis mouse model, where obefazimod (100 mg/kg) or control (vehicle or thalidomide) were administered orally either from day 5 (anti-inflammatory + fibrosis-preventive effect) or from day 20 (early-onset anti-fibrotic effect). Disease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activity, body weight, colon parameters, histology and collagen deposition were analyzed.</w:t>
      </w:r>
    </w:p>
    <w:p>
      <w:pPr>
        <w:spacing w:after="0" w:line="55" w:lineRule="exact"/>
        <w:rPr>
          <w:sz w:val="20"/>
          <w:szCs w:val="20"/>
          <w:color w:val="auto"/>
        </w:rPr>
      </w:pPr>
    </w:p>
    <w:p>
      <w:pPr>
        <w:ind w:left="300" w:right="399" w:firstLine="441"/>
        <w:spacing w:after="0" w:line="224" w:lineRule="auto"/>
        <w:rPr>
          <w:sz w:val="20"/>
          <w:szCs w:val="20"/>
          <w:color w:val="auto"/>
        </w:rPr>
      </w:pPr>
      <w:r>
        <w:rPr>
          <w:rFonts w:ascii="Times New Roman" w:cs="Times New Roman" w:eastAsia="Times New Roman" w:hAnsi="Times New Roman"/>
          <w:sz w:val="18"/>
          <w:szCs w:val="18"/>
          <w:color w:val="auto"/>
        </w:rPr>
        <w:t xml:space="preserve">Our results were as follows: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obefazimod induced a statistically significant 50% reduction in PRO-C3 at day 12, compared with the IBD-FC condition and upadacitinib (live-cell–adjusted, p&lt;0.0001 vs. IBD-FC).</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 xml:space="preserve">Notably, the IBD-FC SiaJ assay showed pathway specificity: nintedanib showed no activity, while omipalisib did (as shown below). Additionally, cell-number–adjusted analysis showed significant α-SMA reduction by obefazimod indicating a strong inhibition of fibroblast activation (p&lt; 0.0001 vs. IBD-FC, as shown below).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the known</w:t>
      </w:r>
    </w:p>
    <w:p>
      <w:pPr>
        <w:spacing w:after="0" w:line="2" w:lineRule="exact"/>
        <w:rPr>
          <w:sz w:val="20"/>
          <w:szCs w:val="20"/>
          <w:color w:val="auto"/>
        </w:rPr>
      </w:pP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anti-inflammatory effects of obefazimod were confirmed in the chronic colitis model under both dosing schedules. Moreover, results from this initial experiment showed a reduction in the fibrosis score and collagen deposition was reduced by approximately 52% with day 5 dosing and approximately 42% with day 20 dosing in the Sirius Red</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 xml:space="preserve">assay, whereas thalidomide as a positive control achieved approximately 24%. These data support an anti-fibrotic effect of obefazimod in two well-established models, inhibiting collagen deposition and fibroblast activation. Initial </w:t>
      </w:r>
      <w:r>
        <w:rPr>
          <w:rFonts w:ascii="Times New Roman" w:cs="Times New Roman" w:eastAsia="Times New Roman" w:hAnsi="Times New Roman"/>
          <w:sz w:val="17"/>
          <w:szCs w:val="17"/>
          <w:i w:val="1"/>
          <w:iCs w:val="1"/>
          <w:color w:val="auto"/>
        </w:rPr>
        <w:t xml:space="preserve">in vivo </w:t>
      </w:r>
      <w:r>
        <w:rPr>
          <w:rFonts w:ascii="Times New Roman" w:cs="Times New Roman" w:eastAsia="Times New Roman" w:hAnsi="Times New Roman"/>
          <w:sz w:val="17"/>
          <w:szCs w:val="17"/>
          <w:color w:val="auto"/>
        </w:rPr>
        <w:t>mouse data, aligned with the</w:t>
      </w:r>
      <w:r>
        <w:rPr>
          <w:rFonts w:ascii="Times New Roman" w:cs="Times New Roman" w:eastAsia="Times New Roman" w:hAnsi="Times New Roman"/>
          <w:sz w:val="17"/>
          <w:szCs w:val="17"/>
          <w:i w:val="1"/>
          <w:iCs w:val="1"/>
          <w:color w:val="auto"/>
        </w:rPr>
        <w:t xml:space="preserve"> in vitro </w:t>
      </w:r>
      <w:r>
        <w:rPr>
          <w:rFonts w:ascii="Times New Roman" w:cs="Times New Roman" w:eastAsia="Times New Roman" w:hAnsi="Times New Roman"/>
          <w:sz w:val="17"/>
          <w:szCs w:val="17"/>
          <w:color w:val="auto"/>
        </w:rPr>
        <w:t>findings, indicate that obefazimod may act in a unique way on both</w:t>
      </w:r>
    </w:p>
    <w:p>
      <w:pPr>
        <w:spacing w:after="0" w:line="2" w:lineRule="exact"/>
        <w:rPr>
          <w:sz w:val="20"/>
          <w:szCs w:val="20"/>
          <w:color w:val="auto"/>
        </w:rPr>
      </w:pPr>
    </w:p>
    <w:p>
      <w:pPr>
        <w:jc w:val="both"/>
        <w:ind w:left="300" w:right="959"/>
        <w:spacing w:after="0" w:line="218" w:lineRule="auto"/>
        <w:rPr>
          <w:sz w:val="20"/>
          <w:szCs w:val="20"/>
          <w:color w:val="auto"/>
        </w:rPr>
      </w:pPr>
      <w:r>
        <w:rPr>
          <w:rFonts w:ascii="Times New Roman" w:cs="Times New Roman" w:eastAsia="Times New Roman" w:hAnsi="Times New Roman"/>
          <w:sz w:val="18"/>
          <w:szCs w:val="18"/>
          <w:color w:val="auto"/>
        </w:rPr>
        <w:t>intestinal inflammation and fibrosis. We believe these promising results provide a strong rationale to further investigate obefazimod’s anti-fibrotic potential in our ongoing Phase 2b CD trial. These results below were presented at ECCO 2026.</w:t>
      </w:r>
    </w:p>
    <w:p>
      <w:pPr>
        <w:sectPr>
          <w:pgSz w:w="11900" w:h="16838" w:orient="portrait"/>
          <w:cols w:equalWidth="0" w:num="1">
            <w:col w:w="9019"/>
          </w:cols>
          <w:pgMar w:left="1440" w:top="104" w:right="1440" w:bottom="867"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19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214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right="499"/>
        <w:spacing w:after="0" w:line="241" w:lineRule="auto"/>
        <w:rPr>
          <w:sz w:val="20"/>
          <w:szCs w:val="20"/>
          <w:color w:val="auto"/>
        </w:rPr>
      </w:pPr>
      <w:r>
        <w:rPr>
          <w:rFonts w:ascii="Times New Roman" w:cs="Times New Roman" w:eastAsia="Times New Roman" w:hAnsi="Times New Roman"/>
          <w:sz w:val="14"/>
          <w:szCs w:val="14"/>
          <w:color w:val="auto"/>
        </w:rPr>
        <w:t>Notes: Obefazimod treatment initiated on either day 5 (anti-inflammatory + fibrosis-preventive effect) or from day 20 (early-onset anti-fibrotic effect); ***p&lt;0.001, ****p&lt;0.0001 one-way ANOVA with Tukey’s multiple comparisons test</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Obefazimod</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lead compound, obefazimod, is manufactured using commercially available, widely used raw materials</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and common chemical engineering and synthetic processes. The historical volatility in the prices of these raw materials has not had a material impact on our operating results. Obefazimod is formulated as an oral solid capsule. We have successfully scaled-up active pharmaceutical ingredients and drug product processes, and we have a large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supply of active pharmaceutical ingredients and capsules available for clinical trials.</w:t>
      </w:r>
    </w:p>
    <w:p>
      <w:pPr>
        <w:spacing w:after="0" w:line="57"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We outsource all manufacturing operations and rely on European and North American third-party CMOs to supply clinical trials and finalize the development of obefazimod. These operations are designed to be in compliance</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with the standards imposed by Good Manufacturing Practice (“GMP”). We believe our outsourcing strategy and internal organization allow us to focus our resources on the development of different drug candidates and the management of third parties, without investing in expensive manufacturing facilities and equipment. All third parties</w:t>
      </w:r>
    </w:p>
    <w:p>
      <w:pPr>
        <w:spacing w:after="0" w:line="2" w:lineRule="exact"/>
        <w:rPr>
          <w:sz w:val="20"/>
          <w:szCs w:val="20"/>
          <w:color w:val="auto"/>
        </w:rPr>
      </w:pPr>
    </w:p>
    <w:p>
      <w:pPr>
        <w:ind w:left="300" w:right="979"/>
        <w:spacing w:after="0" w:line="218" w:lineRule="auto"/>
        <w:rPr>
          <w:sz w:val="20"/>
          <w:szCs w:val="20"/>
          <w:color w:val="auto"/>
        </w:rPr>
      </w:pPr>
      <w:r>
        <w:rPr>
          <w:rFonts w:ascii="Times New Roman" w:cs="Times New Roman" w:eastAsia="Times New Roman" w:hAnsi="Times New Roman"/>
          <w:sz w:val="18"/>
          <w:szCs w:val="18"/>
          <w:color w:val="auto"/>
        </w:rPr>
        <w:t>are assessed under our quality system and agreements are in place to compel compliance and we maintain agreements with manufacturers which include confidentiality and intellectual property provisions to protect proprietary rights.</w:t>
      </w:r>
    </w:p>
    <w:p>
      <w:pPr>
        <w:spacing w:after="0" w:line="64" w:lineRule="exact"/>
        <w:rPr>
          <w:sz w:val="20"/>
          <w:szCs w:val="20"/>
          <w:color w:val="auto"/>
        </w:rPr>
      </w:pPr>
    </w:p>
    <w:p>
      <w:pPr>
        <w:ind w:left="300" w:right="379" w:firstLine="441"/>
        <w:spacing w:after="0" w:line="226" w:lineRule="auto"/>
        <w:rPr>
          <w:sz w:val="20"/>
          <w:szCs w:val="20"/>
          <w:color w:val="auto"/>
        </w:rPr>
      </w:pPr>
      <w:r>
        <w:rPr>
          <w:rFonts w:ascii="Times New Roman" w:cs="Times New Roman" w:eastAsia="Times New Roman" w:hAnsi="Times New Roman"/>
          <w:sz w:val="18"/>
          <w:szCs w:val="18"/>
          <w:color w:val="auto"/>
        </w:rPr>
        <w:t>We are in the process of further optimizing and scaling up our supply chain for obefazimod to ensure capacity for our expected commercial supply, if the FDA or foreign regulatory authority approved. In addition, we are in process of establishing a second source manufacturer for obefazimod to ensure continuity of product supply.</w:t>
      </w:r>
    </w:p>
    <w:p>
      <w:pPr>
        <w:sectPr>
          <w:pgSz w:w="11900" w:h="16838" w:orient="portrait"/>
          <w:cols w:equalWidth="0" w:num="1">
            <w:col w:w="9019"/>
          </w:cols>
          <w:pgMar w:left="1440" w:top="1440" w:right="1440" w:bottom="0" w:gutter="0" w:footer="0" w:header="0"/>
          <w:type w:val="continuous"/>
        </w:sectPr>
      </w:pPr>
    </w:p>
    <w:bookmarkStart w:id="58" w:name="page59"/>
    <w:bookmarkEnd w:id="58"/>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-116840</wp:posOffset>
            </wp:positionV>
            <wp:extent cx="7016115" cy="2847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spacing w:after="0" w:line="61" w:lineRule="exact"/>
        <w:rPr>
          <w:sz w:val="20"/>
          <w:szCs w:val="20"/>
          <w:color w:val="auto"/>
        </w:rPr>
      </w:pPr>
    </w:p>
    <w:p>
      <w:pPr>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We compete with companies that have drugs on the market or are developing drug candidates for chronic IBD. The biotechnology and pharmaceutical industries are highly competitive and subject to significant and rapid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technological change, as researchers learn more about chronic IBD and develop new technologies and treatments.</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Significant competitive factors in our industry include: (i) product efficacy and safety; (ii) quality and breadth of an organization’s technology; (iii) skill of an organization’s employees and its ability to recruit and retain key</w:t>
      </w:r>
    </w:p>
    <w:p>
      <w:pPr>
        <w:ind w:left="300" w:right="319"/>
        <w:spacing w:after="0" w:line="215" w:lineRule="auto"/>
        <w:rPr>
          <w:sz w:val="20"/>
          <w:szCs w:val="20"/>
          <w:color w:val="auto"/>
        </w:rPr>
      </w:pPr>
      <w:r>
        <w:rPr>
          <w:rFonts w:ascii="Times New Roman" w:cs="Times New Roman" w:eastAsia="Times New Roman" w:hAnsi="Times New Roman"/>
          <w:sz w:val="17"/>
          <w:szCs w:val="17"/>
          <w:color w:val="auto"/>
        </w:rPr>
        <w:t>employees; (iv) timing and scope of regulatory approvals; (v) government reimbursement rates for, and the average selling price of, pharmaceutical products; (vi) the availability of raw materials and qualified manufacturing capacity;</w:t>
      </w:r>
    </w:p>
    <w:p>
      <w:pPr>
        <w:spacing w:after="0" w:line="1" w:lineRule="exact"/>
        <w:rPr>
          <w:sz w:val="20"/>
          <w:szCs w:val="20"/>
          <w:color w:val="auto"/>
        </w:rPr>
      </w:pPr>
    </w:p>
    <w:p>
      <w:pPr>
        <w:ind w:left="300" w:right="439" w:hanging="8"/>
        <w:spacing w:after="0" w:line="214"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intellectual property and patent rights and their protection; and (viii) sales and marketing capabilities. Our competitors in the chronic inflammatory disease field are primarily large pharmaceuticals companies including, but not limited to, AbbVie, Johnson &amp; Johnson, Takeda, Pfizer and Eli Lilly. Merck, Roche, and Teva/Sanofi are all potential future competitors based on recent acquisitions of TL1A molecules.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or intravenous infusions.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5857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molecules on the market and in development have various mechanisms of action and are primarily:</w:t>
      </w:r>
    </w:p>
    <w:p>
      <w:pPr>
        <w:ind w:left="300" w:right="959" w:hanging="8"/>
        <w:spacing w:after="0" w:line="233" w:lineRule="auto"/>
        <w:tabs>
          <w:tab w:leader="none" w:pos="5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TNF-alpha inhibitors; (ii) IL-12/23 inhibitors; (iii) anti-integrin antibodies; (iv) IL-23 inhibitors; (v) JAK inhibitors; (vi) S1P receptor agonists; or (vii) TL1A inhibitors.</w:t>
      </w:r>
    </w:p>
    <w:p>
      <w:pPr>
        <w:spacing w:after="0" w:line="5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In the TNF-alpha treatment class, Remicade</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(Janssen) was first approved by the FDA in 1998. In 2012, the European Commission approved AbbVie’s Humira </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xml:space="preserve"> for the treatment of pediatric patients aged six to 17 years with</w:t>
      </w:r>
    </w:p>
    <w:p>
      <w:pPr>
        <w:ind w:left="300"/>
        <w:spacing w:after="0"/>
        <w:rPr>
          <w:sz w:val="20"/>
          <w:szCs w:val="20"/>
          <w:color w:val="auto"/>
        </w:rPr>
      </w:pPr>
      <w:r>
        <w:rPr>
          <w:rFonts w:ascii="Times New Roman" w:cs="Times New Roman" w:eastAsia="Times New Roman" w:hAnsi="Times New Roman"/>
          <w:sz w:val="18"/>
          <w:szCs w:val="18"/>
          <w:color w:val="auto"/>
        </w:rPr>
        <w:t>severe active CD who have an inadequate response, are intolerant or have contraindications to conventional therapy.</w:t>
      </w:r>
    </w:p>
    <w:p>
      <w:pPr>
        <w:spacing w:after="0" w:line="84" w:lineRule="exact"/>
        <w:rPr>
          <w:sz w:val="20"/>
          <w:szCs w:val="20"/>
          <w:color w:val="auto"/>
        </w:rPr>
      </w:pPr>
    </w:p>
    <w:p>
      <w:pPr>
        <w:ind w:left="300" w:right="479" w:firstLine="441"/>
        <w:spacing w:after="0" w:line="226" w:lineRule="auto"/>
        <w:rPr>
          <w:sz w:val="20"/>
          <w:szCs w:val="20"/>
          <w:color w:val="auto"/>
        </w:rPr>
      </w:pPr>
      <w:r>
        <w:rPr>
          <w:rFonts w:ascii="Times New Roman" w:cs="Times New Roman" w:eastAsia="Times New Roman" w:hAnsi="Times New Roman"/>
          <w:sz w:val="18"/>
          <w:szCs w:val="18"/>
          <w:color w:val="auto"/>
        </w:rPr>
        <w:t>IL-12/23 inhibitors entered the UC market in 2019 as ustekinumab (Johnson &amp; Johnson’s Stelara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In 2021, AbbVie filed an authorization application with FDA and EMA for risankizumab (Anti-IL-23—Skyrizi</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for the treatment of moderately to severely active CD and in 2024 it was approved for UC.</w:t>
      </w:r>
    </w:p>
    <w:p>
      <w:pPr>
        <w:spacing w:after="0" w:line="63"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The anti-integrin class is currently represented by vedolizumab/Entyvio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color w:val="auto"/>
        </w:rPr>
        <w:t xml:space="preserve"> and natalizumab/Tysabri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color w:val="auto"/>
        </w:rPr>
        <w:t>. We are also aware of Morphic Therapeutic’s MORF-057 and Protagonist Therapeutics/Johnson &amp; Johnson’s PN-943 currently in development. The anti-integrin drugs work by preventing the leukocytes to move from the blood vessels</w:t>
      </w: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to sites of inflammation. They block the action of integrin on the surface of circulating immune cells and endothelial cell adhesion molecules, thereby inhibiting the interactions between leukocytes and intestinal blood vessels. Natalizumab and vedolizumab block alpha4-integrin and alpha4beta7-integrin respectively. These drugs are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injectable (Humanized mAb).</w:t>
      </w:r>
    </w:p>
    <w:p>
      <w:pPr>
        <w:spacing w:after="0" w:line="57"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In 2021, Eli Lilly reported that mirikizumab (Anti-IL-23) generated data in a Phase 3 maintenance trial in patients with UC that led to European Commission and FDA approvals for UC. Regulatory filings have also been</w:t>
      </w:r>
    </w:p>
    <w:p>
      <w:pPr>
        <w:jc w:val="both"/>
        <w:ind w:left="300" w:right="299"/>
        <w:spacing w:after="0" w:line="208" w:lineRule="auto"/>
        <w:rPr>
          <w:sz w:val="20"/>
          <w:szCs w:val="20"/>
          <w:color w:val="auto"/>
        </w:rPr>
      </w:pPr>
      <w:r>
        <w:rPr>
          <w:rFonts w:ascii="Times New Roman" w:cs="Times New Roman" w:eastAsia="Times New Roman" w:hAnsi="Times New Roman"/>
          <w:sz w:val="18"/>
          <w:szCs w:val="18"/>
          <w:color w:val="auto"/>
        </w:rPr>
        <w:t>submitted for CD. All these drugs are injectable (Humanized mAb). Abbvie received FDA approval in moderately to severely active UC for Skyrizi in June 2024 and J&amp;J received FDA approval for Tremfya in September 2024. IL-23 is a regulator of T-helper (Th)-17 cell. IL-23 prevents regulatory T-cell response in the intestine, and therefore</w:t>
      </w:r>
    </w:p>
    <w:p>
      <w:pPr>
        <w:spacing w:after="0" w:line="2" w:lineRule="exact"/>
        <w:rPr>
          <w:sz w:val="20"/>
          <w:szCs w:val="20"/>
          <w:color w:val="auto"/>
        </w:rPr>
      </w:pPr>
    </w:p>
    <w:p>
      <w:pPr>
        <w:ind w:left="300" w:right="999"/>
        <w:spacing w:after="0" w:line="226" w:lineRule="auto"/>
        <w:rPr>
          <w:sz w:val="20"/>
          <w:szCs w:val="20"/>
          <w:color w:val="auto"/>
        </w:rPr>
      </w:pPr>
      <w:r>
        <w:rPr>
          <w:rFonts w:ascii="Times New Roman" w:cs="Times New Roman" w:eastAsia="Times New Roman" w:hAnsi="Times New Roman"/>
          <w:sz w:val="18"/>
          <w:szCs w:val="18"/>
          <w:color w:val="auto"/>
        </w:rPr>
        <w:t>increases inflammation in the gut. Anti-interleukins targeting the IL-23 have been shown to be effective for induction and maintenance of remission in patients with moderate-severe UC.</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JAK correspond to four intracellular tyrosine kinases: JAK1, JAK2, JAK3 and tyrosine kinase 2.</w:t>
      </w:r>
    </w:p>
    <w:p>
      <w:pPr>
        <w:spacing w:after="0" w:line="2" w:lineRule="exact"/>
        <w:rPr>
          <w:sz w:val="20"/>
          <w:szCs w:val="20"/>
          <w:color w:val="auto"/>
        </w:rPr>
      </w:pPr>
    </w:p>
    <w:p>
      <w:pPr>
        <w:ind w:left="300" w:right="679"/>
        <w:spacing w:after="0" w:line="220" w:lineRule="auto"/>
        <w:rPr>
          <w:sz w:val="20"/>
          <w:szCs w:val="20"/>
          <w:color w:val="auto"/>
        </w:rPr>
      </w:pPr>
      <w:r>
        <w:rPr>
          <w:rFonts w:ascii="Times New Roman" w:cs="Times New Roman" w:eastAsia="Times New Roman" w:hAnsi="Times New Roman"/>
          <w:sz w:val="17"/>
          <w:szCs w:val="17"/>
          <w:color w:val="auto"/>
        </w:rPr>
        <w:t>Inhibition of the JAK-STAT signal channel makes it possible to block the production of pro-inflammatory cytokines, including TNF-alpha, to block other pathways of inflammation and to regulate innate and adaptive immunity. Thus, several cytokines and several inflammation pathways are blocked simultaneously, unlike TNF-</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alpha inhibitors, which only have a single target. In September 2021, FDA published a black box warning, requiring pharmaceutical companies to provide a warning for increased risk of serious cardiac events, cancer, blood clots and death linked to JAK inhibitor treatments used for the treatment of certain IBD, including UC. Consequently, these</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treatments are only accessible to patients who do not respond to any other available treatment and who have certain well-defined conditions. In the JAK inhibitor class, to our knowledge the following products are authorized or in advanced development:</w:t>
      </w:r>
    </w:p>
    <w:p>
      <w:pPr>
        <w:spacing w:after="0" w:line="64" w:lineRule="exact"/>
        <w:rPr>
          <w:sz w:val="20"/>
          <w:szCs w:val="20"/>
          <w:color w:val="auto"/>
        </w:rPr>
      </w:pPr>
    </w:p>
    <w:p>
      <w:pPr>
        <w:ind w:left="1280" w:right="399" w:hanging="328"/>
        <w:spacing w:after="0" w:line="224"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Pfizer’s tofacitinib (Xeljanz</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is a non-selective JAK inhibitor. It obtained marketing approval in UC in June 2018. In September 2021, the FDA concluded that there was a high risk of serious side effects following a randomized clinical trial conducted to assess the safety of tofacitinib. Consequently, the molecule will be used as a third line treatment in patients who meet specific criteria.</w:t>
      </w:r>
    </w:p>
    <w:p>
      <w:pPr>
        <w:spacing w:after="0" w:line="50" w:lineRule="exact"/>
        <w:rPr>
          <w:rFonts w:ascii="Times New Roman" w:cs="Times New Roman" w:eastAsia="Times New Roman" w:hAnsi="Times New Roman"/>
          <w:sz w:val="18"/>
          <w:szCs w:val="18"/>
          <w:color w:val="auto"/>
        </w:rPr>
      </w:pPr>
    </w:p>
    <w:p>
      <w:pPr>
        <w:ind w:left="1280" w:right="359" w:hanging="328"/>
        <w:spacing w:after="0" w:line="220"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and Galapagos’ filgotinib (Jyseleca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is a selective JAK1 inhibitor. Since November 2021, filgotinib has been approved for the treatment of UC in the European Union (the “EU”). Authorization requests have also been submitted to the UK Medicines and Healthcare products Regulatory Agency (“MHRA”) and the Japanese PMDA for the treatment of moderately to severely active UC. In January 2024, Alfasigma acquired the rights to filgotinib from Galapagos.</w:t>
      </w:r>
    </w:p>
    <w:p>
      <w:pPr>
        <w:spacing w:after="0" w:line="63" w:lineRule="exact"/>
        <w:rPr>
          <w:rFonts w:ascii="Times New Roman" w:cs="Times New Roman" w:eastAsia="Times New Roman" w:hAnsi="Times New Roman"/>
          <w:sz w:val="18"/>
          <w:szCs w:val="18"/>
          <w:color w:val="auto"/>
        </w:rPr>
      </w:pPr>
    </w:p>
    <w:p>
      <w:pPr>
        <w:ind w:left="1280" w:right="419" w:hanging="328"/>
        <w:spacing w:after="0" w:line="224"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AbbVie’s upadacitinib (Rinvoq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which is also a selective JAK1 inhibitor, was approved by the FDA in March 2022 for the treatment of moderately to severely active UC. European Commission authorization for the treatment of moderately to severely active UC was granted in July 2022. Rinvoq was then approved in moderately to severely active CD in 2023.</w:t>
      </w:r>
    </w:p>
    <w:p>
      <w:pPr>
        <w:spacing w:after="0" w:line="5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S1P receptor agonists allow sequestration of activated lymphocytes in lymph nodes and thus reduce their circulation in the GI tract. Ozanimod (Zeposia</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is a S1P receptor modulator that is selective for the S1P1 and S1P5</w:t>
      </w: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receptors. It was approved by the FDA and European Commission for the treatment of moderately to severely active UC in 2021. In March 2024, BMS announced that ozanimod failed their first Phase 3 induction clinical trial for CD. In October 2023, Pfizer announced approval of Velsipity for moderately to severely active UC. Phase 2/3 CD</w:t>
      </w:r>
    </w:p>
    <w:p>
      <w:pPr>
        <w:spacing w:after="0" w:line="2" w:lineRule="exact"/>
        <w:rPr>
          <w:sz w:val="20"/>
          <w:szCs w:val="20"/>
          <w:color w:val="auto"/>
        </w:rPr>
      </w:pPr>
    </w:p>
    <w:p>
      <w:pPr>
        <w:jc w:val="both"/>
        <w:ind w:left="300" w:right="339"/>
        <w:spacing w:after="0" w:line="239" w:lineRule="auto"/>
        <w:rPr>
          <w:sz w:val="20"/>
          <w:szCs w:val="20"/>
          <w:color w:val="auto"/>
        </w:rPr>
      </w:pPr>
      <w:r>
        <w:rPr>
          <w:rFonts w:ascii="Times New Roman" w:cs="Times New Roman" w:eastAsia="Times New Roman" w:hAnsi="Times New Roman"/>
          <w:sz w:val="17"/>
          <w:szCs w:val="17"/>
          <w:color w:val="auto"/>
        </w:rPr>
        <w:t>Velsipity clinical trials are underway. In addition, in October 2023, Ventyx Biosciences announced results from its Phase 2 clinical trial of VTX002 in UC. However, further development is contingent on finding a strategic partner to</w:t>
      </w:r>
    </w:p>
    <w:p>
      <w:pPr>
        <w:sectPr>
          <w:pgSz w:w="11900" w:h="16838" w:orient="portrait"/>
          <w:cols w:equalWidth="0" w:num="1">
            <w:col w:w="9019"/>
          </w:cols>
          <w:pgMar w:left="1440" w:top="117" w:right="1440" w:bottom="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8"/>
          <w:szCs w:val="18"/>
          <w:color w:val="auto"/>
        </w:rPr>
        <w:t>advance VTX002 to Phase 3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-103505</wp:posOffset>
            </wp:positionV>
            <wp:extent cx="7016115" cy="147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r>
    </w:p>
    <w:p>
      <w:pPr>
        <w:ind w:left="300" w:right="639" w:firstLine="441"/>
        <w:spacing w:after="0" w:line="220" w:lineRule="auto"/>
        <w:rPr>
          <w:sz w:val="20"/>
          <w:szCs w:val="20"/>
          <w:color w:val="auto"/>
        </w:rPr>
      </w:pPr>
      <w:r>
        <w:rPr>
          <w:rFonts w:ascii="Times New Roman" w:cs="Times New Roman" w:eastAsia="Times New Roman" w:hAnsi="Times New Roman"/>
          <w:sz w:val="17"/>
          <w:szCs w:val="17"/>
          <w:color w:val="auto"/>
        </w:rPr>
        <w:t>We are also aware of other types of treatments currently under various stages of development, such as NImmune Biopharma’s omilancor (a Lanthionine Synthetase C-Like 2 activator) as well as tyrosine kinase 2 inhibitors from Bristol Myers Squibb’s Sotyktu (deucravacitinib – approved in the EU) and Ventyx Biosciences’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VTX 958.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9573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Furthermore, TL1A inhibitors have garnered interest from those seeking newer targets and agents with differentiated clinical profile. Merck-Prometheus and Pfizer-Roivant have generated promising early Phase 2 data in</w:t>
      </w:r>
    </w:p>
    <w:p>
      <w:pPr>
        <w:ind w:left="300"/>
        <w:spacing w:after="0"/>
        <w:rPr>
          <w:sz w:val="20"/>
          <w:szCs w:val="20"/>
          <w:color w:val="auto"/>
        </w:rPr>
      </w:pPr>
      <w:r>
        <w:rPr>
          <w:rFonts w:ascii="Times New Roman" w:cs="Times New Roman" w:eastAsia="Times New Roman" w:hAnsi="Times New Roman"/>
          <w:sz w:val="18"/>
          <w:szCs w:val="18"/>
          <w:color w:val="auto"/>
        </w:rPr>
        <w:t>both biologics-experienced and biologics-naïve patients, and have recently initiated Phase 3 clinical trials.</w:t>
      </w:r>
    </w:p>
    <w:p>
      <w:pPr>
        <w:spacing w:after="0" w:line="57" w:lineRule="exact"/>
        <w:rPr>
          <w:sz w:val="20"/>
          <w:szCs w:val="20"/>
          <w:color w:val="auto"/>
        </w:rPr>
      </w:pPr>
    </w:p>
    <w:p>
      <w:pPr>
        <w:ind w:left="300" w:right="739" w:firstLine="441"/>
        <w:spacing w:after="0" w:line="236" w:lineRule="auto"/>
        <w:rPr>
          <w:sz w:val="20"/>
          <w:szCs w:val="20"/>
          <w:color w:val="auto"/>
        </w:rPr>
      </w:pPr>
      <w:r>
        <w:rPr>
          <w:rFonts w:ascii="Times New Roman" w:cs="Times New Roman" w:eastAsia="Times New Roman" w:hAnsi="Times New Roman"/>
          <w:sz w:val="17"/>
          <w:szCs w:val="17"/>
          <w:color w:val="auto"/>
        </w:rPr>
        <w:t>Market acceptance of our drug candidates will depend on a number of factors, including: (i) potential advantages over existing or alternative therapies or tests; (ii) the actual or perceived safety of similar classes of</w:t>
      </w:r>
    </w:p>
    <w:p>
      <w:pPr>
        <w:ind w:left="300" w:right="839"/>
        <w:spacing w:after="0" w:line="226" w:lineRule="auto"/>
        <w:rPr>
          <w:sz w:val="20"/>
          <w:szCs w:val="20"/>
          <w:color w:val="auto"/>
        </w:rPr>
      </w:pPr>
      <w:r>
        <w:rPr>
          <w:rFonts w:ascii="Times New Roman" w:cs="Times New Roman" w:eastAsia="Times New Roman" w:hAnsi="Times New Roman"/>
          <w:sz w:val="18"/>
          <w:szCs w:val="18"/>
          <w:color w:val="auto"/>
        </w:rPr>
        <w:t>products; (iii) the effectiveness of our sales, marketing, and distribution capabilities; and (iv) the scope of any approval provided by the FDA or foreign regulatory authorities.</w:t>
      </w:r>
    </w:p>
    <w:p>
      <w:pPr>
        <w:spacing w:after="0" w:line="49" w:lineRule="exact"/>
        <w:rPr>
          <w:sz w:val="20"/>
          <w:szCs w:val="20"/>
          <w:color w:val="auto"/>
        </w:rPr>
      </w:pPr>
    </w:p>
    <w:p>
      <w:pPr>
        <w:ind w:left="300" w:right="319" w:firstLine="441"/>
        <w:spacing w:after="0" w:line="250"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drugs and therapies enter the market and advanced technologies become available.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81" w:lineRule="exact"/>
        <w:rPr>
          <w:sz w:val="20"/>
          <w:szCs w:val="20"/>
          <w:color w:val="auto"/>
        </w:rPr>
      </w:pPr>
    </w:p>
    <w:p>
      <w:pPr>
        <w:ind w:left="300" w:right="799" w:firstLine="441"/>
        <w:spacing w:after="0" w:line="279" w:lineRule="auto"/>
        <w:rPr>
          <w:sz w:val="20"/>
          <w:szCs w:val="20"/>
          <w:color w:val="auto"/>
        </w:rPr>
      </w:pPr>
      <w:r>
        <w:rPr>
          <w:rFonts w:ascii="Times New Roman" w:cs="Times New Roman" w:eastAsia="Times New Roman" w:hAnsi="Times New Roman"/>
          <w:sz w:val="17"/>
          <w:szCs w:val="17"/>
          <w:color w:val="auto"/>
        </w:rPr>
        <w:t>Companies operating in the pharmaceutical industry are subject to increased scrutiny by the competent authorities and must deal with an ever-changing and increasingly restrictive legal and regulatory environment.</w:t>
      </w:r>
    </w:p>
    <w:p>
      <w:pPr>
        <w:spacing w:after="0" w:line="18"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8"/>
          <w:szCs w:val="18"/>
          <w:color w:val="auto"/>
        </w:rPr>
        <w:t>The development of drugs involves several stages: research and development, preclinical tests, clinical trials, authorization, manufacturing, commercialization and post-marketing surveillance.</w:t>
      </w:r>
    </w:p>
    <w:p>
      <w:pPr>
        <w:spacing w:after="0" w:line="64" w:lineRule="exact"/>
        <w:rPr>
          <w:sz w:val="20"/>
          <w:szCs w:val="20"/>
          <w:color w:val="auto"/>
        </w:rPr>
      </w:pPr>
    </w:p>
    <w:p>
      <w:pPr>
        <w:ind w:left="300" w:right="339" w:firstLine="441"/>
        <w:spacing w:after="0" w:line="226" w:lineRule="auto"/>
        <w:rPr>
          <w:sz w:val="20"/>
          <w:szCs w:val="20"/>
          <w:color w:val="auto"/>
        </w:rPr>
      </w:pPr>
      <w:r>
        <w:rPr>
          <w:rFonts w:ascii="Times New Roman" w:cs="Times New Roman" w:eastAsia="Times New Roman" w:hAnsi="Times New Roman"/>
          <w:sz w:val="18"/>
          <w:szCs w:val="18"/>
          <w:color w:val="auto"/>
        </w:rPr>
        <w:t>All of these stages are subject to specific requirements that impose substantial and onerous constraints, compliance with which is ensured by various national (in France, the ANSM), regional (in the EU, the EMA and the national competent authorities of EU Member States) or federal (in the United States, the FDA) authorities.</w:t>
      </w:r>
    </w:p>
    <w:p>
      <w:pPr>
        <w:spacing w:after="0" w:line="63"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Failure to comply with these regulations may be subject to fines, to the suspension, variation or withdrawal of the authorizations and certifications required to perform pharmaceutical activities, to the seizure or withdrawal of products from the market, or to partial or total suspension of their manufacturing. Regulatory authorities may also</w:t>
      </w: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withdraw marketing authorizations (“MAs”) previously granted, reject MA applications (“MAAs”) and initiate legal proceedings whose outcome remains uncertain.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Although the regulatory constraints may differ from a country to another, development of therapeutic products</w:t>
      </w:r>
    </w:p>
    <w:p>
      <w:pPr>
        <w:spacing w:after="0" w:line="14"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for human use must comply with requirements shared by all developed countries. The steps to be completed before obtaining an MA in the EU and in the United States are generally as follows:</w:t>
      </w:r>
    </w:p>
    <w:p>
      <w:pPr>
        <w:spacing w:after="0" w:line="49" w:lineRule="exact"/>
        <w:rPr>
          <w:sz w:val="20"/>
          <w:szCs w:val="20"/>
          <w:color w:val="auto"/>
        </w:rPr>
      </w:pPr>
    </w:p>
    <w:p>
      <w:pPr>
        <w:ind w:left="1280" w:right="639" w:hanging="328"/>
        <w:spacing w:after="0" w:line="250"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preclinical laboratory tests and studies in animals, in accordance with Good Laboratory Practice (“GLP”);</w:t>
      </w:r>
    </w:p>
    <w:p>
      <w:pPr>
        <w:spacing w:after="0" w:line="41" w:lineRule="exact"/>
        <w:rPr>
          <w:rFonts w:ascii="Times New Roman" w:cs="Times New Roman" w:eastAsia="Times New Roman" w:hAnsi="Times New Roman"/>
          <w:sz w:val="18"/>
          <w:szCs w:val="18"/>
          <w:color w:val="auto"/>
        </w:rPr>
      </w:pPr>
    </w:p>
    <w:p>
      <w:pPr>
        <w:ind w:left="1280" w:right="619" w:hanging="328"/>
        <w:spacing w:after="0" w:line="231"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clinical trials in humans to demonstrate the safety and efficacy of the product for each considered indication, in accordance with Good Clinical Practice (“GCP”), after authorization by a competent authority and a positive ethics committee opinion;</w:t>
      </w:r>
    </w:p>
    <w:p>
      <w:pPr>
        <w:spacing w:after="0" w:line="50" w:lineRule="exact"/>
        <w:rPr>
          <w:rFonts w:ascii="Times New Roman" w:cs="Times New Roman" w:eastAsia="Times New Roman" w:hAnsi="Times New Roman"/>
          <w:sz w:val="18"/>
          <w:szCs w:val="18"/>
          <w:color w:val="auto"/>
        </w:rPr>
      </w:pPr>
    </w:p>
    <w:p>
      <w:pPr>
        <w:ind w:left="1280" w:right="379" w:hanging="328"/>
        <w:spacing w:after="0" w:line="23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trial results are positive, preparation and submission of an MAA to the competent authority, in order to market the product;</w:t>
      </w:r>
    </w:p>
    <w:p>
      <w:pPr>
        <w:spacing w:after="0" w:line="50" w:lineRule="exact"/>
        <w:rPr>
          <w:rFonts w:ascii="Times New Roman" w:cs="Times New Roman" w:eastAsia="Times New Roman" w:hAnsi="Times New Roman"/>
          <w:sz w:val="18"/>
          <w:szCs w:val="18"/>
          <w:color w:val="auto"/>
        </w:rPr>
      </w:pPr>
    </w:p>
    <w:p>
      <w:pPr>
        <w:ind w:left="1280" w:right="559" w:hanging="328"/>
        <w:spacing w:after="0" w:line="263" w:lineRule="auto"/>
        <w:tabs>
          <w:tab w:leader="none" w:pos="12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by the competent authority of the manufacturing facilities in which the product and/or its ingredients are manufactured to assess compliance with Good Manufacturing Practices (“GMP”);</w:t>
      </w:r>
    </w:p>
    <w:p>
      <w:pPr>
        <w:spacing w:after="0" w:line="44" w:lineRule="exact"/>
        <w:rPr>
          <w:rFonts w:ascii="Times New Roman" w:cs="Times New Roman" w:eastAsia="Times New Roman" w:hAnsi="Times New Roman"/>
          <w:sz w:val="17"/>
          <w:szCs w:val="17"/>
          <w:color w:val="auto"/>
        </w:rPr>
      </w:pPr>
    </w:p>
    <w:p>
      <w:pPr>
        <w:ind w:left="1280" w:right="639" w:hanging="328"/>
        <w:spacing w:after="0" w:line="23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by the competent authority of establishments distributing medicinal products in order to assess their compliance with Good Distribution Practice (“GDP”); and</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needed, commitment by the applicant to comply with post-MA requirements.</w:t>
      </w:r>
    </w:p>
    <w:p>
      <w:pPr>
        <w:spacing w:after="0" w:line="90" w:lineRule="exact"/>
        <w:rPr>
          <w:sz w:val="20"/>
          <w:szCs w:val="20"/>
          <w:color w:val="auto"/>
        </w:rPr>
      </w:pPr>
    </w:p>
    <w:p>
      <w:pPr>
        <w:ind w:left="300" w:right="359" w:firstLine="441"/>
        <w:spacing w:after="0" w:line="263" w:lineRule="auto"/>
        <w:rPr>
          <w:sz w:val="20"/>
          <w:szCs w:val="20"/>
          <w:color w:val="auto"/>
        </w:rPr>
      </w:pPr>
      <w:r>
        <w:rPr>
          <w:rFonts w:ascii="Times New Roman" w:cs="Times New Roman" w:eastAsia="Times New Roman" w:hAnsi="Times New Roman"/>
          <w:sz w:val="17"/>
          <w:szCs w:val="17"/>
          <w:color w:val="auto"/>
        </w:rPr>
        <w:t>Due to these regulatory constraints, the development and approval process of a drug candidate for commercialization, which varies according to its nature, complexity and novelty, usually extends over several years.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EU Regulation</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79"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Within all EU Member States, preclinical studies include laboratory evaluation of the composition, purity and stability of the active pharmaceutical ingredient and the formulated product, as well as studies to evaluate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tolerance (toxicological studies), activity and behavior of the product candidate in vitro and in animals (in vivo).</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The conduct of preclinical studies is subject to legal and regulatory provisions. Non-clinical studies are performed to demonstrate the health or environmental safety of new chemical or biological substances. Non-clinical</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(pharmaco-toxicological) studies must be conducted in compliance with GLP, as set forth in EU Directive 2004/10/ EC (unless otherwise justified for certain particular medicinal products – e.g., radio-pharmaceutical precursors for radio-labelling purposes). In particular, non-clinical studies, both in vitro and in vivo, must be planned, performed,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monitored, recorded, reported and archived in accordance with the GLP principles, which define a set of rules and</w:t>
      </w:r>
    </w:p>
    <w:p>
      <w:pPr>
        <w:sectPr>
          <w:pgSz w:w="11900" w:h="16838" w:orient="portrait"/>
          <w:cols w:equalWidth="0" w:num="1">
            <w:col w:w="9019"/>
          </w:cols>
          <w:pgMar w:left="1440" w:top="9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96" w:right="1440" w:bottom="0" w:gutter="0" w:footer="0" w:header="0"/>
          <w:type w:val="continuous"/>
        </w:sectPr>
      </w:pPr>
    </w:p>
    <w:bookmarkStart w:id="60" w:name="page61"/>
    <w:bookmarkEnd w:id="6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ind w:left="300" w:right="599"/>
        <w:spacing w:after="0" w:line="237" w:lineRule="auto"/>
        <w:rPr>
          <w:sz w:val="20"/>
          <w:szCs w:val="20"/>
          <w:color w:val="auto"/>
        </w:rPr>
      </w:pPr>
      <w:r>
        <w:rPr>
          <w:rFonts w:ascii="Times New Roman" w:cs="Times New Roman" w:eastAsia="Times New Roman" w:hAnsi="Times New Roman"/>
          <w:sz w:val="18"/>
          <w:szCs w:val="18"/>
          <w:color w:val="auto"/>
        </w:rPr>
        <w:t>criteria for a quality system for the organizational process and the conditions for non-clinical studies. These GLP standards reflect the Organization for Economic Co-operation and Development requirements.</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Preclinical studies are a prerequisite for the initiation of clinical trials in humans: all the results of these trials are submitted to the regulatory authorities at the same time as the application to initiate clinical trials. However, while preclinical tests must be performed prior to conducting clinical trials in humans, certain long-term preclinical</w:t>
      </w: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tests, such as tests on reproductive toxicity and carcinogenicity, may continue after the submission of an application to initiate clinical trials.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Trials in Humans</w:t>
      </w:r>
    </w:p>
    <w:p>
      <w:pPr>
        <w:spacing w:after="0" w:line="92" w:lineRule="exact"/>
        <w:rPr>
          <w:sz w:val="20"/>
          <w:szCs w:val="20"/>
          <w:color w:val="auto"/>
        </w:rPr>
      </w:pPr>
    </w:p>
    <w:p>
      <w:pPr>
        <w:ind w:left="300" w:right="319" w:firstLine="441"/>
        <w:spacing w:after="0" w:line="226" w:lineRule="auto"/>
        <w:rPr>
          <w:sz w:val="20"/>
          <w:szCs w:val="20"/>
          <w:color w:val="auto"/>
        </w:rPr>
      </w:pPr>
      <w:r>
        <w:rPr>
          <w:rFonts w:ascii="Times New Roman" w:cs="Times New Roman" w:eastAsia="Times New Roman" w:hAnsi="Times New Roman"/>
          <w:sz w:val="18"/>
          <w:szCs w:val="18"/>
          <w:color w:val="auto"/>
        </w:rPr>
        <w:t>The various phases of clinical trials in the EU are subject to significant regulatory controls. They must be conducted in accordance with EU and national regulations, the standards adopted by the International Conference on Harmonization (“ICH”) and GCP.</w:t>
      </w:r>
    </w:p>
    <w:p>
      <w:pPr>
        <w:spacing w:after="0" w:line="63" w:lineRule="exact"/>
        <w:rPr>
          <w:sz w:val="20"/>
          <w:szCs w:val="20"/>
          <w:color w:val="auto"/>
        </w:rPr>
      </w:pPr>
    </w:p>
    <w:p>
      <w:pPr>
        <w:jc w:val="both"/>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Directive no. 2001/20/EC on the conduct of clinical trials sought to harmonize the regulatory framework for clinical trials in the EU, setting out common rules for the monitoring and authorization of clinical trials in the EU. To reduce disparities between the transpositions by the Member States, Regulation 536/2014 on clinical trials on</w:t>
      </w:r>
    </w:p>
    <w:p>
      <w:pPr>
        <w:ind w:left="300" w:right="879"/>
        <w:spacing w:after="0" w:line="220" w:lineRule="auto"/>
        <w:rPr>
          <w:sz w:val="20"/>
          <w:szCs w:val="20"/>
          <w:color w:val="auto"/>
        </w:rPr>
      </w:pPr>
      <w:r>
        <w:rPr>
          <w:rFonts w:ascii="Times New Roman" w:cs="Times New Roman" w:eastAsia="Times New Roman" w:hAnsi="Times New Roman"/>
          <w:sz w:val="17"/>
          <w:szCs w:val="17"/>
          <w:color w:val="auto"/>
        </w:rPr>
        <w:t>medicinal products for human use and repealing Directive 2001/20/EC, was adopted on April 16, 2014. This regulation aims to further harmonize and streamline the clinical trial authorization process, improve their supervision, simplify adverse event reporting procedures and increase the transparency of clinical trials. This</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regulation became applicable on January 31, 2022. Following a three-year transition period, all clinical trials (including those ongoing and whose conduct was authorized in accordance with Directive no. 2001/20/EC), are fully subject to the provisions of the Regulation 536/2014 since January 31, 2025 and must have been brought into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compliance with the legal framework it provides. Failing this, the trial loses its authorization and must be stopped.</w:t>
      </w:r>
    </w:p>
    <w:p>
      <w:pPr>
        <w:spacing w:after="0" w:line="57" w:lineRule="exact"/>
        <w:rPr>
          <w:sz w:val="20"/>
          <w:szCs w:val="20"/>
          <w:color w:val="auto"/>
        </w:rPr>
      </w:pPr>
    </w:p>
    <w:p>
      <w:pPr>
        <w:ind w:left="300" w:right="479" w:firstLine="445"/>
        <w:spacing w:after="0" w:line="222" w:lineRule="auto"/>
        <w:rPr>
          <w:sz w:val="20"/>
          <w:szCs w:val="20"/>
          <w:color w:val="auto"/>
        </w:rPr>
      </w:pPr>
      <w:r>
        <w:rPr>
          <w:rFonts w:ascii="Times New Roman" w:cs="Times New Roman" w:eastAsia="Times New Roman" w:hAnsi="Times New Roman"/>
          <w:sz w:val="18"/>
          <w:szCs w:val="18"/>
          <w:color w:val="auto"/>
        </w:rPr>
        <w:t>Under the clinical trials regulation, the sponsor may submit its application for a clinical trial authorization to one or several Member States, in which case the evaluation of Part I of the dossier (scientific part) is carried out</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according to a coordinated procedure. In this framework, the sponsor must submit a single application for authorization via the portal associated with the EU database (“CTIS”), comprising a common scientific part evaluated jointly by all the EU Member States in which the trial will be carried out (with one of the Member States</w:t>
      </w:r>
    </w:p>
    <w:p>
      <w:pPr>
        <w:spacing w:after="0" w:line="2" w:lineRule="exact"/>
        <w:rPr>
          <w:sz w:val="20"/>
          <w:szCs w:val="20"/>
          <w:color w:val="auto"/>
        </w:rPr>
      </w:pP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concerned acting as rapporteur Member State) and a national part covering the ethical aspects of the trial, evaluated independently by each Member State.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conclusion of the rapporteur Member State with regard to Part I of the assessment report is deemed to be</w:t>
      </w:r>
    </w:p>
    <w:p>
      <w:pPr>
        <w:spacing w:after="0" w:line="2" w:lineRule="exact"/>
        <w:rPr>
          <w:sz w:val="20"/>
          <w:szCs w:val="20"/>
          <w:color w:val="auto"/>
        </w:rPr>
      </w:pPr>
    </w:p>
    <w:p>
      <w:pPr>
        <w:ind w:left="300" w:right="619"/>
        <w:spacing w:after="0" w:line="220" w:lineRule="auto"/>
        <w:rPr>
          <w:sz w:val="20"/>
          <w:szCs w:val="20"/>
          <w:color w:val="auto"/>
        </w:rPr>
      </w:pPr>
      <w:r>
        <w:rPr>
          <w:rFonts w:ascii="Times New Roman" w:cs="Times New Roman" w:eastAsia="Times New Roman" w:hAnsi="Times New Roman"/>
          <w:sz w:val="17"/>
          <w:szCs w:val="17"/>
          <w:color w:val="auto"/>
        </w:rPr>
        <w:t>the conclusion of all Member States concerned. However, the Member States concerned may disagree with this conclusion for a number of limited reasons, for example when they consider that participation in the clinical trial would lead to a subject receiving a treatment inferior to that of normal clinical practice on their territory.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 State concerned may then refuse the conduct of the clinical trial on its territory.</w:t>
      </w:r>
    </w:p>
    <w:p>
      <w:pPr>
        <w:spacing w:after="0" w:line="57" w:lineRule="exact"/>
        <w:rPr>
          <w:sz w:val="20"/>
          <w:szCs w:val="20"/>
          <w:color w:val="auto"/>
        </w:rPr>
      </w:pPr>
    </w:p>
    <w:p>
      <w:pPr>
        <w:ind w:left="300" w:right="759" w:firstLine="441"/>
        <w:spacing w:after="0" w:line="237" w:lineRule="auto"/>
        <w:rPr>
          <w:sz w:val="20"/>
          <w:szCs w:val="20"/>
          <w:color w:val="auto"/>
        </w:rPr>
      </w:pPr>
      <w:r>
        <w:rPr>
          <w:rFonts w:ascii="Times New Roman" w:cs="Times New Roman" w:eastAsia="Times New Roman" w:hAnsi="Times New Roman"/>
          <w:sz w:val="18"/>
          <w:szCs w:val="18"/>
          <w:color w:val="auto"/>
        </w:rPr>
        <w:t>A “single” decision covering the conclusions of the Part I and Part II evaluations is issued by each of the Member States concerned and is notified to the sponsor on the dedicated European portal.</w:t>
      </w:r>
    </w:p>
    <w:p>
      <w:pPr>
        <w:spacing w:after="0" w:line="6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The sponsor of a clinical trial conducted in the EU notifies through the EudraVigilance database without delay and at the latest within the deadlines set by the clinical trials regulation, of all relevant information on suspected serious and unexpected adverse reactions to the investigational medicinal product. If the competent bodies</w:t>
      </w:r>
    </w:p>
    <w:p>
      <w:pPr>
        <w:ind w:left="300" w:right="1059"/>
        <w:spacing w:after="0" w:line="226" w:lineRule="auto"/>
        <w:rPr>
          <w:sz w:val="20"/>
          <w:szCs w:val="20"/>
          <w:color w:val="auto"/>
        </w:rPr>
      </w:pPr>
      <w:r>
        <w:rPr>
          <w:rFonts w:ascii="Times New Roman" w:cs="Times New Roman" w:eastAsia="Times New Roman" w:hAnsi="Times New Roman"/>
          <w:sz w:val="18"/>
          <w:szCs w:val="18"/>
          <w:color w:val="auto"/>
        </w:rPr>
        <w:t>concerned consider that the adverse effects outweigh the benefits for the participants, they may require the immediate suspension or early termination of the trial at any time.</w:t>
      </w:r>
    </w:p>
    <w:p>
      <w:pPr>
        <w:spacing w:after="0" w:line="49" w:lineRule="exact"/>
        <w:rPr>
          <w:sz w:val="20"/>
          <w:szCs w:val="20"/>
          <w:color w:val="auto"/>
        </w:rPr>
      </w:pPr>
    </w:p>
    <w:p>
      <w:pPr>
        <w:ind w:left="300" w:right="339" w:firstLine="441"/>
        <w:spacing w:after="0" w:line="250" w:lineRule="auto"/>
        <w:rPr>
          <w:sz w:val="20"/>
          <w:szCs w:val="20"/>
          <w:color w:val="auto"/>
        </w:rPr>
      </w:pPr>
      <w:r>
        <w:rPr>
          <w:rFonts w:ascii="Times New Roman" w:cs="Times New Roman" w:eastAsia="Times New Roman" w:hAnsi="Times New Roman"/>
          <w:sz w:val="18"/>
          <w:szCs w:val="18"/>
          <w:color w:val="auto"/>
        </w:rPr>
        <w:t>In addition, the sponsor must submit through CTIS once a year, for the duration of the clinical trial, an Annual Safety Report (ASR) for each investigational drug used in the clinical trial.</w:t>
      </w:r>
    </w:p>
    <w:p>
      <w:pPr>
        <w:spacing w:after="0" w:line="41" w:lineRule="exact"/>
        <w:rPr>
          <w:sz w:val="20"/>
          <w:szCs w:val="20"/>
          <w:color w:val="auto"/>
        </w:rPr>
      </w:pPr>
    </w:p>
    <w:p>
      <w:pPr>
        <w:ind w:left="300" w:right="619" w:firstLine="441"/>
        <w:spacing w:after="0" w:line="236" w:lineRule="auto"/>
        <w:rPr>
          <w:sz w:val="20"/>
          <w:szCs w:val="20"/>
          <w:color w:val="auto"/>
        </w:rPr>
      </w:pPr>
      <w:r>
        <w:rPr>
          <w:rFonts w:ascii="Times New Roman" w:cs="Times New Roman" w:eastAsia="Times New Roman" w:hAnsi="Times New Roman"/>
          <w:sz w:val="17"/>
          <w:szCs w:val="17"/>
          <w:color w:val="auto"/>
        </w:rPr>
        <w:t>Finally, the EU framework applicable to clinical trials has also been significantly strengthened with Regulation (EU) 2016/679 of the European Parliament and of the Council of April 27, 2016, on the protection of</w:t>
      </w: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natural persons with regard to the processing of personal data and on the free movement of such data, and repealing Directive 95/46/EC (General Data Protection Regulation, “GDPR”), which entered into force on May 25, 2018. This regulation has significantly increased EU citizens’ rights by giving them more control over their personal data. Thus,</w:t>
      </w:r>
    </w:p>
    <w:p>
      <w:pPr>
        <w:spacing w:after="0" w:line="2" w:lineRule="exact"/>
        <w:rPr>
          <w:sz w:val="20"/>
          <w:szCs w:val="20"/>
          <w:color w:val="auto"/>
        </w:rPr>
      </w:pPr>
    </w:p>
    <w:p>
      <w:pPr>
        <w:ind w:left="300" w:right="579"/>
        <w:spacing w:after="0" w:line="218" w:lineRule="auto"/>
        <w:rPr>
          <w:sz w:val="20"/>
          <w:szCs w:val="20"/>
          <w:color w:val="auto"/>
        </w:rPr>
      </w:pPr>
      <w:r>
        <w:rPr>
          <w:rFonts w:ascii="Times New Roman" w:cs="Times New Roman" w:eastAsia="Times New Roman" w:hAnsi="Times New Roman"/>
          <w:sz w:val="18"/>
          <w:szCs w:val="18"/>
          <w:color w:val="auto"/>
        </w:rPr>
        <w:t>depending on the type of personal data processing carried out during clinical trials and the nature of such trials, it might be necessary to carry out formalities by the local Data Protection Authority, in addition to seeking formal informed consent which must be obtained from each clinical trial subject.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Responsibility of the Sponsor and Insurance Obligation of the Sponsor</w:t>
      </w:r>
    </w:p>
    <w:p>
      <w:pPr>
        <w:spacing w:after="0" w:line="79"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In the EU, the sponsor shall indemnify the subjects of the trial in case of damage arising as a consequence of their participation in the research, unless he proves that the damage does not result from his fault or the fault of any</w:t>
      </w:r>
    </w:p>
    <w:p>
      <w:pPr>
        <w:ind w:left="300"/>
        <w:spacing w:after="0"/>
        <w:rPr>
          <w:sz w:val="20"/>
          <w:szCs w:val="20"/>
          <w:color w:val="auto"/>
        </w:rPr>
      </w:pPr>
      <w:r>
        <w:rPr>
          <w:rFonts w:ascii="Times New Roman" w:cs="Times New Roman" w:eastAsia="Times New Roman" w:hAnsi="Times New Roman"/>
          <w:sz w:val="18"/>
          <w:szCs w:val="18"/>
          <w:color w:val="auto"/>
        </w:rPr>
        <w:t>other person intervening in the trial. In the EU, Member States generally require a sponsor to have an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173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00" w:right="559"/>
        <w:spacing w:after="0" w:line="263" w:lineRule="auto"/>
        <w:rPr>
          <w:sz w:val="20"/>
          <w:szCs w:val="20"/>
          <w:color w:val="auto"/>
        </w:rPr>
      </w:pPr>
      <w:r>
        <w:rPr>
          <w:rFonts w:ascii="Times New Roman" w:cs="Times New Roman" w:eastAsia="Times New Roman" w:hAnsi="Times New Roman"/>
          <w:sz w:val="17"/>
          <w:szCs w:val="17"/>
          <w:color w:val="auto"/>
        </w:rPr>
        <w:t>covering its civil liability and the liability of any person intervening in the research. In addition, any breach to the provisions concerning clinical trials may lead to significant administrative, criminal and/or reputational penalties.</w:t>
      </w:r>
    </w:p>
    <w:p>
      <w:pPr>
        <w:sectPr>
          <w:pgSz w:w="11900" w:h="16838" w:orient="portrait"/>
          <w:cols w:equalWidth="0" w:num="1">
            <w:col w:w="9019"/>
          </w:cols>
          <w:pgMar w:left="1440" w:top="1440" w:right="1440" w:bottom="0" w:gutter="0" w:footer="0" w:header="0"/>
          <w:type w:val="continuous"/>
        </w:sectPr>
      </w:pPr>
    </w:p>
    <w:bookmarkStart w:id="61" w:name="page62"/>
    <w:bookmarkEnd w:id="6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888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79" w:lineRule="exact"/>
        <w:rPr>
          <w:sz w:val="20"/>
          <w:szCs w:val="20"/>
          <w:color w:val="auto"/>
        </w:rPr>
      </w:pPr>
    </w:p>
    <w:p>
      <w:pPr>
        <w:ind w:left="300" w:right="499" w:firstLine="441"/>
        <w:spacing w:after="0" w:line="237" w:lineRule="auto"/>
        <w:rPr>
          <w:sz w:val="20"/>
          <w:szCs w:val="20"/>
          <w:color w:val="auto"/>
        </w:rPr>
      </w:pPr>
      <w:r>
        <w:rPr>
          <w:rFonts w:ascii="Times New Roman" w:cs="Times New Roman" w:eastAsia="Times New Roman" w:hAnsi="Times New Roman"/>
          <w:sz w:val="18"/>
          <w:szCs w:val="18"/>
          <w:color w:val="auto"/>
        </w:rPr>
        <w:t>Within the EU, marketing of medicinal products is governed by EU regulations (including but not limited to Directive 2001/83/EC and Regulation 726/2004/EU).</w:t>
      </w:r>
    </w:p>
    <w:p>
      <w:pPr>
        <w:spacing w:after="0" w:line="64" w:lineRule="exact"/>
        <w:rPr>
          <w:sz w:val="20"/>
          <w:szCs w:val="20"/>
          <w:color w:val="auto"/>
        </w:rPr>
      </w:pPr>
    </w:p>
    <w:p>
      <w:pPr>
        <w:jc w:val="both"/>
        <w:ind w:left="300" w:right="459" w:firstLine="441"/>
        <w:spacing w:after="0" w:line="216" w:lineRule="auto"/>
        <w:rPr>
          <w:sz w:val="20"/>
          <w:szCs w:val="20"/>
          <w:color w:val="auto"/>
        </w:rPr>
      </w:pPr>
      <w:r>
        <w:rPr>
          <w:rFonts w:ascii="Times New Roman" w:cs="Times New Roman" w:eastAsia="Times New Roman" w:hAnsi="Times New Roman"/>
          <w:sz w:val="18"/>
          <w:szCs w:val="18"/>
          <w:color w:val="auto"/>
        </w:rPr>
        <w:t>On April 26, 2023, the European Commission issued proposals for a revision of the current legal framework aiming at granting timely access to patients for safe, effective and affordable medicines and at enhancing supply of medicines (namely, the pharma package). On December 11, 2025, the European Parliament and the EU Council</w:t>
      </w:r>
    </w:p>
    <w:p>
      <w:pPr>
        <w:spacing w:after="0" w:line="1" w:lineRule="exact"/>
        <w:rPr>
          <w:sz w:val="20"/>
          <w:szCs w:val="20"/>
          <w:color w:val="auto"/>
        </w:rPr>
      </w:pPr>
    </w:p>
    <w:p>
      <w:pPr>
        <w:jc w:val="both"/>
        <w:ind w:left="300" w:right="539"/>
        <w:spacing w:after="0" w:line="218" w:lineRule="auto"/>
        <w:rPr>
          <w:sz w:val="20"/>
          <w:szCs w:val="20"/>
          <w:color w:val="auto"/>
        </w:rPr>
      </w:pPr>
      <w:r>
        <w:rPr>
          <w:rFonts w:ascii="Times New Roman" w:cs="Times New Roman" w:eastAsia="Times New Roman" w:hAnsi="Times New Roman"/>
          <w:sz w:val="18"/>
          <w:szCs w:val="18"/>
          <w:color w:val="auto"/>
        </w:rPr>
        <w:t>reached political agreement on the reform. The new legal framework, which will significantly amend some of the general principles described above, notably timelines and market exclusivity periods, will enter into force in 2026 and will become fully applicable in 2028 after a transition phase.</w:t>
      </w:r>
    </w:p>
    <w:p>
      <w:pPr>
        <w:spacing w:after="0" w:line="239"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In the EU, medicinal product candidates can only be commercialized after obtaining an MA. To obtain regulatory approval of a product candidate under EU regulatory systems, we must submit an MAA. The process for</w:t>
      </w:r>
    </w:p>
    <w:p>
      <w:pPr>
        <w:ind w:left="300"/>
        <w:spacing w:after="0"/>
        <w:rPr>
          <w:sz w:val="20"/>
          <w:szCs w:val="20"/>
          <w:color w:val="auto"/>
        </w:rPr>
      </w:pPr>
      <w:r>
        <w:rPr>
          <w:rFonts w:ascii="Times New Roman" w:cs="Times New Roman" w:eastAsia="Times New Roman" w:hAnsi="Times New Roman"/>
          <w:sz w:val="18"/>
          <w:szCs w:val="18"/>
          <w:color w:val="auto"/>
        </w:rPr>
        <w:t>doing this depends, among other things, on the nature of the medicinal product. There are two types of MAs:</w:t>
      </w:r>
    </w:p>
    <w:p>
      <w:pPr>
        <w:spacing w:after="0" w:line="57" w:lineRule="exact"/>
        <w:rPr>
          <w:sz w:val="20"/>
          <w:szCs w:val="20"/>
          <w:color w:val="auto"/>
        </w:rPr>
      </w:pPr>
    </w:p>
    <w:p>
      <w:pPr>
        <w:jc w:val="both"/>
        <w:ind w:left="1280" w:right="399" w:hanging="328"/>
        <w:spacing w:after="0" w:line="231"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granted by the European Commission through the centralized procedure based on the opinion of the Committee for Medicinal Products for Human Use (“CHMP”) of the EMA. The MA issued under this procedure is valid in all EU Member States.</w:t>
      </w:r>
    </w:p>
    <w:p>
      <w:pPr>
        <w:spacing w:after="0" w:line="50" w:lineRule="exact"/>
        <w:rPr>
          <w:rFonts w:ascii="Times New Roman" w:cs="Times New Roman" w:eastAsia="Times New Roman" w:hAnsi="Times New Roman"/>
          <w:sz w:val="18"/>
          <w:szCs w:val="18"/>
          <w:color w:val="auto"/>
        </w:rPr>
      </w:pPr>
    </w:p>
    <w:p>
      <w:pPr>
        <w:ind w:left="1280" w:right="379" w:hanging="328"/>
        <w:spacing w:after="0" w:line="217"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procedure is compulsory for some types of medicinal products such as biotechnology products, designated orphan medicinal products, products containing a new active substance indicated for the treatment of AIDS, cancer, neurodegenerative disorders, diabetes or autoimmune and viral diseases, advanced therapy medicinal products (such as gene therapy, somatic cell therapy and tissue engineered products). The centralized procedure is optional for products containing a new active substance that has not yet been authorized in the EU or for products which present a significant therapeutic, scientific or technical innovation or are of interest for the public health in the EU.</w:t>
      </w:r>
    </w:p>
    <w:p>
      <w:pPr>
        <w:spacing w:after="0" w:line="53" w:lineRule="exact"/>
        <w:rPr>
          <w:rFonts w:ascii="Times New Roman" w:cs="Times New Roman" w:eastAsia="Times New Roman" w:hAnsi="Times New Roman"/>
          <w:sz w:val="18"/>
          <w:szCs w:val="18"/>
          <w:color w:val="auto"/>
        </w:rPr>
      </w:pPr>
    </w:p>
    <w:p>
      <w:pPr>
        <w:jc w:val="both"/>
        <w:ind w:left="1280" w:right="399" w:hanging="328"/>
        <w:spacing w:after="0" w:line="217"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at a national level by the competent authorities of the concerned Member States. They are valid only on their territory. National MAs can be issued for products that do not fall within the mandatory scope of the centralized procedure. Medicinal products which have not received a national MA in any of the Member States, may be authorized through the decentralized procedure.</w:t>
      </w:r>
    </w:p>
    <w:p>
      <w:pPr>
        <w:ind w:left="1280" w:right="339"/>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procedure enables the simultaneous issuance of national MAs in several EU countries. Under the decentralized procedure, an identical dossier is submitted to the competent authorities of each of the Member States in which an MA is sought. One of these Member States is designated by the applicant to act as the Reference Member State (“RMS”). The competent authority of the RMS drafts an assessment report and prepares an SmPC, a package leaflet and a draft labelling, which are sent to the other Member States involved in the procedure, known as the Concerned Member States (“CMS”), for approval. If no CMS raises any objections based on a potential serious risk to public health, a national MA is granted for the product in all Member States involved in the procedure (i.e., in the RMS and the CMS).</w:t>
      </w:r>
    </w:p>
    <w:p>
      <w:pPr>
        <w:spacing w:after="0" w:line="70" w:lineRule="exact"/>
        <w:rPr>
          <w:rFonts w:ascii="Times New Roman" w:cs="Times New Roman" w:eastAsia="Times New Roman" w:hAnsi="Times New Roman"/>
          <w:sz w:val="18"/>
          <w:szCs w:val="18"/>
          <w:color w:val="auto"/>
        </w:rPr>
      </w:pPr>
    </w:p>
    <w:p>
      <w:pPr>
        <w:ind w:left="1280" w:right="399"/>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product has already been authorized for marketing in an EU Member State, this national MA can be recognized in another Member State through the mutual recognition procedure. In this procedure, the Member State which issued the initial MA, known as the RMS, must prepare an assessment report on the medicinal product or update any existing report. This report is sent to the CMS, together with the approved SmPC and the labelling and package leaflet. Unless an objection based on a potential serious risk to public health is raised, the CMS issue(s) a national MA for the product, the terms of which are identical to the MA granted by the RMS.</w:t>
      </w:r>
    </w:p>
    <w:p>
      <w:pPr>
        <w:spacing w:after="0" w:line="53"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Depending on the procedure used, the EMA or the national competent authority(ies) must, before granting a MA, make an assessment of the benefit/risk ratio of the product based on scientific criteria of quality, safety of use</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and efficacy. Under the centralized procedure the maximum timeframe for the evaluation of an MAA by the EMA is 210 days, excluding clock stops. In exceptional cases, the CHMP might perform an accelerated review of an MAA in no more than 150 days (not including clock stops). Innovative products that target an unmet medical need and are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likely to be of major public health interest may be eligible for a number of expedited development and review programs, such as the Priority Medicines (“PRIME”) scheme, which provides incentives similar to the breakthrough therapy designation in the U.S. This program was launched by the EMA in March 2016, and aims at enhancing the</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EMA’s support for the development of medicines that target unmet medical needs. It is based on increased interaction through early dialogue with companies developing promising medicines, to optimize their development plans and speed up their evaluation to help them reach patients earlier. More specifically, product developers that</w:t>
      </w:r>
    </w:p>
    <w:p>
      <w:pPr>
        <w:spacing w:after="0" w:line="2" w:lineRule="exact"/>
        <w:rPr>
          <w:sz w:val="20"/>
          <w:szCs w:val="20"/>
          <w:color w:val="auto"/>
        </w:rPr>
      </w:pPr>
    </w:p>
    <w:p>
      <w:pPr>
        <w:ind w:left="300" w:right="459"/>
        <w:spacing w:after="0" w:line="239" w:lineRule="auto"/>
        <w:rPr>
          <w:sz w:val="20"/>
          <w:szCs w:val="20"/>
          <w:color w:val="auto"/>
        </w:rPr>
      </w:pPr>
      <w:r>
        <w:rPr>
          <w:rFonts w:ascii="Times New Roman" w:cs="Times New Roman" w:eastAsia="Times New Roman" w:hAnsi="Times New Roman"/>
          <w:sz w:val="17"/>
          <w:szCs w:val="17"/>
          <w:color w:val="auto"/>
        </w:rPr>
        <w:t>benefit from PRIME access can benefit from early and proactive regulatory dialogue with the EMA and frequent discussions on clinical trial designs and other development program elements. Importantly, a dedicated contact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545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679"/>
        <w:spacing w:after="0" w:line="236" w:lineRule="auto"/>
        <w:rPr>
          <w:sz w:val="20"/>
          <w:szCs w:val="20"/>
          <w:color w:val="auto"/>
        </w:rPr>
      </w:pPr>
      <w:r>
        <w:rPr>
          <w:rFonts w:ascii="Times New Roman" w:cs="Times New Roman" w:eastAsia="Times New Roman" w:hAnsi="Times New Roman"/>
          <w:sz w:val="17"/>
          <w:szCs w:val="17"/>
          <w:color w:val="auto"/>
        </w:rPr>
        <w:t>rapporteur from the CHMP is appointed early in the PRIME scheme facilitating increased understanding of the product at EMA’s committee level. A team of multidisciplinary experts at the EMA is also composed to provide</w:t>
      </w: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guidance on the overall development and regulatory strategies. Thus, PRIME access is intended at speeding up the assessment process of MAAs, without guarantee as to the outcome of the process.</w:t>
      </w:r>
    </w:p>
    <w:p>
      <w:pPr>
        <w:spacing w:after="0" w:line="49" w:lineRule="exact"/>
        <w:rPr>
          <w:sz w:val="20"/>
          <w:szCs w:val="20"/>
          <w:color w:val="auto"/>
        </w:rPr>
      </w:pPr>
    </w:p>
    <w:p>
      <w:pPr>
        <w:ind w:left="300" w:right="359" w:firstLine="441"/>
        <w:spacing w:after="0" w:line="250" w:lineRule="auto"/>
        <w:rPr>
          <w:sz w:val="20"/>
          <w:szCs w:val="20"/>
          <w:color w:val="auto"/>
        </w:rPr>
      </w:pPr>
      <w:r>
        <w:rPr>
          <w:rFonts w:ascii="Times New Roman" w:cs="Times New Roman" w:eastAsia="Times New Roman" w:hAnsi="Times New Roman"/>
          <w:sz w:val="18"/>
          <w:szCs w:val="18"/>
          <w:color w:val="auto"/>
        </w:rPr>
        <w:t>Moreover, in the EU, a conditional MA may be granted by the European Commission for a period of one year and is renewable annually.</w:t>
      </w:r>
    </w:p>
    <w:p>
      <w:pPr>
        <w:spacing w:after="0" w:line="41"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A conditional MA is granted in the absence of sufficient clinical data to obtain an ordinary MA if the following requirements are met: (i) the medicinal product is intended to treat, prevent or diagnose a fatal or seriously</w:t>
      </w: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debilitating disease, (ii) it fulfils to an unmet medical need, (iii) its benefit/risk ratio is, on the basis of the available data, positive, (iv) it is likely that the applicant will be able to provide the required comprehensive post-MA clinical data and (v) in terms of public health, the benefits of the product’s immediate availability to patients outweigh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risks inherent to the lack of sufficient clinical data.</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granting of a conditional MA is accompanied by specific obligations, in particular relating to the</w:t>
      </w:r>
    </w:p>
    <w:p>
      <w:pPr>
        <w:sectPr>
          <w:pgSz w:w="11900" w:h="16864" w:orient="portrait"/>
          <w:cols w:equalWidth="0" w:num="1">
            <w:col w:w="9019"/>
          </w:cols>
          <w:pgMar w:left="1440" w:top="241" w:right="1440" w:bottom="0" w:gutter="0" w:footer="0" w:header="0"/>
        </w:sectPr>
      </w:pPr>
    </w:p>
    <w:bookmarkStart w:id="62" w:name="page63"/>
    <w:bookmarkEnd w:id="62"/>
    <w:p>
      <w:pPr>
        <w:spacing w:after="0" w:line="11" w:lineRule="exact"/>
        <w:rPr>
          <w:sz w:val="20"/>
          <w:szCs w:val="20"/>
          <w:color w:val="auto"/>
        </w:rPr>
      </w:pPr>
    </w:p>
    <w:p>
      <w:pPr>
        <w:ind w:left="300" w:right="319"/>
        <w:spacing w:after="0" w:line="202" w:lineRule="auto"/>
        <w:rPr>
          <w:sz w:val="20"/>
          <w:szCs w:val="20"/>
          <w:color w:val="auto"/>
        </w:rPr>
      </w:pPr>
      <w:r>
        <w:rPr>
          <w:rFonts w:ascii="Times New Roman" w:cs="Times New Roman" w:eastAsia="Times New Roman" w:hAnsi="Times New Roman"/>
          <w:sz w:val="17"/>
          <w:szCs w:val="17"/>
          <w:color w:val="auto"/>
        </w:rPr>
        <w:t>completion of clinical trials, the performance of new studies and the collection of pharmacovigilance data in order to confirm the benefit/risk ratio of the product. Once the pending studies are provided, it can become an unconditional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-187960</wp:posOffset>
            </wp:positionV>
            <wp:extent cx="7016115" cy="6517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MA.</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MAs may also be granted under exceptional circumstances to medicinal products for which a complete</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evaluation file cannot be provided when the product’s indication is too rarely encountered and prevents the provision of comprehensive evidence, when the current state of scientific knowledge prevents the provision of such data or when the collection of the necessary data would be unethical. This MA is close to the conditional MA as it is</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reserved to medicinal products to be approved for severe diseases or unmet medical needs and the applicant does not hold the complete data set legally required for the grant of an ordinary MA. However, unlike the conditional MA, the applicant will not have to provide the missing data later. However, although the MA “under exceptional</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circumstances” is granted for the standard validity period of 5-year, the risk-benefit balance of the medicinal product is reviewed annually and the MA is withdrawn in case the risk-benefit ratio is no longer favorable.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Despite the granting of a MA, both the MA holder and the competent authorities may decide at any time to</w:t>
      </w:r>
    </w:p>
    <w:p>
      <w:pPr>
        <w:spacing w:after="0" w:line="2" w:lineRule="exact"/>
        <w:rPr>
          <w:sz w:val="20"/>
          <w:szCs w:val="20"/>
          <w:color w:val="auto"/>
        </w:rPr>
      </w:pPr>
    </w:p>
    <w:p>
      <w:pPr>
        <w:ind w:left="300" w:right="939"/>
        <w:spacing w:after="0" w:line="226" w:lineRule="auto"/>
        <w:rPr>
          <w:sz w:val="20"/>
          <w:szCs w:val="20"/>
          <w:color w:val="auto"/>
        </w:rPr>
      </w:pPr>
      <w:r>
        <w:rPr>
          <w:rFonts w:ascii="Times New Roman" w:cs="Times New Roman" w:eastAsia="Times New Roman" w:hAnsi="Times New Roman"/>
          <w:sz w:val="18"/>
          <w:szCs w:val="18"/>
          <w:color w:val="auto"/>
        </w:rPr>
        <w:t>withdraw (voluntarily or compulsorily) a product from the market or a MA, when it appears that the product presents more risks than benefits for the patients.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90"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In the EU, new products authorized for marketing on the basis of a complete file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reference products) generally receive eight years of data exclusivity and an additional two years of market exclusivity upon granting of the MA. The data exclusivity period prevents generic and biosimilar applicants from relying on the preclinical and</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clinical trial data contained in the dossier of the reference product when applying for a generic or biosimilar MA in the EU during a period of eight years from the date on which the reference product was first authorized in the EU. The market exclusivity period prevents generic or biosimilar from being commercialized in the EU until ten years</w:t>
      </w:r>
    </w:p>
    <w:p>
      <w:pPr>
        <w:spacing w:after="0" w:line="2" w:lineRule="exact"/>
        <w:rPr>
          <w:sz w:val="20"/>
          <w:szCs w:val="20"/>
          <w:color w:val="auto"/>
        </w:rPr>
      </w:pPr>
    </w:p>
    <w:p>
      <w:pPr>
        <w:jc w:val="both"/>
        <w:ind w:left="300" w:right="479"/>
        <w:spacing w:after="0" w:line="208" w:lineRule="auto"/>
        <w:rPr>
          <w:sz w:val="20"/>
          <w:szCs w:val="20"/>
          <w:color w:val="auto"/>
        </w:rPr>
      </w:pPr>
      <w:r>
        <w:rPr>
          <w:rFonts w:ascii="Times New Roman" w:cs="Times New Roman" w:eastAsia="Times New Roman" w:hAnsi="Times New Roman"/>
          <w:sz w:val="18"/>
          <w:szCs w:val="18"/>
          <w:color w:val="auto"/>
        </w:rPr>
        <w:t>have elapsed from the first MA of the reference product in the EU. The ten-year market exclusivity period can be extended to a maximum of eleven years if, during the first eight years of those ten years, the MA holder obtains an authorization for one or more new therapeutic indications, which, during the scientific evaluation prior to their</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authorization, are held to bring a significant clinical benefit in comparison with existing therapies. The pharma package will amend these principles: data exclusivity period will be granted for eight years, and may be extended for one additional year when the product addressed an unmet medical need at the time of the MA or, under specific</w:t>
      </w:r>
    </w:p>
    <w:p>
      <w:pPr>
        <w:spacing w:after="0" w:line="2" w:lineRule="exact"/>
        <w:rPr>
          <w:sz w:val="20"/>
          <w:szCs w:val="20"/>
          <w:color w:val="auto"/>
        </w:rPr>
      </w:pPr>
    </w:p>
    <w:p>
      <w:pPr>
        <w:jc w:val="both"/>
        <w:ind w:left="300" w:right="439"/>
        <w:spacing w:after="0" w:line="208" w:lineRule="auto"/>
        <w:rPr>
          <w:sz w:val="20"/>
          <w:szCs w:val="20"/>
          <w:color w:val="auto"/>
        </w:rPr>
      </w:pPr>
      <w:r>
        <w:rPr>
          <w:rFonts w:ascii="Times New Roman" w:cs="Times New Roman" w:eastAsia="Times New Roman" w:hAnsi="Times New Roman"/>
          <w:sz w:val="18"/>
          <w:szCs w:val="18"/>
          <w:color w:val="auto"/>
        </w:rPr>
        <w:t>circumstances, for medicinal products containing new actives substances, and for another additional one year when the MAH obtains a MA for one or more new therapeutic indications, during the regulatory data protection, which, during the scientific evaluation prior to their authorization, are held to bring a significant clinical benefit in</w:t>
      </w:r>
    </w:p>
    <w:p>
      <w:pPr>
        <w:spacing w:after="0" w:line="2"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comparison with existing therapies. In addition, the market exclusivity duration will be reduced as a principle to one year after the expiry of the data exclusivity period, and it can also be reduced if the company does not launch the product in all countries which so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79"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In the EU, MAAs for new medicinal products must include the results of studies conducted in the pediatric population, in compliance with a Pediatric Investigation Plan (“PIP”) agreed with the EMA’s Pediatric Committee</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(“PDCO”). The PIP sets out the timing and measures proposed to generate data to support a pediatric indication of the medicinal product for which MA is being sought. The PDCO can grant a deferral of the obligation to implement some or all of the measures of the PIP until there are sufficient data to demonstrate the efficacy and safety of the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 a significant therapeutic benefit over existing treatments for pediatric patients. Once the MA is obtained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9166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spacing w:after="0" w:line="236" w:lineRule="auto"/>
        <w:rPr>
          <w:sz w:val="20"/>
          <w:szCs w:val="20"/>
          <w:color w:val="auto"/>
        </w:rPr>
      </w:pPr>
      <w:r>
        <w:rPr>
          <w:rFonts w:ascii="Times New Roman" w:cs="Times New Roman" w:eastAsia="Times New Roman" w:hAnsi="Times New Roman"/>
          <w:sz w:val="17"/>
          <w:szCs w:val="17"/>
          <w:color w:val="auto"/>
        </w:rPr>
        <w:t>all the EU member states and study results are included in the product information, even when negative, the product is eligible for six months’ supplementary protection certificate extension (if any is in effect at the time of approval)</w:t>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or, in the case of orphan pharmaceutical products, a two-year extension of the orphan market exclusivity is granted. The pharma package removes the possibility to obtain a two-year extension of orphan market exclusivity for conducting research in compliance with a PIP.</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Manufacturing and Distribution-related Requirements</w:t>
      </w:r>
    </w:p>
    <w:p>
      <w:pPr>
        <w:spacing w:after="0" w:line="79"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To ensure patients’ safety, the manufacturing, distribution and import of active pharmaceutical ingredients and finished products into the EU are also subject to extensive requirements and both MA holders, manufacturers and</w:t>
      </w:r>
    </w:p>
    <w:p>
      <w:pPr>
        <w:ind w:left="300" w:right="679"/>
        <w:spacing w:after="0" w:line="226" w:lineRule="auto"/>
        <w:rPr>
          <w:sz w:val="20"/>
          <w:szCs w:val="20"/>
          <w:color w:val="auto"/>
        </w:rPr>
      </w:pPr>
      <w:r>
        <w:rPr>
          <w:rFonts w:ascii="Times New Roman" w:cs="Times New Roman" w:eastAsia="Times New Roman" w:hAnsi="Times New Roman"/>
          <w:sz w:val="18"/>
          <w:szCs w:val="18"/>
          <w:color w:val="auto"/>
        </w:rPr>
        <w:t>distributors of medicinal products are subject to comprehensive regulatory oversight by the EMA, the European Commission and/or the competent regulatory authorities of the Member States.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Medicines (including their active substances) must be manufactured in accordance with GMP requirements.</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These regulations govern manufacturing processes and procedures, and notably provide for requirements relating to the implementation of quality systems to control and ensure the quality of materials and products. Manufacturing activities must be performed only within companies holding valid licenses from the competent regulatory authorities</w:t>
      </w:r>
    </w:p>
    <w:p>
      <w:pPr>
        <w:spacing w:after="0" w:line="2" w:lineRule="exact"/>
        <w:rPr>
          <w:sz w:val="20"/>
          <w:szCs w:val="20"/>
          <w:color w:val="auto"/>
        </w:rPr>
      </w:pPr>
    </w:p>
    <w:p>
      <w:pPr>
        <w:ind w:left="300" w:right="919"/>
        <w:spacing w:after="0" w:line="226" w:lineRule="auto"/>
        <w:rPr>
          <w:sz w:val="20"/>
          <w:szCs w:val="20"/>
          <w:color w:val="auto"/>
        </w:rPr>
      </w:pPr>
      <w:r>
        <w:rPr>
          <w:rFonts w:ascii="Times New Roman" w:cs="Times New Roman" w:eastAsia="Times New Roman" w:hAnsi="Times New Roman"/>
          <w:sz w:val="18"/>
          <w:szCs w:val="18"/>
          <w:color w:val="auto"/>
        </w:rPr>
        <w:t>of the Member States which is issued following an inspection of the concerned facilities. In addition, routine inspections are conducted on a regularly basis to ensure that compliance is maintained.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Distributors must also comply with very strict requirements, including good distribution practices (“GDP”).</w:t>
      </w:r>
    </w:p>
    <w:p>
      <w:pPr>
        <w:ind w:left="300"/>
        <w:spacing w:after="0" w:line="205" w:lineRule="auto"/>
        <w:rPr>
          <w:sz w:val="20"/>
          <w:szCs w:val="20"/>
          <w:color w:val="auto"/>
        </w:rPr>
      </w:pPr>
      <w:r>
        <w:rPr>
          <w:rFonts w:ascii="Times New Roman" w:cs="Times New Roman" w:eastAsia="Times New Roman" w:hAnsi="Times New Roman"/>
          <w:sz w:val="18"/>
          <w:szCs w:val="18"/>
          <w:color w:val="auto"/>
        </w:rPr>
        <w:t>These regulations provide for strict requirements including the implementation of an effective quality system and</w:t>
      </w:r>
    </w:p>
    <w:p>
      <w:pPr>
        <w:ind w:left="300"/>
        <w:spacing w:after="0" w:line="204" w:lineRule="auto"/>
        <w:rPr>
          <w:sz w:val="20"/>
          <w:szCs w:val="20"/>
          <w:color w:val="auto"/>
        </w:rPr>
      </w:pPr>
      <w:r>
        <w:rPr>
          <w:rFonts w:ascii="Times New Roman" w:cs="Times New Roman" w:eastAsia="Times New Roman" w:hAnsi="Times New Roman"/>
          <w:sz w:val="18"/>
          <w:szCs w:val="18"/>
          <w:color w:val="auto"/>
        </w:rPr>
        <w:t>adequate procedures to ensure the quality of the products all over the distribution chain and efficiently respond to</w:t>
      </w:r>
    </w:p>
    <w:p>
      <w:pPr>
        <w:ind w:left="300"/>
        <w:spacing w:after="0" w:line="219" w:lineRule="auto"/>
        <w:rPr>
          <w:sz w:val="20"/>
          <w:szCs w:val="20"/>
          <w:color w:val="auto"/>
        </w:rPr>
      </w:pPr>
      <w:r>
        <w:rPr>
          <w:rFonts w:ascii="Times New Roman" w:cs="Times New Roman" w:eastAsia="Times New Roman" w:hAnsi="Times New Roman"/>
          <w:sz w:val="18"/>
          <w:szCs w:val="18"/>
          <w:color w:val="auto"/>
        </w:rPr>
        <w:t>claims, recalls, and risks of falsification, or the use of appropriate facilities, equipment and personnel. Similarly to</w:t>
      </w:r>
    </w:p>
    <w:p>
      <w:pPr>
        <w:ind w:left="300" w:right="359"/>
        <w:spacing w:after="0" w:line="231" w:lineRule="auto"/>
        <w:rPr>
          <w:sz w:val="20"/>
          <w:szCs w:val="20"/>
          <w:color w:val="auto"/>
        </w:rPr>
      </w:pPr>
      <w:r>
        <w:rPr>
          <w:rFonts w:ascii="Times New Roman" w:cs="Times New Roman" w:eastAsia="Times New Roman" w:hAnsi="Times New Roman"/>
          <w:sz w:val="17"/>
          <w:szCs w:val="17"/>
          <w:color w:val="auto"/>
        </w:rPr>
        <w:t>manufacturing, distribution activities are subject to a prior approval from the competent regulatory authorities of the Member States which is issued following an inspection of the concerned facilities which aims at ensuring that the establishment complies with the applicable regulations. Routine inspections are also conducted on a regularly basis.</w:t>
      </w:r>
    </w:p>
    <w:p>
      <w:pPr>
        <w:sectPr>
          <w:pgSz w:w="11900" w:h="16850" w:orient="portrait"/>
          <w:cols w:equalWidth="0" w:num="1">
            <w:col w:w="9019"/>
          </w:cols>
          <w:pgMar w:left="1440" w:top="108" w:right="1440" w:bottom="0" w:gutter="0" w:footer="0" w:header="0"/>
        </w:sectPr>
      </w:pPr>
    </w:p>
    <w:bookmarkStart w:id="63" w:name="page64"/>
    <w:bookmarkEnd w:id="63"/>
    <w:p>
      <w:pPr>
        <w:spacing w:after="0" w:line="86" w:lineRule="exact"/>
        <w:rPr>
          <w:sz w:val="20"/>
          <w:szCs w:val="20"/>
          <w:color w:val="auto"/>
        </w:rPr>
      </w:pPr>
    </w:p>
    <w:p>
      <w:pPr>
        <w:jc w:val="both"/>
        <w:ind w:left="300" w:right="399" w:firstLine="441"/>
        <w:spacing w:after="0" w:line="226" w:lineRule="auto"/>
        <w:rPr>
          <w:sz w:val="20"/>
          <w:szCs w:val="20"/>
          <w:color w:val="auto"/>
        </w:rPr>
      </w:pPr>
      <w:r>
        <w:rPr>
          <w:rFonts w:ascii="Times New Roman" w:cs="Times New Roman" w:eastAsia="Times New Roman" w:hAnsi="Times New Roman"/>
          <w:sz w:val="18"/>
          <w:szCs w:val="18"/>
          <w:color w:val="auto"/>
        </w:rPr>
        <w:t>Finally, the import of active pharmaceutical ingredients and medicines into the EU must also be authorized in advance, in order to ensure that the products are manufactured and distributed in accordance with standards at least equivalent to those existing for the EU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-367665</wp:posOffset>
            </wp:positionV>
            <wp:extent cx="7016115" cy="5145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spacing w:after="0" w:line="43" w:lineRule="exact"/>
        <w:rPr>
          <w:sz w:val="20"/>
          <w:szCs w:val="20"/>
          <w:color w:val="auto"/>
        </w:rPr>
      </w:pPr>
    </w:p>
    <w:p>
      <w:pPr>
        <w:ind w:left="300" w:right="399" w:firstLine="441"/>
        <w:spacing w:after="0" w:line="226" w:lineRule="auto"/>
        <w:rPr>
          <w:sz w:val="20"/>
          <w:szCs w:val="20"/>
          <w:color w:val="auto"/>
        </w:rPr>
      </w:pPr>
      <w:r>
        <w:rPr>
          <w:rFonts w:ascii="Times New Roman" w:cs="Times New Roman" w:eastAsia="Times New Roman" w:hAnsi="Times New Roman"/>
          <w:sz w:val="18"/>
          <w:szCs w:val="18"/>
          <w:color w:val="auto"/>
        </w:rPr>
        <w:t>Failure to comply with the above requirements may be sanctioned by the suspension or withdrawal of the manufacturing/distribution/import authorization, civil, criminal or administrative penalties, or the withdrawal of the concerned active ingredients and finished products from the market.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Pharmacovigilance Requirements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MA holder must establish and maintain a pharmacovigilance system and designate a Qualified Person</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Responsible for Pharmacovigilance (“QPPV”) who is responsible for the establishment and maintenance of that system, and oversees the safety profiles of medicinal products and any emerging safety concerns. The main obligations of the QPPV include prompt reporting of suspected serious adverse reactions to competent authorities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submission of periodic pharmacovigilance update reports (“PSURs”).</w:t>
      </w:r>
    </w:p>
    <w:p>
      <w:pPr>
        <w:spacing w:after="0" w:line="57" w:lineRule="exact"/>
        <w:rPr>
          <w:sz w:val="20"/>
          <w:szCs w:val="20"/>
          <w:color w:val="auto"/>
        </w:rPr>
      </w:pPr>
    </w:p>
    <w:p>
      <w:pPr>
        <w:ind w:left="300" w:right="339" w:firstLine="445"/>
        <w:spacing w:after="0" w:line="236" w:lineRule="auto"/>
        <w:rPr>
          <w:sz w:val="20"/>
          <w:szCs w:val="20"/>
          <w:color w:val="auto"/>
        </w:rPr>
      </w:pPr>
      <w:r>
        <w:rPr>
          <w:rFonts w:ascii="Times New Roman" w:cs="Times New Roman" w:eastAsia="Times New Roman" w:hAnsi="Times New Roman"/>
          <w:sz w:val="17"/>
          <w:szCs w:val="17"/>
          <w:color w:val="auto"/>
        </w:rPr>
        <w:t>All new MAA must include a risk management plan (“RMP”) describing the risk management system that the company will put in place and setting out measures to prevent or minimize the risks associated with the medicinal</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product. The regulatory authorities may also issue an MA subject to the fulfillment of specific obligations. These risk reduction measures or post-authorization obligations may consist, in particular, of reinforced safety monitoring, more frequent submission of PSURs, the conduct of additional clinical trials or the performance of post-</w:t>
      </w:r>
    </w:p>
    <w:p>
      <w:pPr>
        <w:spacing w:after="0" w:line="2" w:lineRule="exact"/>
        <w:rPr>
          <w:sz w:val="20"/>
          <w:szCs w:val="20"/>
          <w:color w:val="auto"/>
        </w:rPr>
      </w:pPr>
    </w:p>
    <w:p>
      <w:pPr>
        <w:ind w:left="300" w:right="939"/>
        <w:spacing w:after="0" w:line="226" w:lineRule="auto"/>
        <w:rPr>
          <w:sz w:val="20"/>
          <w:szCs w:val="20"/>
          <w:color w:val="auto"/>
        </w:rPr>
      </w:pPr>
      <w:r>
        <w:rPr>
          <w:rFonts w:ascii="Times New Roman" w:cs="Times New Roman" w:eastAsia="Times New Roman" w:hAnsi="Times New Roman"/>
          <w:sz w:val="18"/>
          <w:szCs w:val="18"/>
          <w:color w:val="auto"/>
        </w:rPr>
        <w:t>authorization safety studies. The pharma package will limit the RMP requirement for generic and biosimilar products, as well as for hybrid and bio-hybrid medicinal products.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 Requirements</w:t>
      </w:r>
    </w:p>
    <w:p>
      <w:pPr>
        <w:spacing w:after="0" w:line="92"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In the EU, the advertising and promotion of medicinal products is also subject to laws concerning promotion of medicinal products, interactions with healthcare professionals, misleading and comparative advertising and unfair commercial practices. The general principles applicable to the advertising of medicines, which is broadly defined as</w:t>
      </w:r>
    </w:p>
    <w:p>
      <w:pPr>
        <w:ind w:left="300" w:right="759"/>
        <w:spacing w:after="0" w:line="226" w:lineRule="auto"/>
        <w:rPr>
          <w:sz w:val="20"/>
          <w:szCs w:val="20"/>
          <w:color w:val="auto"/>
        </w:rPr>
      </w:pPr>
      <w:r>
        <w:rPr>
          <w:rFonts w:ascii="Times New Roman" w:cs="Times New Roman" w:eastAsia="Times New Roman" w:hAnsi="Times New Roman"/>
          <w:sz w:val="18"/>
          <w:szCs w:val="18"/>
          <w:color w:val="auto"/>
        </w:rPr>
        <w:t>any form of door-to-door information, canvassing activity or inducement designed to promote the prescription, supply, sale or consumption of medicinal products, are established by EU directive.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Any advertising or promotion of a medicinal product must comply with its approved SmPC. Consequently,</w:t>
      </w:r>
    </w:p>
    <w:p>
      <w:pPr>
        <w:spacing w:after="0" w:line="2" w:lineRule="exact"/>
        <w:rPr>
          <w:sz w:val="20"/>
          <w:szCs w:val="20"/>
          <w:color w:val="auto"/>
        </w:rPr>
      </w:pPr>
    </w:p>
    <w:p>
      <w:pPr>
        <w:ind w:left="300" w:right="699"/>
        <w:spacing w:after="0" w:line="231" w:lineRule="auto"/>
        <w:rPr>
          <w:sz w:val="20"/>
          <w:szCs w:val="20"/>
          <w:color w:val="auto"/>
        </w:rPr>
      </w:pPr>
      <w:r>
        <w:rPr>
          <w:rFonts w:ascii="Times New Roman" w:cs="Times New Roman" w:eastAsia="Times New Roman" w:hAnsi="Times New Roman"/>
          <w:sz w:val="17"/>
          <w:szCs w:val="17"/>
          <w:color w:val="auto"/>
        </w:rPr>
        <w:t>any promotion of off-label promotion is prohibited. Indeed, the advertising must encourage the proper use of medicines by presenting them objectively without exaggeration and thus, must not be misleading. Direct-to-consumer advertising of prescription medicines is also prohibited in the EU. Although general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2882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99"/>
        <w:spacing w:after="0" w:line="237" w:lineRule="auto"/>
        <w:rPr>
          <w:sz w:val="20"/>
          <w:szCs w:val="20"/>
          <w:color w:val="auto"/>
        </w:rPr>
      </w:pPr>
      <w:r>
        <w:rPr>
          <w:rFonts w:ascii="Times New Roman" w:cs="Times New Roman" w:eastAsia="Times New Roman" w:hAnsi="Times New Roman"/>
          <w:sz w:val="18"/>
          <w:szCs w:val="18"/>
          <w:color w:val="auto"/>
        </w:rPr>
        <w:t>advertising and promotion of medicinal products are established under EU directives, the details are governed by regulations in each Member State and can differ from one country to another.</w:t>
      </w:r>
    </w:p>
    <w:p>
      <w:pPr>
        <w:spacing w:after="0" w:line="64" w:lineRule="exact"/>
        <w:rPr>
          <w:sz w:val="20"/>
          <w:szCs w:val="20"/>
          <w:color w:val="auto"/>
        </w:rPr>
      </w:pPr>
    </w:p>
    <w:p>
      <w:pPr>
        <w:jc w:val="both"/>
        <w:ind w:left="300" w:right="459" w:firstLine="441"/>
        <w:spacing w:after="0" w:line="226" w:lineRule="auto"/>
        <w:rPr>
          <w:sz w:val="20"/>
          <w:szCs w:val="20"/>
          <w:color w:val="auto"/>
        </w:rPr>
      </w:pPr>
      <w:r>
        <w:rPr>
          <w:rFonts w:ascii="Times New Roman" w:cs="Times New Roman" w:eastAsia="Times New Roman" w:hAnsi="Times New Roman"/>
          <w:sz w:val="18"/>
          <w:szCs w:val="18"/>
          <w:color w:val="auto"/>
        </w:rPr>
        <w:t>Depending on the Member States, advertising-related regulatory requirements may be sanctioned notably by the suspension or withdrawal of regulatory authorizations, medicinal products recalls, medicinal products seizures, operating restrictions and even criminal and/or civil prosecution and significant financial sanctions.</w:t>
      </w:r>
    </w:p>
    <w:p>
      <w:pPr>
        <w:spacing w:after="0" w:line="63" w:lineRule="exact"/>
        <w:rPr>
          <w:sz w:val="20"/>
          <w:szCs w:val="20"/>
          <w:color w:val="auto"/>
        </w:rPr>
      </w:pPr>
    </w:p>
    <w:p>
      <w:pPr>
        <w:ind w:left="300" w:right="879" w:firstLine="441"/>
        <w:spacing w:after="0" w:line="237"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92" w:lineRule="exact"/>
        <w:rPr>
          <w:sz w:val="20"/>
          <w:szCs w:val="20"/>
          <w:color w:val="auto"/>
        </w:rPr>
      </w:pPr>
    </w:p>
    <w:p>
      <w:pPr>
        <w:ind w:left="300" w:right="1139" w:firstLine="441"/>
        <w:spacing w:after="0" w:line="237" w:lineRule="auto"/>
        <w:rPr>
          <w:sz w:val="20"/>
          <w:szCs w:val="20"/>
          <w:color w:val="auto"/>
        </w:rPr>
      </w:pPr>
      <w:r>
        <w:rPr>
          <w:rFonts w:ascii="Times New Roman" w:cs="Times New Roman" w:eastAsia="Times New Roman" w:hAnsi="Times New Roman"/>
          <w:sz w:val="18"/>
          <w:szCs w:val="18"/>
          <w:color w:val="auto"/>
        </w:rPr>
        <w:t>In the EU, pricing and reimbursement systems widely vary from one country to another and remain exclusively the responsibility of the Member States.</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Thus, Member States may restrict the range of medicines for which their national health insurance system</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provides reimbursement and control their price, provided that time limits for review of a reimbursement application provided in Directive 89/105/EEC of 21 December 1988 must be complied with.</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Some Member States use a system of positive and negative lists, whereby medicines can only be marketed</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after a reimbursement price has been agreed. Others may require additional studies comparing the cost-effectiveness of a medicinal product to existing therapies in order to obtain approval for reimbursement or pricing. Finally, Member States can agree to a set price or, instead, allow companies to set their own prices while having their profits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monitored and controlled (e.g., control of the quantity of prescriptions).</w:t>
      </w:r>
    </w:p>
    <w:p>
      <w:pPr>
        <w:spacing w:after="0" w:line="57"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Over the last few years, many EU Member States have increased the amount of rebates applied to medicinal products, and these efforts may continue as Member States exercise greater control over their healthcare spending</w:t>
      </w: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due to often large debts. The downward pressure on healthcare costs in general, including medicinal products subject to mandatory prescription, has become considerable. Changing political, economic and regulatory conditions can complicate price negotiations. This price negotiation can continue after reimbursement has been achieved and is</w:t>
      </w:r>
    </w:p>
    <w:p>
      <w:pPr>
        <w:spacing w:after="0" w:line="2" w:lineRule="exact"/>
        <w:rPr>
          <w:sz w:val="20"/>
          <w:szCs w:val="20"/>
          <w:color w:val="auto"/>
        </w:rPr>
      </w:pPr>
    </w:p>
    <w:p>
      <w:pPr>
        <w:jc w:val="both"/>
        <w:ind w:left="300" w:right="379"/>
        <w:spacing w:after="0" w:line="239" w:lineRule="auto"/>
        <w:rPr>
          <w:sz w:val="20"/>
          <w:szCs w:val="20"/>
          <w:color w:val="auto"/>
        </w:rPr>
      </w:pPr>
      <w:r>
        <w:rPr>
          <w:rFonts w:ascii="Times New Roman" w:cs="Times New Roman" w:eastAsia="Times New Roman" w:hAnsi="Times New Roman"/>
          <w:sz w:val="17"/>
          <w:szCs w:val="17"/>
          <w:color w:val="auto"/>
        </w:rPr>
        <w:t>generally subject to periodic reviews. Finally, reference prices used by various EU Member States and parallel trade (i.e., arbitrage by distributors between low and high price Member States) may also lead to further price reductions.</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Regulation”)</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amending Directive 2011/24/EU, was adopted. While the HTA Regulation entered into force in January 2022 it has only started to apply from January 12, 2025. Implementation is progressive. To date, it only applies to drugs containing new active substances for the treatment of cancer and advanced therapy drugs. This regulation intends to</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boost cooperation among EU Member States in assessing health technologies, in order to speed up the availability of innovative products on the EU market. The HTA Regulation permits EU Member States to use common HTA tools, methodologies, and procedures across the EU. It also provides for joint clinical assessment of the innovative health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technologies at the EU level, joint scientific consultations whereby developers can seek advice from HTA</w:t>
      </w:r>
    </w:p>
    <w:p>
      <w:pPr>
        <w:sectPr>
          <w:pgSz w:w="11900" w:h="16924" w:orient="portrait"/>
          <w:cols w:equalWidth="0" w:num="1">
            <w:col w:w="9019"/>
          </w:cols>
          <w:pgMar w:left="1440" w:top="135" w:right="1440" w:bottom="0" w:gutter="0" w:footer="0" w:header="0"/>
        </w:sectPr>
      </w:pPr>
    </w:p>
    <w:bookmarkStart w:id="64" w:name="page65"/>
    <w:bookmarkEnd w:id="64"/>
    <w:p>
      <w:pPr>
        <w:spacing w:after="0" w:line="11" w:lineRule="exact"/>
        <w:rPr>
          <w:sz w:val="20"/>
          <w:szCs w:val="20"/>
          <w:color w:val="auto"/>
        </w:rPr>
      </w:pPr>
    </w:p>
    <w:p>
      <w:pPr>
        <w:ind w:left="300" w:right="339"/>
        <w:spacing w:after="0" w:line="227" w:lineRule="auto"/>
        <w:rPr>
          <w:sz w:val="20"/>
          <w:szCs w:val="20"/>
          <w:color w:val="auto"/>
        </w:rPr>
      </w:pPr>
      <w:r>
        <w:rPr>
          <w:rFonts w:ascii="Times New Roman" w:cs="Times New Roman" w:eastAsia="Times New Roman" w:hAnsi="Times New Roman"/>
          <w:sz w:val="17"/>
          <w:szCs w:val="17"/>
          <w:color w:val="auto"/>
        </w:rPr>
        <w:t>authorities, and identification of emerging health technologies to identify promising technologies early. Nonetheless, individual EU Member States continue to be responsible for assessing non-clinical (e.g., economic, social, ethical)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-213995</wp:posOffset>
            </wp:positionV>
            <wp:extent cx="7016115" cy="37738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3773805"/>
                    </a:xfrm>
                    <a:prstGeom prst="rect">
                      <a:avLst/>
                    </a:prstGeom>
                    <a:noFill/>
                  </pic:spPr>
                </pic:pic>
              </a:graphicData>
            </a:graphic>
          </wp:anchor>
        </w:drawing>
      </w:r>
    </w:p>
    <w:p>
      <w:pPr>
        <w:ind w:left="300" w:right="1079"/>
        <w:spacing w:after="0" w:line="226" w:lineRule="auto"/>
        <w:rPr>
          <w:sz w:val="20"/>
          <w:szCs w:val="20"/>
          <w:color w:val="auto"/>
        </w:rPr>
      </w:pPr>
      <w:r>
        <w:rPr>
          <w:rFonts w:ascii="Times New Roman" w:cs="Times New Roman" w:eastAsia="Times New Roman" w:hAnsi="Times New Roman"/>
          <w:sz w:val="18"/>
          <w:szCs w:val="18"/>
          <w:color w:val="auto"/>
        </w:rPr>
        <w:t>aspects of health technology, and making decisions on pricing and reimbursement, provided they take into consideration the joint clinical assessment conducted at the EU level.</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92" w:lineRule="exact"/>
        <w:rPr>
          <w:sz w:val="20"/>
          <w:szCs w:val="20"/>
          <w:color w:val="auto"/>
        </w:rPr>
      </w:pPr>
    </w:p>
    <w:p>
      <w:pPr>
        <w:ind w:left="300" w:right="399" w:firstLine="441"/>
        <w:spacing w:after="0" w:line="226" w:lineRule="auto"/>
        <w:rPr>
          <w:sz w:val="20"/>
          <w:szCs w:val="20"/>
          <w:color w:val="auto"/>
        </w:rPr>
      </w:pPr>
      <w:r>
        <w:rPr>
          <w:rFonts w:ascii="Times New Roman" w:cs="Times New Roman" w:eastAsia="Times New Roman" w:hAnsi="Times New Roman"/>
          <w:sz w:val="18"/>
          <w:szCs w:val="18"/>
          <w:color w:val="auto"/>
        </w:rPr>
        <w:t>Relationships between the pharmaceutical industry and healthcare professionals are subject to national restrictions and regulations in order to avoid any incentive to use or prescribe health products that is not exclusively justified by the patient’s state of health and profile.</w:t>
      </w:r>
    </w:p>
    <w:p>
      <w:pPr>
        <w:spacing w:after="0" w:line="63" w:lineRule="exact"/>
        <w:rPr>
          <w:sz w:val="20"/>
          <w:szCs w:val="20"/>
          <w:color w:val="auto"/>
        </w:rPr>
      </w:pPr>
    </w:p>
    <w:p>
      <w:pPr>
        <w:ind w:left="300" w:right="539" w:firstLine="441"/>
        <w:spacing w:after="0" w:line="237" w:lineRule="auto"/>
        <w:rPr>
          <w:sz w:val="20"/>
          <w:szCs w:val="20"/>
          <w:color w:val="auto"/>
        </w:rPr>
      </w:pPr>
      <w:r>
        <w:rPr>
          <w:rFonts w:ascii="Times New Roman" w:cs="Times New Roman" w:eastAsia="Times New Roman" w:hAnsi="Times New Roman"/>
          <w:sz w:val="18"/>
          <w:szCs w:val="18"/>
          <w:color w:val="auto"/>
        </w:rPr>
        <w:t>For example, in France, relations between the industry and healthcare professionals practicing in France are governed by the “anti-gift” and “transparency” laws.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 way of principle, under the French anti-gift law, persons providing health services, manufacturing or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marketing healthcare products, regardless of their nationality and of the effective marketing of their health products on the French market, are prohibited from promising or offering advantages of any kind whatsoever, in cash or in kind, either directly or indirectly, to healthcare professionals practicing in France, students intending to enter such</w:t>
      </w:r>
    </w:p>
    <w:p>
      <w:pPr>
        <w:spacing w:after="0" w:line="2" w:lineRule="exact"/>
        <w:rPr>
          <w:sz w:val="20"/>
          <w:szCs w:val="20"/>
          <w:color w:val="auto"/>
        </w:rPr>
      </w:pPr>
    </w:p>
    <w:p>
      <w:pPr>
        <w:jc w:val="right"/>
        <w:ind w:left="300" w:right="779"/>
        <w:spacing w:after="0" w:line="266" w:lineRule="auto"/>
        <w:rPr>
          <w:sz w:val="20"/>
          <w:szCs w:val="20"/>
          <w:color w:val="auto"/>
        </w:rPr>
      </w:pPr>
      <w:r>
        <w:rPr>
          <w:rFonts w:ascii="Times New Roman" w:cs="Times New Roman" w:eastAsia="Times New Roman" w:hAnsi="Times New Roman"/>
          <w:sz w:val="18"/>
          <w:szCs w:val="18"/>
          <w:color w:val="auto"/>
        </w:rPr>
        <w:t>professions or associations of these individuals, including learned societies and national professional councils. The list of benefits that do that do not qualify as “advantages” under the anti-kickback regulation is very</w:t>
      </w:r>
    </w:p>
    <w:p>
      <w:pPr>
        <w:ind w:left="300" w:right="319"/>
        <w:spacing w:after="0" w:line="233" w:lineRule="auto"/>
        <w:rPr>
          <w:sz w:val="20"/>
          <w:szCs w:val="20"/>
          <w:color w:val="auto"/>
        </w:rPr>
      </w:pPr>
      <w:r>
        <w:rPr>
          <w:rFonts w:ascii="Times New Roman" w:cs="Times New Roman" w:eastAsia="Times New Roman" w:hAnsi="Times New Roman"/>
          <w:sz w:val="18"/>
          <w:szCs w:val="18"/>
          <w:color w:val="auto"/>
        </w:rPr>
        <w:t>limited and includes, for example, benefits that relate to the exercise of the beneficiary’s profession and of negligible value, which may not exceed the amounts provided for by a Ministerial Order.</w:t>
      </w:r>
    </w:p>
    <w:p>
      <w:pPr>
        <w:spacing w:after="0" w:line="51" w:lineRule="exact"/>
        <w:rPr>
          <w:sz w:val="20"/>
          <w:szCs w:val="20"/>
          <w:color w:val="auto"/>
        </w:rPr>
      </w:pPr>
    </w:p>
    <w:p>
      <w:pPr>
        <w:ind w:left="300" w:right="999" w:firstLine="441"/>
        <w:spacing w:after="0" w:line="263" w:lineRule="auto"/>
        <w:rPr>
          <w:sz w:val="20"/>
          <w:szCs w:val="20"/>
          <w:color w:val="auto"/>
        </w:rPr>
      </w:pPr>
      <w:r>
        <w:rPr>
          <w:rFonts w:ascii="Times New Roman" w:cs="Times New Roman" w:eastAsia="Times New Roman" w:hAnsi="Times New Roman"/>
          <w:sz w:val="17"/>
          <w:szCs w:val="17"/>
          <w:color w:val="auto"/>
        </w:rPr>
        <w:t>By way of exception, above-mentioned health stakeholders may provide advantages to the healthcare professionals/associations mentioned above, subject to the conclusion of a written agreement and to a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659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spacing w:after="0" w:line="237" w:lineRule="auto"/>
        <w:rPr>
          <w:sz w:val="20"/>
          <w:szCs w:val="20"/>
          <w:color w:val="auto"/>
        </w:rPr>
      </w:pPr>
      <w:r>
        <w:rPr>
          <w:rFonts w:ascii="Times New Roman" w:cs="Times New Roman" w:eastAsia="Times New Roman" w:hAnsi="Times New Roman"/>
          <w:sz w:val="18"/>
          <w:szCs w:val="18"/>
          <w:color w:val="auto"/>
        </w:rPr>
        <w:t>declaration to or approval from the authority or board to which the concerned beneficiary belongs, depending on the amount of advantages granted.</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This exception is however limited to specific situations mainly including:</w:t>
      </w:r>
    </w:p>
    <w:p>
      <w:pPr>
        <w:spacing w:after="0" w:line="77" w:lineRule="exact"/>
        <w:rPr>
          <w:sz w:val="20"/>
          <w:szCs w:val="20"/>
          <w:color w:val="auto"/>
        </w:rPr>
      </w:pPr>
    </w:p>
    <w:p>
      <w:pPr>
        <w:ind w:left="1280" w:right="539" w:hanging="328"/>
        <w:spacing w:after="0" w:line="224"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compensation and expenses for research activities, research promotion, scientific evaluation, consultancy, provision of services or commercial promotion, provided that the remuneration is proportionate to the service provided and that the compensation or expenses do not exceed the costs actually incurred by the persons concerned;</w:t>
      </w:r>
    </w:p>
    <w:p>
      <w:pPr>
        <w:spacing w:after="0" w:line="50" w:lineRule="exact"/>
        <w:rPr>
          <w:rFonts w:ascii="Times New Roman" w:cs="Times New Roman" w:eastAsia="Times New Roman" w:hAnsi="Times New Roman"/>
          <w:sz w:val="18"/>
          <w:szCs w:val="18"/>
          <w:color w:val="auto"/>
        </w:rPr>
      </w:pPr>
    </w:p>
    <w:p>
      <w:pPr>
        <w:ind w:left="1280" w:right="999" w:hanging="328"/>
        <w:spacing w:after="0" w:line="250"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Donations and gifts, in cash or in kind, exclusively intended to finance research activities, the promotion of research or scientific evaluation; or</w:t>
      </w:r>
    </w:p>
    <w:p>
      <w:pPr>
        <w:spacing w:after="0" w:line="41" w:lineRule="exact"/>
        <w:rPr>
          <w:rFonts w:ascii="Times New Roman" w:cs="Times New Roman" w:eastAsia="Times New Roman" w:hAnsi="Times New Roman"/>
          <w:sz w:val="18"/>
          <w:szCs w:val="18"/>
          <w:color w:val="auto"/>
        </w:rPr>
      </w:pPr>
    </w:p>
    <w:p>
      <w:pPr>
        <w:ind w:left="1280" w:right="499" w:hanging="328"/>
        <w:spacing w:after="0" w:line="247" w:lineRule="auto"/>
        <w:tabs>
          <w:tab w:leader="none" w:pos="12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Hospitality offered during events of an exclusively professional or scientific nature, or during events promoting healthcare products or services, provided that this hospitality is of a reasonable level, strictly limited to the main purpose of the event and to healthcare professionals (excluding students);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When failing to comply with this regulation, in addition to a significant risk to their reputation, the companies</w:t>
      </w:r>
    </w:p>
    <w:p>
      <w:pPr>
        <w:spacing w:after="0" w:line="2" w:lineRule="exact"/>
        <w:rPr>
          <w:sz w:val="20"/>
          <w:szCs w:val="20"/>
          <w:color w:val="auto"/>
        </w:rPr>
      </w:pPr>
    </w:p>
    <w:p>
      <w:pPr>
        <w:ind w:left="300" w:right="1179"/>
        <w:spacing w:after="0" w:line="226" w:lineRule="auto"/>
        <w:rPr>
          <w:sz w:val="20"/>
          <w:szCs w:val="20"/>
          <w:color w:val="auto"/>
        </w:rPr>
      </w:pPr>
      <w:r>
        <w:rPr>
          <w:rFonts w:ascii="Times New Roman" w:cs="Times New Roman" w:eastAsia="Times New Roman" w:hAnsi="Times New Roman"/>
          <w:sz w:val="18"/>
          <w:szCs w:val="18"/>
          <w:color w:val="auto"/>
        </w:rPr>
        <w:t>and professionals concerned may be subject to significant criminal penalties and, in the case of the latter, disciplinary penalties.</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French transparency provision, for its part, provides citizens with access to certain information on a</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website so that they can more objectively assess the direct and indirect relationships between health actors (i.e., a broad list including healthcare professionals, associations of healthcare professionals, students, associations of users of the health system, health establishments, academic institutions, foundations, learned societies and societies or</w:t>
      </w:r>
    </w:p>
    <w:p>
      <w:pPr>
        <w:spacing w:after="0" w:line="2" w:lineRule="exact"/>
        <w:rPr>
          <w:sz w:val="20"/>
          <w:szCs w:val="20"/>
          <w:color w:val="auto"/>
        </w:rPr>
      </w:pP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advisory bodies involved in the health product or health services sector, etc.) and companies producing or marketing health products or providing services associated with these products. Under the terms of this regulation, the companies concerned must disclose the main information relating to their relationships with healthcare</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professionals, such as compensation or benefits paid, and agreements entered into. Companies that knowingly fails to disclose such information may be subject to criminal penalties.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UK Regulation</w:t>
      </w:r>
    </w:p>
    <w:p>
      <w:pPr>
        <w:spacing w:after="0" w:line="94"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Since the end of the Brexit transition period on January 1, 2021, Great Britain (“GB”) (England, Scotland and Wales) has not been directly subject to EU laws. However, under the terms of the Ireland/Northern Ireland Protocol, EU laws have generally applied to Northern Ireland. On February 27, 2023, the UK government and the European</w:t>
      </w: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Commission reached a political agreement on the so-called “Windsor Framework” which is intended to revise the Ireland/Northern Ireland Protocol in order to address some of the perceived shortcomings in its operation. The agreement was adopted at the Withdrawal Agreement Joint Committee on March 24, 2023. If the changes are</w:t>
      </w:r>
    </w:p>
    <w:p>
      <w:pPr>
        <w:spacing w:after="0" w:line="2" w:lineRule="exact"/>
        <w:rPr>
          <w:sz w:val="20"/>
          <w:szCs w:val="20"/>
          <w:color w:val="auto"/>
        </w:rPr>
      </w:pPr>
    </w:p>
    <w:p>
      <w:pPr>
        <w:ind w:left="300" w:right="439"/>
        <w:spacing w:after="0" w:line="208" w:lineRule="auto"/>
        <w:rPr>
          <w:sz w:val="20"/>
          <w:szCs w:val="20"/>
          <w:color w:val="auto"/>
        </w:rPr>
      </w:pPr>
      <w:r>
        <w:rPr>
          <w:rFonts w:ascii="Times New Roman" w:cs="Times New Roman" w:eastAsia="Times New Roman" w:hAnsi="Times New Roman"/>
          <w:sz w:val="18"/>
          <w:szCs w:val="18"/>
          <w:color w:val="auto"/>
        </w:rPr>
        <w:t>adopted in the form proposed, medicinal products to be placed on the market in the UK will be authorized solely in accordance with UK laws. Northern Ireland would be reintegrated back into a UK-only regulatory environment under the authority of the MHRA with respect to all medicinal products. The implementation of the Windsor</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Framework would occur in various stages, with new arrangements relating to the supply of medicines into Northern Ireland anticipated to take effect in 2025.</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EU laws that have been transposed into United Kingdom (“UK”) law through secondary legislation</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remain applicable in Great Britain. However, new EU legislation that was either adopted or entered into application after Brexit such as the EU CTR is not applicable in Great Britain. The UK regulatory framework in relation to clinical trials is derived from previously existing EU legislation (as implemented into UK law, through secondary</w:t>
      </w:r>
    </w:p>
    <w:p>
      <w:pPr>
        <w:spacing w:after="0" w:line="2" w:lineRule="exact"/>
        <w:rPr>
          <w:sz w:val="20"/>
          <w:szCs w:val="20"/>
          <w:color w:val="auto"/>
        </w:rPr>
      </w:pPr>
    </w:p>
    <w:p>
      <w:pPr>
        <w:jc w:val="both"/>
        <w:ind w:left="300" w:right="379"/>
        <w:spacing w:after="0" w:line="231" w:lineRule="auto"/>
        <w:rPr>
          <w:sz w:val="20"/>
          <w:szCs w:val="20"/>
          <w:color w:val="auto"/>
        </w:rPr>
      </w:pPr>
      <w:r>
        <w:rPr>
          <w:rFonts w:ascii="Times New Roman" w:cs="Times New Roman" w:eastAsia="Times New Roman" w:hAnsi="Times New Roman"/>
          <w:sz w:val="17"/>
          <w:szCs w:val="17"/>
          <w:color w:val="auto"/>
        </w:rPr>
        <w:t>legislation). On January 17, 2022, the UK MHRA launched an 8-week consultation on reframing the UK legislation for clinical trials. The consultation closed on March 14, 2022, and aims to streamline clinical trial approvals, enable innovation, enhance clinical trials transparency, enable greater risk proportionality and promote patient and public</w:t>
      </w:r>
    </w:p>
    <w:p>
      <w:pPr>
        <w:sectPr>
          <w:pgSz w:w="11900" w:h="16850" w:orient="portrait"/>
          <w:cols w:equalWidth="0" w:num="1">
            <w:col w:w="9019"/>
          </w:cols>
          <w:pgMar w:left="1440" w:top="108" w:right="1440" w:bottom="0" w:gutter="0" w:footer="0" w:header="0"/>
        </w:sectPr>
      </w:pPr>
    </w:p>
    <w:bookmarkStart w:id="65" w:name="page66"/>
    <w:bookmarkEnd w:id="65"/>
    <w:p>
      <w:pPr>
        <w:jc w:val="both"/>
        <w:ind w:left="300" w:right="419"/>
        <w:spacing w:after="0" w:line="189" w:lineRule="auto"/>
        <w:rPr>
          <w:sz w:val="20"/>
          <w:szCs w:val="20"/>
          <w:color w:val="auto"/>
        </w:rPr>
      </w:pPr>
      <w:r>
        <w:rPr>
          <w:rFonts w:ascii="Times New Roman" w:cs="Times New Roman" w:eastAsia="Times New Roman" w:hAnsi="Times New Roman"/>
          <w:sz w:val="16"/>
          <w:szCs w:val="16"/>
          <w:color w:val="auto"/>
        </w:rPr>
        <w:t>involvement in clinical trials. The outcome of the consultation is being closely watched and will determine whether the UK chooses to align with the (EU) CTR or diverge from it. Under the terms of the Ireland/Northern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24022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2402205"/>
                    </a:xfrm>
                    <a:prstGeom prst="rect">
                      <a:avLst/>
                    </a:prstGeom>
                    <a:noFill/>
                  </pic:spPr>
                </pic:pic>
              </a:graphicData>
            </a:graphic>
          </wp:anchor>
        </w:drawing>
      </w:r>
    </w:p>
    <w:p>
      <w:pPr>
        <w:ind w:left="300" w:right="939"/>
        <w:spacing w:after="0" w:line="233" w:lineRule="auto"/>
        <w:rPr>
          <w:sz w:val="20"/>
          <w:szCs w:val="20"/>
          <w:color w:val="auto"/>
        </w:rPr>
      </w:pPr>
      <w:r>
        <w:rPr>
          <w:rFonts w:ascii="Times New Roman" w:cs="Times New Roman" w:eastAsia="Times New Roman" w:hAnsi="Times New Roman"/>
          <w:sz w:val="18"/>
          <w:szCs w:val="18"/>
          <w:color w:val="auto"/>
        </w:rPr>
        <w:t>Protocol, provisions of the EU CTR which relate to the manufacture and import of investigational medicinal products and auxiliary medicinal products currently apply in Northern Ireland.</w:t>
      </w:r>
    </w:p>
    <w:p>
      <w:pPr>
        <w:spacing w:after="0" w:line="51"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Since January 1, 2021, the MHRA has been the sole regulatory of medicines and medical devices in GB and for medicinal products that are not authorized through the centralized procedure in Northern Ireland. The MHRA</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free of charge on January 1, 2021, unless the MA holder opted-out. In order to use the centralized procedure to obtain an MA that will be valid throughout the EEA, companies must be established in the EEA. Therefore, since Brexit, companies established in the UK can no longer use the EU centralized procedure for authorization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medicinal products intended to be marketed in the UK. In order to obtain a UK MA to commercialize products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03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803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19"/>
        <w:spacing w:after="0" w:line="236" w:lineRule="auto"/>
        <w:rPr>
          <w:sz w:val="20"/>
          <w:szCs w:val="20"/>
          <w:color w:val="auto"/>
        </w:rPr>
      </w:pPr>
      <w:r>
        <w:rPr>
          <w:rFonts w:ascii="Times New Roman" w:cs="Times New Roman" w:eastAsia="Times New Roman" w:hAnsi="Times New Roman"/>
          <w:sz w:val="17"/>
          <w:szCs w:val="17"/>
          <w:color w:val="auto"/>
        </w:rPr>
        <w:t>UK, an applicant must be established in the UK and must follow one of the UK national authorization procedures or one of the remaining post-Brexit international cooperation procedures to obtain an MA to commercialize products in</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the UK. Until December 31, 2023, the MHRA may rely on a decision taken by the European Commission on the approval of a new (centralized procedure) MA when reviewing an application for authorization of a medicinal product to be supplied in GB. Depending on the nature and intended therapeutic purpose of the medicinal product,</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the MHRA may, alternatively, use its own decentralized or mutual recognition procedures which enable the MHRA to have regard to MAs approved in EU Member States, Iceland, Liechtenstein, and Norway when granting an MA in the UK or GB. From the first quarter of 2024, a new international recognition framework should be in place with an</w:t>
      </w:r>
    </w:p>
    <w:p>
      <w:pPr>
        <w:spacing w:after="0" w:line="2" w:lineRule="exact"/>
        <w:rPr>
          <w:sz w:val="20"/>
          <w:szCs w:val="20"/>
          <w:color w:val="auto"/>
        </w:rPr>
      </w:pP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aim to extend the countries whose assessments the MHRA will take into account. The UK government will need to adopt new legislation to introduce this route.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is no pre-MA orphan designation procedure. Applications for orphan designation are made at the same</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time as an application for MA and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designation be granted, the period or market exclusivity will be set from the date of first approval of the product in GB.</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9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(“FDCA”) and its implementing regulations. The process of obtaining regulatory approvals and the subsequent compliance with applicable federal, state, and local statutes and regulations requires the expenditure of substantial time and financial</w:t>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hold on a clinical trial, issuance of warning letters, product recalls, product seizures, total or partial suspension of production or distribution, injunctions, fines, refusals of government contracts, restitution, disgorgement or civil or criminal penalties.</w:t>
      </w:r>
    </w:p>
    <w:p>
      <w:pPr>
        <w:spacing w:after="0" w:line="64" w:lineRule="exact"/>
        <w:rPr>
          <w:sz w:val="20"/>
          <w:szCs w:val="20"/>
          <w:color w:val="auto"/>
        </w:rPr>
      </w:pPr>
    </w:p>
    <w:p>
      <w:pPr>
        <w:ind w:left="300" w:right="499" w:firstLine="441"/>
        <w:spacing w:after="0" w:line="237" w:lineRule="auto"/>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50" w:lineRule="exact"/>
        <w:rPr>
          <w:sz w:val="20"/>
          <w:szCs w:val="20"/>
          <w:color w:val="auto"/>
        </w:rPr>
      </w:pPr>
    </w:p>
    <w:p>
      <w:pPr>
        <w:ind w:left="1280" w:right="639" w:hanging="328"/>
        <w:spacing w:after="0" w:line="250" w:lineRule="auto"/>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studies, animal studies and formulation studies in compliance with the FDA’s GLP regulations, and other applicable regulations;</w:t>
      </w:r>
    </w:p>
    <w:p>
      <w:pPr>
        <w:spacing w:after="0" w:line="41" w:lineRule="exact"/>
        <w:rPr>
          <w:rFonts w:ascii="Times New Roman" w:cs="Times New Roman" w:eastAsia="Times New Roman" w:hAnsi="Times New Roman"/>
          <w:sz w:val="18"/>
          <w:szCs w:val="18"/>
          <w:color w:val="auto"/>
        </w:rPr>
      </w:pPr>
    </w:p>
    <w:p>
      <w:pPr>
        <w:ind w:left="1280" w:right="739" w:hanging="328"/>
        <w:spacing w:after="0" w:line="237" w:lineRule="auto"/>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63" w:lineRule="exact"/>
        <w:rPr>
          <w:rFonts w:ascii="Times New Roman" w:cs="Times New Roman" w:eastAsia="Times New Roman" w:hAnsi="Times New Roman"/>
          <w:sz w:val="18"/>
          <w:szCs w:val="18"/>
          <w:color w:val="auto"/>
        </w:rPr>
      </w:pPr>
    </w:p>
    <w:p>
      <w:pPr>
        <w:ind w:left="1280" w:right="519" w:hanging="328"/>
        <w:spacing w:after="0" w:line="237" w:lineRule="auto"/>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Institutional Review Board (“IRB”) or ethics committee, at each clinical site before each trial may be initiated;</w:t>
      </w:r>
    </w:p>
    <w:p>
      <w:pPr>
        <w:spacing w:after="0" w:line="50" w:lineRule="exact"/>
        <w:rPr>
          <w:rFonts w:ascii="Times New Roman" w:cs="Times New Roman" w:eastAsia="Times New Roman" w:hAnsi="Times New Roman"/>
          <w:sz w:val="18"/>
          <w:szCs w:val="18"/>
          <w:color w:val="auto"/>
        </w:rPr>
      </w:pPr>
    </w:p>
    <w:p>
      <w:pPr>
        <w:ind w:left="1280" w:right="339" w:hanging="328"/>
        <w:spacing w:after="0" w:line="279" w:lineRule="auto"/>
        <w:tabs>
          <w:tab w:leader="none" w:pos="12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GCP requirements to establish the safety and effectiveness of the proposed drug product for each indication;</w:t>
      </w:r>
    </w:p>
    <w:p>
      <w:pPr>
        <w:spacing w:after="0" w:line="18" w:lineRule="exact"/>
        <w:rPr>
          <w:rFonts w:ascii="Times New Roman" w:cs="Times New Roman" w:eastAsia="Times New Roman" w:hAnsi="Times New Roman"/>
          <w:sz w:val="17"/>
          <w:szCs w:val="17"/>
          <w:color w:val="auto"/>
        </w:rPr>
      </w:pPr>
    </w:p>
    <w:p>
      <w:pPr>
        <w:ind w:left="1280" w:hanging="328"/>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90" w:lineRule="exact"/>
        <w:rPr>
          <w:rFonts w:ascii="Times New Roman" w:cs="Times New Roman" w:eastAsia="Times New Roman" w:hAnsi="Times New Roman"/>
          <w:sz w:val="18"/>
          <w:szCs w:val="18"/>
          <w:color w:val="auto"/>
        </w:rPr>
      </w:pPr>
    </w:p>
    <w:p>
      <w:pPr>
        <w:ind w:left="1280" w:right="399" w:hanging="328"/>
        <w:spacing w:after="0" w:line="220" w:lineRule="auto"/>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potential inspection of selected clinical investigation sites to assess compliance with GCPs; and</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Preclinical Studies and INDs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Preclinical studies include laboratory evaluation of product chemistry, toxicity and formulation, as well as</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animal studies to assess potential safety and efficacy. An IND sponsor must submit the results of the preclinical studies, together with manufacturing information, analytical data and any available clinical data or literature, among other things, to the FDA as part of an IND. Some preclinical studies may continue even after the IND is submitted.</w:t>
      </w:r>
    </w:p>
    <w:p>
      <w:pPr>
        <w:spacing w:after="0" w:line="2" w:lineRule="exact"/>
        <w:rPr>
          <w:sz w:val="20"/>
          <w:szCs w:val="20"/>
          <w:color w:val="auto"/>
        </w:rPr>
      </w:pPr>
    </w:p>
    <w:p>
      <w:pPr>
        <w:ind w:left="300" w:right="339"/>
        <w:spacing w:after="0" w:line="231" w:lineRule="auto"/>
        <w:rPr>
          <w:sz w:val="20"/>
          <w:szCs w:val="20"/>
          <w:color w:val="auto"/>
        </w:rPr>
      </w:pPr>
      <w:r>
        <w:rPr>
          <w:rFonts w:ascii="Times New Roman" w:cs="Times New Roman" w:eastAsia="Times New Roman" w:hAnsi="Times New Roman"/>
          <w:sz w:val="17"/>
          <w:szCs w:val="17"/>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w:t>
      </w:r>
    </w:p>
    <w:p>
      <w:pPr>
        <w:sectPr>
          <w:pgSz w:w="11900" w:h="16838" w:orient="portrait"/>
          <w:cols w:equalWidth="0" w:num="1">
            <w:col w:w="9019"/>
          </w:cols>
          <w:pgMar w:left="1440" w:top="108" w:right="1440" w:bottom="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8"/>
          <w:szCs w:val="18"/>
          <w:color w:val="auto"/>
        </w:rPr>
        <w:t>As a result, submission of an IND may not result in the FDA allowing clinical trials to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1030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patients under the supervision of</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qualified investigators in accordance with GCP requirements, which include, among other things, the requirement that all research subjects provide their informed consent in writing for their participation in any clinical trial. Clinical trials are conducted under protocols detailing, among other things, the objectives of the trial, the parameters to be</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used in monitoring safety and the effectiveness criteria to be evaluated. A protocol for each clinical trial and any subsequent protocol amendments must be submitted to the FDA as part of the IND. In addition, the IRB(s) competent for the institution(s) participating in the clinical trial must review and approve the plan for any clinical</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trial before it commences. Information about certain clinical trials must be submitted within specific timeframes to the National Institutes of Health for public dissemination on their www.clinicaltrials.gov website.</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While the IND is active, progress reports detailing the results of the clinical trials and nonclinical studies</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drugs, findings from animal or in vitro testing suggesting a significant risk to humans, and any clinically important increased incidence of a serious suspected adverse reaction compared to that listed in the protocol or investigator brochure. Furthermore, the FDA or the sponsor may suspend or terminate a clinical trial at any time on various</w:t>
      </w:r>
    </w:p>
    <w:p>
      <w:pPr>
        <w:spacing w:after="0" w:line="2"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8"/>
          <w:szCs w:val="18"/>
          <w:color w:val="auto"/>
        </w:rPr>
        <w:t>grounds, including a finding that the research patients are being exposed to an unacceptable health risk. Similarly, an IRB can suspend or terminate approval of a clinical trial if the clinical trial is not being conducted in accordance with the IRB’s requirements or if the drug has been associated with unexpected serious harm to patients. In addition,</w:t>
      </w:r>
    </w:p>
    <w:p>
      <w:pPr>
        <w:spacing w:after="0" w:line="2" w:lineRule="exact"/>
        <w:rPr>
          <w:sz w:val="20"/>
          <w:szCs w:val="20"/>
          <w:color w:val="auto"/>
        </w:rPr>
      </w:pP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64" w:lineRule="exact"/>
        <w:rPr>
          <w:sz w:val="20"/>
          <w:szCs w:val="20"/>
          <w:color w:val="auto"/>
        </w:rPr>
      </w:pPr>
    </w:p>
    <w:p>
      <w:pPr>
        <w:ind w:left="300" w:right="559" w:firstLine="441"/>
        <w:spacing w:after="0" w:line="237" w:lineRule="auto"/>
        <w:rPr>
          <w:sz w:val="20"/>
          <w:szCs w:val="20"/>
          <w:color w:val="auto"/>
        </w:rPr>
      </w:pPr>
      <w:r>
        <w:rPr>
          <w:rFonts w:ascii="Times New Roman" w:cs="Times New Roman" w:eastAsia="Times New Roman" w:hAnsi="Times New Roman"/>
          <w:sz w:val="18"/>
          <w:szCs w:val="18"/>
          <w:color w:val="auto"/>
        </w:rPr>
        <w:t>For purposes of FDA approval, human clinical trials are generally conducted in three sequential phases that may overlap or be combined:</w:t>
      </w:r>
    </w:p>
    <w:p>
      <w:pPr>
        <w:spacing w:after="0" w:line="48" w:lineRule="exact"/>
        <w:rPr>
          <w:sz w:val="20"/>
          <w:szCs w:val="20"/>
          <w:color w:val="auto"/>
        </w:rPr>
      </w:pPr>
    </w:p>
    <w:p>
      <w:pPr>
        <w:jc w:val="both"/>
        <w:ind w:left="1280" w:right="479" w:hanging="328"/>
        <w:spacing w:after="0" w:line="232"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candidate is initially introduced into healthy human subjects and tested for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dosage tolerance, absorption, metabolism, distribution and excretion and, if possible, to gain an early indication of its effectiveness.</w:t>
      </w:r>
    </w:p>
    <w:p>
      <w:pPr>
        <w:spacing w:after="0" w:line="47" w:lineRule="exact"/>
        <w:rPr>
          <w:rFonts w:ascii="Times New Roman" w:cs="Times New Roman" w:eastAsia="Times New Roman" w:hAnsi="Times New Roman"/>
          <w:sz w:val="18"/>
          <w:szCs w:val="18"/>
          <w:color w:val="auto"/>
        </w:rPr>
      </w:pPr>
    </w:p>
    <w:p>
      <w:pPr>
        <w:ind w:left="1280" w:right="379" w:hanging="328"/>
        <w:spacing w:after="0" w:line="225"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drug candidate is administered to a limited patient population with a specified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to identify possible adverse effects and safety risks, to preliminarily evaluate the efficacy of the drug candidate for specific targeted diseases and to determine dosage tolerance and appropriate dosage.</w:t>
      </w:r>
    </w:p>
    <w:p>
      <w:pPr>
        <w:spacing w:after="0" w:line="60" w:lineRule="exact"/>
        <w:rPr>
          <w:rFonts w:ascii="Times New Roman" w:cs="Times New Roman" w:eastAsia="Times New Roman" w:hAnsi="Times New Roman"/>
          <w:sz w:val="18"/>
          <w:szCs w:val="18"/>
          <w:color w:val="auto"/>
        </w:rPr>
      </w:pPr>
    </w:p>
    <w:p>
      <w:pPr>
        <w:ind w:left="1280" w:right="479" w:hanging="328"/>
        <w:spacing w:after="0" w:line="238" w:lineRule="auto"/>
        <w:tabs>
          <w:tab w:leader="none" w:pos="1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The drug candidate is administered to an expanded patient population to further evaluate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dosage, to provide substantial evidence of efficacy and to further test for safety, generally at multiple geographically dispersed clinical trial sites. These clinical trials are intended to establish the overall risk-benefit ratio of the drug candidate and provide an adequate basis for product labeling.</w:t>
      </w:r>
    </w:p>
    <w:p>
      <w:pPr>
        <w:spacing w:after="0" w:line="50"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Post-approval trials, sometimes referred to as Phase 4 studies, may be conducted after initial marketing approval. These trials are used to, among other things, gain additional experience from the treatment of patients in</w:t>
      </w: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the intended therapeutic indication. In certain instances, the FDA may mandate the performance of Phase 4 clinical trials as a condition of approval of an NDA.</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additional information about the chemistry and physical characteristics of the drug and finalize a process for manufacturing the product in commercial quantities in accordance with GMPs. The manufacturing process must be capable of consistently producing quality batches of the drug candidate and, among other things, the manufacturer</w:t>
      </w:r>
    </w:p>
    <w:p>
      <w:pPr>
        <w:spacing w:after="0" w:line="2" w:lineRule="exact"/>
        <w:rPr>
          <w:sz w:val="20"/>
          <w:szCs w:val="20"/>
          <w:color w:val="auto"/>
        </w:rPr>
      </w:pP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must develop methods for testing the identity, strength, quality and purity of the final drug. In addition, appropriate packaging must be selected and tested, and stability studies must be conducted to demonstrate that the drug candidate does not undergo unacceptable deterioration over its shelf life.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79" w:lineRule="exact"/>
        <w:rPr>
          <w:sz w:val="20"/>
          <w:szCs w:val="20"/>
          <w:color w:val="auto"/>
        </w:rPr>
      </w:pPr>
    </w:p>
    <w:p>
      <w:pPr>
        <w:ind w:left="300" w:right="779" w:firstLine="441"/>
        <w:spacing w:after="0" w:line="236" w:lineRule="auto"/>
        <w:rPr>
          <w:sz w:val="20"/>
          <w:szCs w:val="20"/>
          <w:color w:val="auto"/>
        </w:rPr>
      </w:pPr>
      <w:r>
        <w:rPr>
          <w:rFonts w:ascii="Times New Roman" w:cs="Times New Roman" w:eastAsia="Times New Roman" w:hAnsi="Times New Roman"/>
          <w:sz w:val="17"/>
          <w:szCs w:val="17"/>
          <w:color w:val="auto"/>
        </w:rPr>
        <w:t>Assuming successful completion of the required clinical testing, the results of the preclinical studies and clinical trials, together with detailed information relating to the product’s chemistry, manufacture, controls and</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proposed labeling, among other things, are submitted to the FDA as part of an NDA requesting approval to market the product for one or more indications. In most cases, the submission of an NDA is subject to a substantial application user fee. Under the Prescription Drug User Fee Act guidelines that are currently in effect, the FDA has a</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ectPr>
          <w:pgSz w:w="11900" w:h="16838" w:orient="portrait"/>
          <w:cols w:equalWidth="0" w:num="1">
            <w:col w:w="9019"/>
          </w:cols>
          <w:pgMar w:left="1440" w:top="108" w:right="1440" w:bottom="3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47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247650"/>
                    </a:xfrm>
                    <a:prstGeom prst="rect">
                      <a:avLst/>
                    </a:prstGeom>
                    <a:noFill/>
                  </pic:spPr>
                </pic:pic>
              </a:graphicData>
            </a:graphic>
          </wp:anchor>
        </w:drawing>
      </w:r>
    </w:p>
    <w:p>
      <w:pPr>
        <w:sectPr>
          <w:pgSz w:w="11900" w:h="16838" w:orient="portrait"/>
          <w:cols w:equalWidth="0" w:num="1">
            <w:col w:w="9019"/>
          </w:cols>
          <w:pgMar w:left="1440" w:top="108" w:right="1440" w:bottom="339" w:gutter="0" w:footer="0" w:header="0"/>
          <w:type w:val="continuous"/>
        </w:sectPr>
      </w:pPr>
    </w:p>
    <w:bookmarkStart w:id="67" w:name="page68"/>
    <w:bookmarkEnd w:id="6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814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8814435"/>
                    </a:xfrm>
                    <a:prstGeom prst="rect">
                      <a:avLst/>
                    </a:prstGeom>
                    <a:noFill/>
                  </pic:spPr>
                </pic:pic>
              </a:graphicData>
            </a:graphic>
          </wp:anchor>
        </w:drawing>
      </w: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In addition, under the Pediatric Research Equity Act of 2003, as amended and reauthorized, certain NDAs or supplements to an NDA must contain data that are adequate to assess the safety and effectiveness of the drug for the</w:t>
      </w:r>
    </w:p>
    <w:p>
      <w:pPr>
        <w:ind w:left="300" w:right="679"/>
        <w:spacing w:after="0" w:line="220" w:lineRule="auto"/>
        <w:rPr>
          <w:sz w:val="20"/>
          <w:szCs w:val="20"/>
          <w:color w:val="auto"/>
        </w:rPr>
      </w:pPr>
      <w:r>
        <w:rPr>
          <w:rFonts w:ascii="Times New Roman" w:cs="Times New Roman" w:eastAsia="Times New Roman" w:hAnsi="Times New Roman"/>
          <w:sz w:val="17"/>
          <w:szCs w:val="17"/>
          <w:color w:val="auto"/>
        </w:rPr>
        <w:t>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product for use in adults, or full or partial waivers from the pediatric data requirements.</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The FDA also may require submission of a Risk Evaluation and Mitigation Strategy (“REMS”) plan to ensure that the benefits of the drug outweigh its risks. The REMS plan could include Medication Guides (FDA approved</w:t>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patient labeling to be provided to patients when the drug is dispensed), physician communication plans, assessment plans, or Elements to Assure Safe Use, such as restricted distribution methods, patient registries, or other risk minimization tools.</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w:t>
      </w:r>
    </w:p>
    <w:p>
      <w:pPr>
        <w:spacing w:after="0" w:line="2" w:lineRule="exact"/>
        <w:rPr>
          <w:sz w:val="20"/>
          <w:szCs w:val="20"/>
          <w:color w:val="auto"/>
        </w:rPr>
      </w:pPr>
    </w:p>
    <w:p>
      <w:pPr>
        <w:ind w:left="300" w:right="559"/>
        <w:spacing w:after="0" w:line="226" w:lineRule="auto"/>
        <w:rPr>
          <w:sz w:val="20"/>
          <w:szCs w:val="20"/>
          <w:color w:val="auto"/>
        </w:rPr>
      </w:pPr>
      <w:r>
        <w:rPr>
          <w:rFonts w:ascii="Times New Roman" w:cs="Times New Roman" w:eastAsia="Times New Roman" w:hAnsi="Times New Roman"/>
          <w:sz w:val="18"/>
          <w:szCs w:val="18"/>
          <w:color w:val="auto"/>
        </w:rPr>
        <w:t>facility in which it is manufactured, processed, packaged or held meets standards designed to assure the product’s continued safety, quality and purity.</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w:t>
      </w:r>
    </w:p>
    <w:p>
      <w:pPr>
        <w:spacing w:after="0" w:line="2" w:lineRule="exact"/>
        <w:rPr>
          <w:sz w:val="20"/>
          <w:szCs w:val="20"/>
          <w:color w:val="auto"/>
        </w:rPr>
      </w:pPr>
    </w:p>
    <w:p>
      <w:pPr>
        <w:ind w:left="300" w:right="339"/>
        <w:spacing w:after="0" w:line="208" w:lineRule="auto"/>
        <w:rPr>
          <w:sz w:val="20"/>
          <w:szCs w:val="20"/>
          <w:color w:val="auto"/>
        </w:rPr>
      </w:pPr>
      <w:r>
        <w:rPr>
          <w:rFonts w:ascii="Times New Roman" w:cs="Times New Roman" w:eastAsia="Times New Roman" w:hAnsi="Times New Roman"/>
          <w:sz w:val="18"/>
          <w:szCs w:val="18"/>
          <w:color w:val="auto"/>
        </w:rPr>
        <w:t>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making decisions.</w:t>
      </w:r>
    </w:p>
    <w:p>
      <w:pPr>
        <w:spacing w:after="0" w:line="57" w:lineRule="exact"/>
        <w:rPr>
          <w:sz w:val="20"/>
          <w:szCs w:val="20"/>
          <w:color w:val="auto"/>
        </w:rPr>
      </w:pPr>
    </w:p>
    <w:p>
      <w:pPr>
        <w:ind w:left="300" w:right="779" w:firstLine="441"/>
        <w:spacing w:after="0" w:line="236" w:lineRule="auto"/>
        <w:rPr>
          <w:sz w:val="20"/>
          <w:szCs w:val="20"/>
          <w:color w:val="auto"/>
        </w:rPr>
      </w:pPr>
      <w:r>
        <w:rPr>
          <w:rFonts w:ascii="Times New Roman" w:cs="Times New Roman" w:eastAsia="Times New Roman" w:hAnsi="Times New Roman"/>
          <w:sz w:val="17"/>
          <w:szCs w:val="17"/>
          <w:color w:val="auto"/>
        </w:rPr>
        <w:t>Before approving an NDA, the FDA typically will inspect the facility or facilities where the commercial product would be manufactured. The FDA will not approve an application unless it determines that the</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manufacturing processes and facilities are in compliance with cGMP requirements and adequate to assure consistent production of the product within required specifications. Additionally, before approving an NDA, the FDA may inspect one or more clinical trial sites to verify the clinical data submitted in the NDA, and to assure compliance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GCP requirements.</w:t>
      </w:r>
    </w:p>
    <w:p>
      <w:pPr>
        <w:spacing w:after="0" w:line="57" w:lineRule="exact"/>
        <w:rPr>
          <w:sz w:val="20"/>
          <w:szCs w:val="20"/>
          <w:color w:val="auto"/>
        </w:rPr>
      </w:pPr>
    </w:p>
    <w:p>
      <w:pPr>
        <w:ind w:left="300" w:right="399" w:firstLine="441"/>
        <w:spacing w:after="0" w:line="222"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approval letter, or, in some cases,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w:t>
      </w:r>
    </w:p>
    <w:p>
      <w:pPr>
        <w:spacing w:after="0" w:line="2" w:lineRule="exact"/>
        <w:rPr>
          <w:sz w:val="20"/>
          <w:szCs w:val="20"/>
          <w:color w:val="auto"/>
        </w:rPr>
      </w:pPr>
    </w:p>
    <w:p>
      <w:pPr>
        <w:ind w:left="300" w:right="459"/>
        <w:spacing w:after="0" w:line="208" w:lineRule="auto"/>
        <w:rPr>
          <w:sz w:val="20"/>
          <w:szCs w:val="20"/>
          <w:color w:val="auto"/>
        </w:rPr>
      </w:pPr>
      <w:r>
        <w:rPr>
          <w:rFonts w:ascii="Times New Roman" w:cs="Times New Roman" w:eastAsia="Times New Roman" w:hAnsi="Times New Roman"/>
          <w:sz w:val="18"/>
          <w:szCs w:val="18"/>
          <w:color w:val="auto"/>
        </w:rPr>
        <w:t>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deficiencies identified in the letter, or withdraw the application. Even if such data and information are submitted, the FDA may decide that the NDA does not satisfy the criteria for approval.</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w:t>
      </w:r>
    </w:p>
    <w:p>
      <w:pPr>
        <w:spacing w:after="0" w:line="2" w:lineRule="exact"/>
        <w:rPr>
          <w:sz w:val="20"/>
          <w:szCs w:val="20"/>
          <w:color w:val="auto"/>
        </w:rPr>
      </w:pPr>
    </w:p>
    <w:p>
      <w:pPr>
        <w:jc w:val="both"/>
        <w:ind w:left="300" w:right="579"/>
        <w:spacing w:after="0" w:line="220" w:lineRule="auto"/>
        <w:rPr>
          <w:sz w:val="20"/>
          <w:szCs w:val="20"/>
          <w:color w:val="auto"/>
        </w:rPr>
      </w:pPr>
      <w:r>
        <w:rPr>
          <w:rFonts w:ascii="Times New Roman" w:cs="Times New Roman" w:eastAsia="Times New Roman" w:hAnsi="Times New Roman"/>
          <w:sz w:val="17"/>
          <w:szCs w:val="17"/>
          <w:color w:val="auto"/>
        </w:rPr>
        <w:t>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distribution and use restrictions or other risk management mechanisms under a REMS, which can materially affect the potential market and profitability of the product. The FDA may at any time prevent or limit further marketing of a product based on the results of post-marketing studies or surveillance programs. After initial approval, some types</w:t>
      </w:r>
    </w:p>
    <w:p>
      <w:pPr>
        <w:spacing w:after="0" w:line="2" w:lineRule="exact"/>
        <w:rPr>
          <w:sz w:val="20"/>
          <w:szCs w:val="20"/>
          <w:color w:val="auto"/>
        </w:rPr>
      </w:pP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of changes to the approved product, such as adding new indications, manufacturing changes, and additional labeling claims, are subject to further testing requirements and FDA review and approval.</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92" w:lineRule="exact"/>
        <w:rPr>
          <w:sz w:val="20"/>
          <w:szCs w:val="20"/>
          <w:color w:val="auto"/>
        </w:rPr>
      </w:pPr>
    </w:p>
    <w:p>
      <w:pPr>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the submission of advertising and promotion, and reporting of adverse</w:t>
      </w: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certain supplemental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619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The FDA may impose a number of post-approval requirements as a condition of approval of an NDA. For example, the FDA may require post-marketing testing, including Phase 4 clinical trials, and surveillance to further</w:t>
      </w:r>
    </w:p>
    <w:p>
      <w:pPr>
        <w:ind w:left="300"/>
        <w:spacing w:after="0"/>
        <w:rPr>
          <w:sz w:val="20"/>
          <w:szCs w:val="20"/>
          <w:color w:val="auto"/>
        </w:rPr>
      </w:pPr>
      <w:r>
        <w:rPr>
          <w:rFonts w:ascii="Times New Roman" w:cs="Times New Roman" w:eastAsia="Times New Roman" w:hAnsi="Times New Roman"/>
          <w:sz w:val="18"/>
          <w:szCs w:val="18"/>
          <w:color w:val="auto"/>
        </w:rPr>
        <w:t>assess and monitor the product’s safety and effectiveness after commercialization.</w:t>
      </w:r>
    </w:p>
    <w:p>
      <w:pPr>
        <w:spacing w:after="0" w:line="57"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In addition, drug manufacturers and other entities involved in the manufacture and distribution of approved drugs are required to register their establishments with the FDA and state agencies, and are subject to periodic</w:t>
      </w:r>
    </w:p>
    <w:p>
      <w:pPr>
        <w:ind w:left="300"/>
        <w:spacing w:after="0"/>
        <w:rPr>
          <w:sz w:val="20"/>
          <w:szCs w:val="20"/>
          <w:color w:val="auto"/>
        </w:rPr>
      </w:pPr>
      <w:r>
        <w:rPr>
          <w:rFonts w:ascii="Times New Roman" w:cs="Times New Roman" w:eastAsia="Times New Roman" w:hAnsi="Times New Roman"/>
          <w:sz w:val="18"/>
          <w:szCs w:val="18"/>
          <w:color w:val="auto"/>
        </w:rPr>
        <w:t>unannounced inspections by the FDA and these state agencies for compliance with cGMP requirements. Changes to</w:t>
      </w:r>
    </w:p>
    <w:p>
      <w:pPr>
        <w:sectPr>
          <w:pgSz w:w="11900" w:h="16870" w:orient="portrait"/>
          <w:cols w:equalWidth="0" w:num="1">
            <w:col w:w="9019"/>
          </w:cols>
          <w:pgMar w:left="1440" w:top="1012" w:right="1440" w:bottom="0" w:gutter="0" w:footer="0" w:header="0"/>
        </w:sectPr>
      </w:pPr>
    </w:p>
    <w:bookmarkStart w:id="68" w:name="page69"/>
    <w:bookmarkEnd w:id="68"/>
    <w:p>
      <w:pPr>
        <w:ind w:left="300" w:right="519"/>
        <w:spacing w:after="0" w:line="194" w:lineRule="auto"/>
        <w:rPr>
          <w:sz w:val="20"/>
          <w:szCs w:val="20"/>
          <w:color w:val="auto"/>
        </w:rPr>
      </w:pPr>
      <w:r>
        <w:rPr>
          <w:rFonts w:ascii="Times New Roman" w:cs="Times New Roman" w:eastAsia="Times New Roman" w:hAnsi="Times New Roman"/>
          <w:sz w:val="17"/>
          <w:szCs w:val="17"/>
          <w:color w:val="auto"/>
        </w:rPr>
        <w:t>the manufacturing process are strictly regulated and often require prior FDA approval before being implemented. FDA regulations also require manufacturers to investigate and correct of any deviations from cGMP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-179705</wp:posOffset>
            </wp:positionV>
            <wp:extent cx="7016115" cy="7442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7442835"/>
                    </a:xfrm>
                    <a:prstGeom prst="rect">
                      <a:avLst/>
                    </a:prstGeom>
                    <a:noFill/>
                  </pic:spPr>
                </pic:pic>
              </a:graphicData>
            </a:graphic>
          </wp:anchor>
        </w:drawing>
      </w: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w:t>
      </w:r>
    </w:p>
    <w:p>
      <w:pPr>
        <w:jc w:val="both"/>
        <w:ind w:left="300" w:right="379"/>
        <w:spacing w:after="0" w:line="218" w:lineRule="auto"/>
        <w:rPr>
          <w:sz w:val="20"/>
          <w:szCs w:val="20"/>
          <w:color w:val="auto"/>
        </w:rPr>
      </w:pPr>
      <w:r>
        <w:rPr>
          <w:rFonts w:ascii="Times New Roman" w:cs="Times New Roman" w:eastAsia="Times New Roman" w:hAnsi="Times New Roman"/>
          <w:sz w:val="18"/>
          <w:szCs w:val="18"/>
          <w:color w:val="auto"/>
        </w:rPr>
        <w:t>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77" w:lineRule="exact"/>
        <w:rPr>
          <w:sz w:val="20"/>
          <w:szCs w:val="20"/>
          <w:color w:val="auto"/>
        </w:rPr>
      </w:pPr>
    </w:p>
    <w:p>
      <w:pPr>
        <w:ind w:left="1280" w:right="619" w:hanging="328"/>
        <w:spacing w:after="0" w:line="237" w:lineRule="auto"/>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76" w:lineRule="exact"/>
        <w:rPr>
          <w:rFonts w:ascii="Times New Roman" w:cs="Times New Roman" w:eastAsia="Times New Roman" w:hAnsi="Times New Roman"/>
          <w:sz w:val="18"/>
          <w:szCs w:val="18"/>
          <w:color w:val="auto"/>
        </w:rPr>
      </w:pPr>
    </w:p>
    <w:p>
      <w:pPr>
        <w:ind w:left="1280" w:right="579" w:hanging="328"/>
        <w:spacing w:after="0" w:line="237" w:lineRule="auto"/>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market. Drugs may be promoted only for the approved indications and in accordance with the provisions of the approved labeling. The FDA and other agencies actively enforce the laws and regulations prohibiting the promotion of unapproved uses (“off-label” uses), and a company that is found to have improperly promoted off-label uses may</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be subject to significant liability.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communications on the subject of off-label use of their products.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Market exclusivity provisions under the FDCA can delay the submission or the approval of certain marketing</w:t>
      </w:r>
    </w:p>
    <w:p>
      <w:pPr>
        <w:spacing w:after="0" w:line="2" w:lineRule="exact"/>
        <w:rPr>
          <w:sz w:val="20"/>
          <w:szCs w:val="20"/>
          <w:color w:val="auto"/>
        </w:rPr>
      </w:pPr>
    </w:p>
    <w:p>
      <w:pPr>
        <w:jc w:val="both"/>
        <w:ind w:left="300" w:right="479"/>
        <w:spacing w:after="0" w:line="220" w:lineRule="auto"/>
        <w:rPr>
          <w:sz w:val="20"/>
          <w:szCs w:val="20"/>
          <w:color w:val="auto"/>
        </w:rPr>
      </w:pPr>
      <w:r>
        <w:rPr>
          <w:rFonts w:ascii="Times New Roman" w:cs="Times New Roman" w:eastAsia="Times New Roman" w:hAnsi="Times New Roman"/>
          <w:sz w:val="17"/>
          <w:szCs w:val="17"/>
          <w:color w:val="auto"/>
        </w:rPr>
        <w:t>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listed with the FDA by the innovator NDA holder.</w:t>
      </w:r>
    </w:p>
    <w:p>
      <w:pPr>
        <w:spacing w:after="0" w:line="57"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The FDCA alternatively provides three years of marketing exclusivity for an NDA, or supplement to an existing NDA if new clinical investigations, other than bioavailability studies, that were conducted or sponsored by</w:t>
      </w: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w:t>
      </w:r>
    </w:p>
    <w:p>
      <w:pPr>
        <w:spacing w:after="0" w:line="2" w:lineRule="exact"/>
        <w:rPr>
          <w:sz w:val="20"/>
          <w:szCs w:val="20"/>
          <w:color w:val="auto"/>
        </w:rPr>
      </w:pPr>
    </w:p>
    <w:p>
      <w:pPr>
        <w:jc w:val="both"/>
        <w:ind w:left="300" w:right="339"/>
        <w:spacing w:after="0" w:line="239" w:lineRule="auto"/>
        <w:rPr>
          <w:sz w:val="20"/>
          <w:szCs w:val="20"/>
          <w:color w:val="auto"/>
        </w:rPr>
      </w:pPr>
      <w:r>
        <w:rPr>
          <w:rFonts w:ascii="Times New Roman" w:cs="Times New Roman" w:eastAsia="Times New Roman" w:hAnsi="Times New Roman"/>
          <w:sz w:val="17"/>
          <w:szCs w:val="17"/>
          <w:color w:val="auto"/>
        </w:rPr>
        <w:t>ANDAs or 505(b)(2) NDAs for drugs containing the active agent for the original indication or condition of use. Five-year and three-year exclusivity will not delay the submission or approval of a full NDA. However, an applicant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99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39"/>
        <w:spacing w:after="0" w:line="237" w:lineRule="auto"/>
        <w:rPr>
          <w:sz w:val="20"/>
          <w:szCs w:val="20"/>
          <w:color w:val="auto"/>
        </w:rPr>
      </w:pPr>
      <w:r>
        <w:rPr>
          <w:rFonts w:ascii="Times New Roman" w:cs="Times New Roman" w:eastAsia="Times New Roman" w:hAnsi="Times New Roman"/>
          <w:sz w:val="18"/>
          <w:szCs w:val="18"/>
          <w:color w:val="auto"/>
        </w:rPr>
        <w:t>submitting a full NDA would be required to conduct, or obtain a right of reference to, all of the preclinical studies and adequate and well-controlled clinical trials necessary to demonstrate safety and effectiveness.</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w:t>
      </w:r>
    </w:p>
    <w:p>
      <w:pPr>
        <w:ind w:left="300"/>
        <w:spacing w:after="0"/>
        <w:rPr>
          <w:sz w:val="20"/>
          <w:szCs w:val="20"/>
          <w:color w:val="auto"/>
        </w:rPr>
      </w:pPr>
      <w:r>
        <w:rPr>
          <w:rFonts w:ascii="Times New Roman" w:cs="Times New Roman" w:eastAsia="Times New Roman" w:hAnsi="Times New Roman"/>
          <w:sz w:val="18"/>
          <w:szCs w:val="18"/>
          <w:color w:val="auto"/>
        </w:rPr>
        <w:t>request does not require the sponsor to undertake the described clinical trials.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Sales of our drug candidates, if approved, will depend, in part, on the extent to which such products will be</w:t>
      </w:r>
    </w:p>
    <w:p>
      <w:pPr>
        <w:spacing w:after="0" w:line="2" w:lineRule="exact"/>
        <w:rPr>
          <w:sz w:val="20"/>
          <w:szCs w:val="20"/>
          <w:color w:val="auto"/>
        </w:rPr>
      </w:pPr>
    </w:p>
    <w:p>
      <w:pPr>
        <w:jc w:val="both"/>
        <w:ind w:left="300" w:right="839"/>
        <w:spacing w:after="0" w:line="220" w:lineRule="auto"/>
        <w:rPr>
          <w:sz w:val="20"/>
          <w:szCs w:val="20"/>
          <w:color w:val="auto"/>
        </w:rPr>
      </w:pPr>
      <w:r>
        <w:rPr>
          <w:rFonts w:ascii="Times New Roman" w:cs="Times New Roman" w:eastAsia="Times New Roman" w:hAnsi="Times New Roman"/>
          <w:sz w:val="17"/>
          <w:szCs w:val="17"/>
          <w:color w:val="auto"/>
        </w:rPr>
        <w:t>covered by third-party payors, such as government health care programs, commercial insurance and managed healthcare organizations. These third-party payors determine which medications they will cover and establish reimbursement levels. In addition, these third-party payors are increasingly limiting coverage or reducing</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and state legislatures have continued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implementing cost-containment programs, including price controls, restrictions on reimbursement and requirements</w:t>
      </w:r>
    </w:p>
    <w:p>
      <w:pPr>
        <w:sectPr>
          <w:pgSz w:w="11900" w:h="16838" w:orient="portrait"/>
          <w:cols w:equalWidth="0" w:num="1">
            <w:col w:w="9019"/>
          </w:cols>
          <w:pgMar w:left="1440" w:top="108" w:right="1440" w:bottom="0" w:gutter="0" w:footer="0" w:header="0"/>
        </w:sectPr>
      </w:pPr>
    </w:p>
    <w:bookmarkStart w:id="69" w:name="page70"/>
    <w:bookmarkEnd w:id="69"/>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0"/>
          <w:szCs w:val="10"/>
          <w:color w:val="auto"/>
        </w:rPr>
        <w:t>imposeforsub</w:t>
      </w:r>
      <w:r>
        <w:rPr>
          <w:rFonts w:ascii="Times New Roman" w:cs="Times New Roman" w:eastAsia="Times New Roman" w:hAnsi="Times New Roman"/>
          <w:sz w:val="10"/>
          <w:szCs w:val="10"/>
          <w:b w:val="1"/>
          <w:bCs w:val="1"/>
          <w:color w:val="auto"/>
        </w:rPr>
        <w:t>s</w:t>
      </w:r>
      <w:r>
        <w:rPr>
          <w:rFonts w:ascii="Times New Roman" w:cs="Times New Roman" w:eastAsia="Times New Roman" w:hAnsi="Times New Roman"/>
          <w:sz w:val="10"/>
          <w:szCs w:val="10"/>
          <w:color w:val="auto"/>
        </w:rPr>
        <w:t>titutionrebatesofongenMedr</w:t>
      </w:r>
      <w:r>
        <w:rPr>
          <w:rFonts w:ascii="Times New Roman" w:cs="Times New Roman" w:eastAsia="Times New Roman" w:hAnsi="Times New Roman"/>
          <w:sz w:val="10"/>
          <w:szCs w:val="10"/>
          <w:b w:val="1"/>
          <w:bCs w:val="1"/>
          <w:color w:val="auto"/>
        </w:rPr>
        <w:t>ic</w:t>
      </w:r>
      <w:r>
        <w:rPr>
          <w:rFonts w:ascii="Times New Roman" w:cs="Times New Roman" w:eastAsia="Times New Roman" w:hAnsi="Times New Roman"/>
          <w:sz w:val="10"/>
          <w:szCs w:val="10"/>
          <w:color w:val="auto"/>
        </w:rPr>
        <w:t>areproductsPartB. Forand example,MedicarethePartUD.S.producDepar</w:t>
      </w:r>
      <w:r>
        <w:rPr>
          <w:rFonts w:ascii="Times New Roman" w:cs="Times New Roman" w:eastAsia="Times New Roman" w:hAnsi="Times New Roman"/>
          <w:sz w:val="10"/>
          <w:szCs w:val="10"/>
          <w:b w:val="1"/>
          <w:bCs w:val="1"/>
          <w:color w:val="auto"/>
        </w:rPr>
        <w:t>t</w:t>
      </w:r>
      <w:r>
        <w:rPr>
          <w:rFonts w:ascii="Times New Roman" w:cs="Times New Roman" w:eastAsia="Times New Roman" w:hAnsi="Times New Roman"/>
          <w:sz w:val="10"/>
          <w:szCs w:val="10"/>
          <w:color w:val="auto"/>
        </w:rPr>
        <w:t>smenttopenalizeofHealthpriceandincreasesHuman Servicesthatoutpace(“HHS”)inflation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-52070</wp:posOffset>
            </wp:positionV>
            <wp:extent cx="7016115" cy="6071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6071235"/>
                    </a:xfrm>
                    <a:prstGeom prst="rect">
                      <a:avLst/>
                    </a:prstGeom>
                    <a:noFill/>
                  </pic:spPr>
                </pic:pic>
              </a:graphicData>
            </a:graphic>
          </wp:anchor>
        </w:drawing>
      </w:r>
    </w:p>
    <w:p>
      <w:pPr>
        <w:spacing w:after="0" w:line="74" w:lineRule="exact"/>
        <w:rPr>
          <w:sz w:val="20"/>
          <w:szCs w:val="20"/>
          <w:color w:val="auto"/>
        </w:rPr>
      </w:pPr>
    </w:p>
    <w:p>
      <w:pPr>
        <w:ind w:left="300" w:right="579"/>
        <w:spacing w:after="0" w:line="220" w:lineRule="auto"/>
        <w:rPr>
          <w:sz w:val="20"/>
          <w:szCs w:val="20"/>
          <w:color w:val="auto"/>
        </w:rPr>
      </w:pPr>
      <w:r>
        <w:rPr>
          <w:rFonts w:ascii="Times New Roman" w:cs="Times New Roman" w:eastAsia="Times New Roman" w:hAnsi="Times New Roman"/>
          <w:sz w:val="17"/>
          <w:szCs w:val="17"/>
          <w:color w:val="auto"/>
        </w:rPr>
        <w:t>on an annual basis. HHS has also been empowered to negotiate the price of certain single-source drugs that have been on the market for at least seven (7) years under Medicare as part of the Medicare Drug Price Negotiation Program. Each year up to twenty (20) products will be selected by HHS for the Medicare Drug Price Negotiation</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Program. Products subject to the Medicare Drug Price Negotiation Program are expected to experience a significant reduction in reimbursement from the Medicare program on a per unit basis. Patients who are prescribed medications for the treatment of their conditions, and their prescribing physicians, generally rely on third-party payors to</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reimburse all or part of the costs associated with their prescription drugs. Patients are unlikely to use our products unless coverage is provided and reimbursement is adequate to cover all or a significant portion of the cost of our products. As a result, adoption of price controls and cost-containment measures, and adoption of more restrictive</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policies in jurisdictions with existing controls and measures, could further limit our net revenue and results. Decreases in third-party reimbursement for our drug candidates or a decision by a third-party payor to not cover our drug candidates could reduce physician usage of our drug candidates, once approved, and have a material adverse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effect on our sales, results of operations and financial condition. Additionally, we or our collaborators may develop companion diagnostic tests for use with our drug candidates. We or our collaborators will be required to obtain coverage and reimbursement for these tests separate and apart from the coverage and reimbursement we seek for our</w:t>
      </w:r>
    </w:p>
    <w:p>
      <w:pPr>
        <w:spacing w:after="0" w:line="2" w:lineRule="exact"/>
        <w:rPr>
          <w:sz w:val="20"/>
          <w:szCs w:val="20"/>
          <w:color w:val="auto"/>
        </w:rPr>
      </w:pPr>
    </w:p>
    <w:p>
      <w:pPr>
        <w:ind w:left="300" w:right="979"/>
        <w:spacing w:after="0" w:line="226" w:lineRule="auto"/>
        <w:rPr>
          <w:sz w:val="20"/>
          <w:szCs w:val="20"/>
          <w:color w:val="auto"/>
        </w:rPr>
      </w:pPr>
      <w:r>
        <w:rPr>
          <w:rFonts w:ascii="Times New Roman" w:cs="Times New Roman" w:eastAsia="Times New Roman" w:hAnsi="Times New Roman"/>
          <w:sz w:val="18"/>
          <w:szCs w:val="18"/>
          <w:color w:val="auto"/>
        </w:rPr>
        <w:t>drug candidates, once approved. Similar challenges to obtaining coverage and reimbursement, applicable to pharmaceutical or biological products, will apply to companion diagnostics.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92"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We will also be subject to other healthcare regulation and enforcement by the U.S. federal government and the states in which we will conduct our business once our drug candidates are approved. Failure to comply with these laws, where applicable, can result in the imposition of significant administrative, civil, and criminal penalties. The</w:t>
      </w:r>
    </w:p>
    <w:p>
      <w:pPr>
        <w:ind w:left="300"/>
        <w:spacing w:after="0"/>
        <w:rPr>
          <w:sz w:val="20"/>
          <w:szCs w:val="20"/>
          <w:color w:val="auto"/>
        </w:rPr>
      </w:pPr>
      <w:r>
        <w:rPr>
          <w:rFonts w:ascii="Times New Roman" w:cs="Times New Roman" w:eastAsia="Times New Roman" w:hAnsi="Times New Roman"/>
          <w:sz w:val="18"/>
          <w:szCs w:val="18"/>
          <w:color w:val="auto"/>
        </w:rPr>
        <w:t>laws that may affect our ability to operate in the United States include:</w:t>
      </w:r>
    </w:p>
    <w:p>
      <w:pPr>
        <w:spacing w:after="0" w:line="57" w:lineRule="exact"/>
        <w:rPr>
          <w:sz w:val="20"/>
          <w:szCs w:val="20"/>
          <w:color w:val="auto"/>
        </w:rPr>
      </w:pPr>
    </w:p>
    <w:p>
      <w:pPr>
        <w:ind w:left="1280" w:right="359" w:hanging="328"/>
        <w:spacing w:after="0" w:line="220"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63" w:lineRule="exact"/>
        <w:rPr>
          <w:rFonts w:ascii="Times New Roman" w:cs="Times New Roman" w:eastAsia="Times New Roman" w:hAnsi="Times New Roman"/>
          <w:sz w:val="18"/>
          <w:szCs w:val="18"/>
          <w:color w:val="auto"/>
        </w:rPr>
      </w:pPr>
    </w:p>
    <w:p>
      <w:pPr>
        <w:jc w:val="both"/>
        <w:ind w:left="1280" w:right="319" w:hanging="328"/>
        <w:spacing w:after="0" w:line="226"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act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63" w:lineRule="exact"/>
        <w:rPr>
          <w:rFonts w:ascii="Times New Roman" w:cs="Times New Roman" w:eastAsia="Times New Roman" w:hAnsi="Times New Roman"/>
          <w:sz w:val="18"/>
          <w:szCs w:val="18"/>
          <w:color w:val="auto"/>
        </w:rPr>
      </w:pPr>
    </w:p>
    <w:p>
      <w:pPr>
        <w:ind w:left="1280" w:right="419" w:hanging="328"/>
        <w:spacing w:after="0" w:line="224"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statutes,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37" w:lineRule="exact"/>
        <w:rPr>
          <w:rFonts w:ascii="Times New Roman" w:cs="Times New Roman" w:eastAsia="Times New Roman" w:hAnsi="Times New Roman"/>
          <w:sz w:val="18"/>
          <w:szCs w:val="18"/>
          <w:color w:val="auto"/>
        </w:rPr>
      </w:pPr>
    </w:p>
    <w:p>
      <w:pPr>
        <w:ind w:left="1280" w:right="359" w:hanging="328"/>
        <w:spacing w:after="0" w:line="220"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 care professionals (such as physicians assistants and nurse practitioners), and teaching hospitals, as well as and ownership and investment interests held by physicians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362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436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right="639" w:hanging="328"/>
        <w:spacing w:after="0" w:line="220"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and</w:t>
      </w:r>
    </w:p>
    <w:p>
      <w:pPr>
        <w:spacing w:after="0" w:line="63" w:lineRule="exact"/>
        <w:rPr>
          <w:rFonts w:ascii="Times New Roman" w:cs="Times New Roman" w:eastAsia="Times New Roman" w:hAnsi="Times New Roman"/>
          <w:sz w:val="18"/>
          <w:szCs w:val="18"/>
          <w:color w:val="auto"/>
        </w:rPr>
      </w:pPr>
    </w:p>
    <w:p>
      <w:pPr>
        <w:ind w:left="1280" w:right="599" w:hanging="328"/>
        <w:spacing w:after="0" w:line="224"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which governs the conduct of covered entities, business associates, and their covered subcontractors regarding certain electronic healthcare transactions and protects the security and privacy of protected health information.</w:t>
      </w:r>
    </w:p>
    <w:p>
      <w:pPr>
        <w:spacing w:after="0" w:line="51"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In addition, many states have similar laws and regulations, such as anti-kickback and false claims laws that may be broader in scope and may apply regardless of payor, in addition to items and services reimbursed under</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Medicaid and other state programs. Further, certain states require certain regulatory licenses to manufacture or distribute products commercially and/or the registration of pharmaceutical sales representatives in the jurisdiction, state laws that require pharmaceutical companies to comply with the pharmaceutical industry’s voluntary</w:t>
      </w:r>
    </w:p>
    <w:p>
      <w:pPr>
        <w:spacing w:after="0" w:line="2" w:lineRule="exact"/>
        <w:rPr>
          <w:sz w:val="20"/>
          <w:szCs w:val="20"/>
          <w:color w:val="auto"/>
        </w:rPr>
      </w:pP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compliance guidelines and the relevant compliance guidance promulgated by the federal government; drug manufacturers to report information related to payments and other transfers of value to physicians and other healthcare providers or marketing expenditures; and the reporting of information related to drug pricing. Certain</w:t>
      </w:r>
    </w:p>
    <w:p>
      <w:pPr>
        <w:spacing w:after="0" w:line="2" w:lineRule="exact"/>
        <w:rPr>
          <w:sz w:val="20"/>
          <w:szCs w:val="20"/>
          <w:color w:val="auto"/>
        </w:rPr>
      </w:pPr>
    </w:p>
    <w:p>
      <w:pPr>
        <w:jc w:val="both"/>
        <w:ind w:left="300" w:right="519"/>
        <w:spacing w:after="0" w:line="220" w:lineRule="auto"/>
        <w:rPr>
          <w:sz w:val="20"/>
          <w:szCs w:val="20"/>
          <w:color w:val="auto"/>
        </w:rPr>
      </w:pPr>
      <w:r>
        <w:rPr>
          <w:rFonts w:ascii="Times New Roman" w:cs="Times New Roman" w:eastAsia="Times New Roman" w:hAnsi="Times New Roman"/>
          <w:sz w:val="17"/>
          <w:szCs w:val="17"/>
          <w:color w:val="auto"/>
        </w:rPr>
        <w:t>states have also enacted legislation to govern the privacy and security of health information, many of which differ from each other in significant ways and often are not preempted by HIPAA, thus complicating compliance efforts. Additionally, to the extent that our product is sold in a foreign country, we may be subject to similar foreign laws.</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Violation of any of these laws or any other governmental regulations, may result in significant civil, criminal and administrative penalties, damages, fines, disgorgement, imprisonment, possible exclusion from government funded healthcare programs, such as Medicare and Medicaid, contractual damages, reputational harm, and diminished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profits and future earnings.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Healthcare Reform</w:t>
      </w:r>
    </w:p>
    <w:p>
      <w:pPr>
        <w:spacing w:after="0" w:line="79" w:lineRule="exact"/>
        <w:rPr>
          <w:sz w:val="20"/>
          <w:szCs w:val="20"/>
          <w:color w:val="auto"/>
        </w:rPr>
      </w:pPr>
    </w:p>
    <w:p>
      <w:pPr>
        <w:ind w:left="300" w:right="799" w:firstLine="441"/>
        <w:spacing w:after="0" w:line="279" w:lineRule="auto"/>
        <w:rPr>
          <w:sz w:val="20"/>
          <w:szCs w:val="20"/>
          <w:color w:val="auto"/>
        </w:rPr>
      </w:pPr>
      <w:r>
        <w:rPr>
          <w:rFonts w:ascii="Times New Roman" w:cs="Times New Roman" w:eastAsia="Times New Roman" w:hAnsi="Times New Roman"/>
          <w:sz w:val="17"/>
          <w:szCs w:val="17"/>
          <w:color w:val="auto"/>
        </w:rPr>
        <w:t>The enactment of the Patient Protection and Affordable Care Act, as amended by the Health Care and Education Reconciliation Act, or collectively the (“ACA”) has substantially changed healthcare financing and</w:t>
      </w:r>
    </w:p>
    <w:p>
      <w:pPr>
        <w:sectPr>
          <w:pgSz w:w="11900" w:h="16909" w:orient="portrait"/>
          <w:cols w:equalWidth="0" w:num="1">
            <w:col w:w="9019"/>
          </w:cols>
          <w:pgMar w:left="1440" w:top="108" w:right="1440" w:bottom="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8"/>
          <w:szCs w:val="18"/>
          <w:color w:val="auto"/>
        </w:rPr>
        <w:t>delivery by both governmental and private insurers, and significantly impacted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4699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469963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For</w:t>
      </w: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example, on July 4, 2025, the One Big Beautiful Bill Act, or OBBBA, was signed into law, which narrowed access to ACA marketplace exchange enrollment and declined to extend the ACA enhanced advanced premium tax credits that expired at the end of 2025, which, among other provisions in the law, are anticipated to reduce the number of</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further reduce healthcare costs with alternatives to replace the expired ACA subsidies.</w:t>
      </w:r>
    </w:p>
    <w:p>
      <w:pPr>
        <w:spacing w:after="0" w:line="57" w:lineRule="exact"/>
        <w:rPr>
          <w:sz w:val="20"/>
          <w:szCs w:val="20"/>
          <w:color w:val="auto"/>
        </w:rPr>
      </w:pPr>
    </w:p>
    <w:p>
      <w:pPr>
        <w:ind w:left="300" w:right="639" w:firstLine="441"/>
        <w:spacing w:after="0" w:line="236" w:lineRule="auto"/>
        <w:rPr>
          <w:sz w:val="20"/>
          <w:szCs w:val="20"/>
          <w:color w:val="auto"/>
        </w:rPr>
      </w:pPr>
      <w:r>
        <w:rPr>
          <w:rFonts w:ascii="Times New Roman" w:cs="Times New Roman" w:eastAsia="Times New Roman" w:hAnsi="Times New Roman"/>
          <w:sz w:val="17"/>
          <w:szCs w:val="17"/>
          <w:color w:val="auto"/>
        </w:rPr>
        <w:t>Other legislative changes have been proposed and adopted since the ACA was enacted. For example, on August 2, 2011, the Budget Control Act of 2011 was signed into law which among other things, led to aggregate</w:t>
      </w:r>
    </w:p>
    <w:p>
      <w:pPr>
        <w:ind w:left="300" w:right="399"/>
        <w:spacing w:after="0" w:line="239" w:lineRule="auto"/>
        <w:rPr>
          <w:sz w:val="20"/>
          <w:szCs w:val="20"/>
          <w:color w:val="auto"/>
        </w:rPr>
      </w:pPr>
      <w:r>
        <w:rPr>
          <w:rFonts w:ascii="Times New Roman" w:cs="Times New Roman" w:eastAsia="Times New Roman" w:hAnsi="Times New Roman"/>
          <w:sz w:val="17"/>
          <w:szCs w:val="17"/>
          <w:color w:val="auto"/>
        </w:rPr>
        <w:t>reductions in Medicare payments to providers. These reductions went into effect on April 1, 2013, and, due to subsequent legislative amendments, will remain in effect until 2032 unless additional Congressional action is taken.</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manufacturers set</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prices for their marketed products. For example, there have been several U.S. presidential executive orders, congressional inquiries and proposed and enacted legislation at the federal and state designed to, among other things, bring more transparency to drug pricing, review the relationship between pricing and manufacturer patient programs,</w:t>
      </w:r>
    </w:p>
    <w:p>
      <w:pPr>
        <w:spacing w:after="0" w:line="2" w:lineRule="exact"/>
        <w:rPr>
          <w:sz w:val="20"/>
          <w:szCs w:val="20"/>
          <w:color w:val="auto"/>
        </w:rPr>
      </w:pPr>
    </w:p>
    <w:p>
      <w:pPr>
        <w:ind w:left="300" w:right="679"/>
        <w:spacing w:after="0" w:line="220" w:lineRule="auto"/>
        <w:rPr>
          <w:sz w:val="20"/>
          <w:szCs w:val="20"/>
          <w:color w:val="auto"/>
        </w:rPr>
      </w:pPr>
      <w:r>
        <w:rPr>
          <w:rFonts w:ascii="Times New Roman" w:cs="Times New Roman" w:eastAsia="Times New Roman" w:hAnsi="Times New Roman"/>
          <w:sz w:val="17"/>
          <w:szCs w:val="17"/>
          <w:color w:val="auto"/>
        </w:rPr>
        <w:t>and reform government program reimbursement methodologies for drug products. The current U.S. presidential administration is pursuing policies to reduce regulations and expenditures across government. These actions, presently directed by executive orders or memoranda from the Office of Management and Budget, may propose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pricing equal to or lower than those paid in other developed nations, with additional mandates for direct-to-patient discounts and repatriation of foreign revenues. Other recent actions and proposals include, for example (1) reducing agency workforce and cut programs; (2) directing HHS and other agencies to lower prescription drug costs through a</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w:t>
      </w:r>
    </w:p>
    <w:p>
      <w:pPr>
        <w:spacing w:after="0" w:line="2" w:lineRule="exact"/>
        <w:rPr>
          <w:sz w:val="20"/>
          <w:szCs w:val="20"/>
          <w:color w:val="auto"/>
        </w:rPr>
      </w:pPr>
    </w:p>
    <w:p>
      <w:pPr>
        <w:ind w:left="300" w:right="399"/>
        <w:spacing w:after="0" w:line="231" w:lineRule="auto"/>
        <w:rPr>
          <w:sz w:val="20"/>
          <w:szCs w:val="20"/>
          <w:color w:val="auto"/>
        </w:rPr>
      </w:pPr>
      <w:r>
        <w:rPr>
          <w:rFonts w:ascii="Times New Roman" w:cs="Times New Roman" w:eastAsia="Times New Roman" w:hAnsi="Times New Roman"/>
          <w:sz w:val="17"/>
          <w:szCs w:val="17"/>
          <w:color w:val="auto"/>
        </w:rPr>
        <w:t>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734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573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spacing w:after="0" w:line="236" w:lineRule="auto"/>
        <w:rPr>
          <w:sz w:val="20"/>
          <w:szCs w:val="20"/>
          <w:color w:val="auto"/>
        </w:rPr>
      </w:pPr>
      <w:r>
        <w:rPr>
          <w:rFonts w:ascii="Times New Roman" w:cs="Times New Roman" w:eastAsia="Times New Roman" w:hAnsi="Times New Roman"/>
          <w:sz w:val="17"/>
          <w:szCs w:val="17"/>
          <w:color w:val="auto"/>
        </w:rPr>
        <w:t>payment methodologies, among other things. These actions and policies may significantly reduce U.S. drug prices, potentially impacting manufacturers’ global pricing strategies and profitability, while increasing their operational</w:t>
      </w: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costs and compliance risks. In June 2024, in Loper Bright Enterprises v. Raimondo, the U.S. Supreme Court greatly reduced judicial deference to regulatory agencies, which could increase successful legal challenges to federal regulations affecting our operations.</w:t>
      </w:r>
    </w:p>
    <w:p>
      <w:pPr>
        <w:spacing w:after="0" w:line="64" w:lineRule="exact"/>
        <w:rPr>
          <w:sz w:val="20"/>
          <w:szCs w:val="20"/>
          <w:color w:val="auto"/>
        </w:rPr>
      </w:pPr>
    </w:p>
    <w:p>
      <w:pPr>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w:t>
      </w:r>
    </w:p>
    <w:p>
      <w:pPr>
        <w:ind w:left="300"/>
        <w:spacing w:after="0"/>
        <w:rPr>
          <w:sz w:val="20"/>
          <w:szCs w:val="20"/>
          <w:color w:val="auto"/>
        </w:rPr>
      </w:pPr>
      <w:r>
        <w:rPr>
          <w:rFonts w:ascii="Times New Roman" w:cs="Times New Roman" w:eastAsia="Times New Roman" w:hAnsi="Times New Roman"/>
          <w:sz w:val="18"/>
          <w:szCs w:val="18"/>
          <w:color w:val="auto"/>
        </w:rPr>
        <w:t>some cases, designed to encourage importation from other countries and bulk purchasing.</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We expect that additional U.S. healthcare reform measures will be adopted in the future, any of which could limit the amounts that the U.S. federal government will pay for healthcare products and services, which could result</w:t>
      </w:r>
    </w:p>
    <w:p>
      <w:pPr>
        <w:ind w:left="300"/>
        <w:spacing w:after="0"/>
        <w:rPr>
          <w:sz w:val="20"/>
          <w:szCs w:val="20"/>
          <w:color w:val="auto"/>
        </w:rPr>
      </w:pPr>
      <w:r>
        <w:rPr>
          <w:rFonts w:ascii="Times New Roman" w:cs="Times New Roman" w:eastAsia="Times New Roman" w:hAnsi="Times New Roman"/>
          <w:sz w:val="18"/>
          <w:szCs w:val="18"/>
          <w:color w:val="auto"/>
        </w:rPr>
        <w:t>in reduced demand for our drug candidates or additional pricing pressures.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success will depend upon our ability to obtain and maintain patents and other intellectual property for our</w:t>
      </w:r>
    </w:p>
    <w:p>
      <w:pPr>
        <w:spacing w:after="0" w:line="2" w:lineRule="exact"/>
        <w:rPr>
          <w:sz w:val="20"/>
          <w:szCs w:val="20"/>
          <w:color w:val="auto"/>
        </w:rPr>
      </w:pPr>
    </w:p>
    <w:p>
      <w:pPr>
        <w:ind w:left="300" w:right="619"/>
        <w:spacing w:after="0" w:line="220" w:lineRule="auto"/>
        <w:rPr>
          <w:sz w:val="20"/>
          <w:szCs w:val="20"/>
          <w:color w:val="auto"/>
        </w:rPr>
      </w:pPr>
      <w:r>
        <w:rPr>
          <w:rFonts w:ascii="Times New Roman" w:cs="Times New Roman" w:eastAsia="Times New Roman" w:hAnsi="Times New Roman"/>
          <w:sz w:val="17"/>
          <w:szCs w:val="17"/>
          <w:color w:val="auto"/>
        </w:rPr>
        <w:t>drug candidates in the United States and internationally, including composition-of-matter, pharmaceutical composition, synthesis process, method of manufacture and method of treatment for an obefazimod's intellectual property protection in the United States to 2039, as well as patent and other intellectual property and proprietary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protection for our novel discoveries and other important technology inventions and know-how.</w:t>
      </w:r>
    </w:p>
    <w:p>
      <w:pPr>
        <w:spacing w:after="0" w:line="57" w:lineRule="exact"/>
        <w:rPr>
          <w:sz w:val="20"/>
          <w:szCs w:val="20"/>
          <w:color w:val="auto"/>
        </w:rPr>
      </w:pPr>
    </w:p>
    <w:p>
      <w:pPr>
        <w:ind w:left="300" w:right="339" w:firstLine="441"/>
        <w:spacing w:after="0" w:line="237" w:lineRule="auto"/>
        <w:rPr>
          <w:sz w:val="20"/>
          <w:szCs w:val="20"/>
          <w:color w:val="auto"/>
        </w:rPr>
      </w:pPr>
      <w:r>
        <w:rPr>
          <w:rFonts w:ascii="Times New Roman" w:cs="Times New Roman" w:eastAsia="Times New Roman" w:hAnsi="Times New Roman"/>
          <w:sz w:val="18"/>
          <w:szCs w:val="18"/>
          <w:color w:val="auto"/>
        </w:rPr>
        <w:t>One of our strategies is also to generate new intellectual property through the protection of potential follow-on compounds.</w:t>
      </w:r>
    </w:p>
    <w:p>
      <w:pPr>
        <w:spacing w:after="0" w:line="6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In addition to patents, we rely upon unpatented trade secrets, know-how, and continuing technological innovation to develop and maintain our competitive position. We protect our proprietary information, in part, using confidentiality agreements with our commercial partners, collaborators, employees and consultants and invention</w:t>
      </w: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assignment agreements with our employees. We also have confidentiality agreements or invention assignment agreements with our commercial partners and selected consultants. Despite these measures, any of our intellectual property and proprietary rights could be challenged, invalidated, circumvented, infringed or misappropriated, or</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such intellectual property and proprietary rights may not be sufficient to permit us to take advantage of current market trends or otherwise to provide competitive advantages. In addition, such confidentiality agreements and invention assignment agreements can be breached and we may not have adequate remedies for any such breach. For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more information, please see “Risk Factors—Risks Related to Intellectual Property.”</w:t>
      </w:r>
    </w:p>
    <w:p>
      <w:pPr>
        <w:spacing w:after="0" w:line="57"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are seeking patent protection for our drug candidates, the patent term is 20</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years from the earliest date of filing a non-provisional patent application. In the United States, the term of a patent may be lengthened by a patent term adjustment, which provides for term extension in the case of administrative delays at the United States Patent and Trademark Office in granting a patent, or may be shortened if a patent is</w:t>
      </w:r>
    </w:p>
    <w:p>
      <w:pPr>
        <w:spacing w:after="0" w:line="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terminally disclaimed over another patent with an earlier expiration date. Furthermore, in the United States, the term of a patent covering an FDA approved drug may be eligible for patent term extension (“PTE”) under the Hatch-</w:t>
      </w:r>
    </w:p>
    <w:p>
      <w:pPr>
        <w:sectPr>
          <w:pgSz w:w="11900" w:h="16838" w:orient="portrait"/>
          <w:cols w:equalWidth="0" w:num="1">
            <w:col w:w="9019"/>
          </w:cols>
          <w:pgMar w:left="1440" w:top="108" w:right="1440" w:bottom="0" w:gutter="0" w:footer="0" w:header="0"/>
        </w:sectPr>
      </w:pPr>
    </w:p>
    <w:bookmarkStart w:id="71" w:name="page72"/>
    <w:bookmarkEnd w:id="71"/>
    <w:p>
      <w:pPr>
        <w:spacing w:after="0" w:line="44" w:lineRule="exact"/>
        <w:rPr>
          <w:sz w:val="20"/>
          <w:szCs w:val="20"/>
          <w:color w:val="auto"/>
        </w:rPr>
      </w:pPr>
    </w:p>
    <w:p>
      <w:pPr>
        <w:ind w:left="300" w:right="499"/>
        <w:spacing w:after="0" w:line="180" w:lineRule="auto"/>
        <w:rPr>
          <w:sz w:val="20"/>
          <w:szCs w:val="20"/>
          <w:color w:val="auto"/>
        </w:rPr>
      </w:pPr>
      <w:r>
        <w:rPr>
          <w:rFonts w:ascii="Times New Roman" w:cs="Times New Roman" w:eastAsia="Times New Roman" w:hAnsi="Times New Roman"/>
          <w:sz w:val="16"/>
          <w:szCs w:val="16"/>
          <w:color w:val="auto"/>
        </w:rPr>
        <w:t>Waxman Amendments as compensation for the loss of patent term during the FDA regulatory review process. The period of extension may be up to five years beyond the expiration of the patent but cannot extend the term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7016115" cy="3328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3328035"/>
                    </a:xfrm>
                    <a:prstGeom prst="rect">
                      <a:avLst/>
                    </a:prstGeom>
                    <a:noFill/>
                  </pic:spPr>
                </pic:pic>
              </a:graphicData>
            </a:graphic>
          </wp:anchor>
        </w:drawing>
      </w:r>
    </w:p>
    <w:p>
      <w:pPr>
        <w:ind w:left="300" w:right="299"/>
        <w:spacing w:after="0" w:line="223" w:lineRule="auto"/>
        <w:rPr>
          <w:sz w:val="20"/>
          <w:szCs w:val="20"/>
          <w:color w:val="auto"/>
        </w:rPr>
      </w:pPr>
      <w:r>
        <w:rPr>
          <w:rFonts w:ascii="Times New Roman" w:cs="Times New Roman" w:eastAsia="Times New Roman" w:hAnsi="Times New Roman"/>
          <w:sz w:val="17"/>
          <w:szCs w:val="17"/>
          <w:color w:val="auto"/>
        </w:rPr>
        <w:t>patent beyond a total of 14 years from the date of product approval. Only one patent covering a single FDA-approved product among those eligible for an extension may be extended. In the future, if any of our drug candidates</w:t>
      </w:r>
    </w:p>
    <w:p>
      <w:pPr>
        <w:spacing w:after="0" w:line="1"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receives FDA approval, we expect to apply for a PTE, if available, to extend the term of a patent covering such approved drug product. We also expect to seek PTEs in any jurisdictions where they are available, however, there is no guarantee that the applicable authorities, including the FDA, will agree with our assessment of whether such an</w:t>
      </w:r>
    </w:p>
    <w:p>
      <w:pPr>
        <w:spacing w:after="0" w:line="2" w:lineRule="exact"/>
        <w:rPr>
          <w:sz w:val="20"/>
          <w:szCs w:val="20"/>
          <w:color w:val="auto"/>
        </w:rPr>
      </w:pPr>
    </w:p>
    <w:p>
      <w:pPr>
        <w:ind w:left="300" w:right="519"/>
        <w:spacing w:after="0" w:line="218" w:lineRule="auto"/>
        <w:rPr>
          <w:sz w:val="20"/>
          <w:szCs w:val="20"/>
          <w:color w:val="auto"/>
        </w:rPr>
      </w:pPr>
      <w:r>
        <w:rPr>
          <w:rFonts w:ascii="Times New Roman" w:cs="Times New Roman" w:eastAsia="Times New Roman" w:hAnsi="Times New Roman"/>
          <w:sz w:val="18"/>
          <w:szCs w:val="18"/>
          <w:color w:val="auto"/>
        </w:rPr>
        <w:t>extension should be granted, and even if granted, the length of such an extension. See “Item 3.D. Risk Factors— Risks Related to Intellectual Property — Our ability to commercialize our drug candidates may decrease if we are unable to protect our intellectual property rights or if these rights are insufficient for our purposes."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81" w:lineRule="exact"/>
        <w:rPr>
          <w:sz w:val="20"/>
          <w:szCs w:val="20"/>
          <w:color w:val="auto"/>
        </w:rPr>
      </w:pPr>
    </w:p>
    <w:p>
      <w:pPr>
        <w:ind w:left="300" w:right="319" w:firstLine="441"/>
        <w:spacing w:after="0" w:line="222" w:lineRule="auto"/>
        <w:rPr>
          <w:sz w:val="20"/>
          <w:szCs w:val="20"/>
          <w:color w:val="auto"/>
        </w:rPr>
      </w:pPr>
      <w:r>
        <w:rPr>
          <w:rFonts w:ascii="Times New Roman" w:cs="Times New Roman" w:eastAsia="Times New Roman" w:hAnsi="Times New Roman"/>
          <w:sz w:val="18"/>
          <w:szCs w:val="18"/>
          <w:color w:val="auto"/>
        </w:rPr>
        <w:t>All the patents and patent applications covering obefazimod are co-owned with the French National Centre for Scientific Research (the “CNRS”), the University of Montpellier, and the Institut Curie, except U.S. patent</w:t>
      </w:r>
    </w:p>
    <w:p>
      <w:pPr>
        <w:ind w:left="300"/>
        <w:spacing w:after="0" w:line="205" w:lineRule="auto"/>
        <w:rPr>
          <w:sz w:val="20"/>
          <w:szCs w:val="20"/>
          <w:color w:val="auto"/>
        </w:rPr>
      </w:pPr>
      <w:r>
        <w:rPr>
          <w:rFonts w:ascii="Times New Roman" w:cs="Times New Roman" w:eastAsia="Times New Roman" w:hAnsi="Times New Roman"/>
          <w:sz w:val="18"/>
          <w:szCs w:val="18"/>
          <w:color w:val="auto"/>
        </w:rPr>
        <w:t>10,464,903, U.S. patent 10,745,357, U.S. patent applications 18/729,018, U.S. patent application 18/893,339, U.S.</w:t>
      </w:r>
    </w:p>
    <w:p>
      <w:pPr>
        <w:ind w:left="300"/>
        <w:spacing w:after="0"/>
        <w:rPr>
          <w:sz w:val="20"/>
          <w:szCs w:val="20"/>
          <w:color w:val="auto"/>
        </w:rPr>
      </w:pPr>
      <w:r>
        <w:rPr>
          <w:rFonts w:ascii="Times New Roman" w:cs="Times New Roman" w:eastAsia="Times New Roman" w:hAnsi="Times New Roman"/>
          <w:sz w:val="18"/>
          <w:szCs w:val="18"/>
          <w:color w:val="auto"/>
        </w:rPr>
        <w:t>patent application 18/832,670 and U.S. patent application 19/149,308,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1056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710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Obefazimod</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December 31, 2025, the principal patent rights related to obefazimod, include:</w:t>
      </w:r>
    </w:p>
    <w:p>
      <w:pPr>
        <w:spacing w:after="0" w:line="90" w:lineRule="exact"/>
        <w:rPr>
          <w:sz w:val="20"/>
          <w:szCs w:val="20"/>
          <w:color w:val="auto"/>
        </w:rPr>
      </w:pPr>
    </w:p>
    <w:p>
      <w:pPr>
        <w:ind w:left="1280" w:right="359" w:hanging="328"/>
        <w:spacing w:after="0" w:line="220"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10,017,498, which is directed to the composition of matter of obefazimod generically and specifically and to a pharmaceutical composition comprising it. This patent is also granted in Europe and several other countries (Australia, Brazil, Canada, China, Hong Kong, India, Japan, South Korea, Mexico, Russia, South Africa) and has an expiry date of 2030, not including patent term adjustment or any potential PTE.</w:t>
      </w:r>
    </w:p>
    <w:p>
      <w:pPr>
        <w:spacing w:after="0" w:line="50" w:lineRule="exact"/>
        <w:rPr>
          <w:rFonts w:ascii="Times New Roman" w:cs="Times New Roman" w:eastAsia="Times New Roman" w:hAnsi="Times New Roman"/>
          <w:sz w:val="18"/>
          <w:szCs w:val="18"/>
          <w:color w:val="auto"/>
        </w:rPr>
      </w:pPr>
    </w:p>
    <w:p>
      <w:pPr>
        <w:ind w:left="1280" w:right="319" w:hanging="328"/>
        <w:spacing w:after="0" w:line="224"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10,975,063, which is directed specifically to obefazimod (composition of matter), free base and salts of obefazimod, a pharmaceutical composition comprising it, a process for preparing it and a method for treating HIV infection. This patent has an expiry date of 2030, not including patent term adjustment or any potential PTE.</w:t>
      </w:r>
    </w:p>
    <w:p>
      <w:pPr>
        <w:spacing w:after="0" w:line="64" w:lineRule="exact"/>
        <w:rPr>
          <w:rFonts w:ascii="Times New Roman" w:cs="Times New Roman" w:eastAsia="Times New Roman" w:hAnsi="Times New Roman"/>
          <w:sz w:val="18"/>
          <w:szCs w:val="18"/>
          <w:color w:val="auto"/>
        </w:rPr>
      </w:pPr>
    </w:p>
    <w:p>
      <w:pPr>
        <w:ind w:left="1280" w:right="459" w:hanging="328"/>
        <w:spacing w:after="0" w:line="224"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10,435,370, which is directed to methods of treating inflammatory diseases including UC and CD by obefazimod generically and specifically. This patent is also granted in Europe and several other countries (Australia, Brazil, Canada, China, Hong Kong, India, Japan, South Korea, Mexico, Russia, South Africa).</w:t>
      </w:r>
    </w:p>
    <w:p>
      <w:pPr>
        <w:spacing w:after="0" w:line="50" w:lineRule="exact"/>
        <w:rPr>
          <w:rFonts w:ascii="Times New Roman" w:cs="Times New Roman" w:eastAsia="Times New Roman" w:hAnsi="Times New Roman"/>
          <w:sz w:val="18"/>
          <w:szCs w:val="18"/>
          <w:color w:val="auto"/>
        </w:rPr>
      </w:pPr>
    </w:p>
    <w:p>
      <w:pPr>
        <w:ind w:left="1280" w:right="439" w:hanging="328"/>
        <w:spacing w:after="0" w:line="237" w:lineRule="auto"/>
        <w:tabs>
          <w:tab w:leader="none" w:pos="12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continuation patent 11,649,211 is directed to the method of treating inflammatory diseases including UC and CD by obefazimod specifically. Divisional U.S. patents protect methods of treating additional inflammatory diseases (U.S. patent 10,981,874 and U.S. patent 11,649,210). These patents have an expiry date of 2035, not including patent term adjustment or any potential PTE.</w:t>
      </w:r>
    </w:p>
    <w:p>
      <w:pPr>
        <w:spacing w:after="0" w:line="51" w:lineRule="exact"/>
        <w:rPr>
          <w:rFonts w:ascii="Times New Roman" w:cs="Times New Roman" w:eastAsia="Times New Roman" w:hAnsi="Times New Roman"/>
          <w:sz w:val="17"/>
          <w:szCs w:val="17"/>
          <w:color w:val="auto"/>
        </w:rPr>
      </w:pPr>
    </w:p>
    <w:p>
      <w:pPr>
        <w:ind w:left="1280" w:right="299" w:hanging="328"/>
        <w:spacing w:after="0" w:line="223"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10,464,903 and U.S. patent 10,745,357, which are directed to a synthesis process for manufacturing obefazimod and derivatives thereof, a polymorphic form of the free base of obefazimod and crystalline forms of various salts of obefazimod. These patents have an expiry date of 2037, not including patent term adjustment or any potential PTE. A corresponding European patent has also been granted. These patents are solely owned by us.</w:t>
      </w:r>
    </w:p>
    <w:p>
      <w:pPr>
        <w:spacing w:after="0" w:line="37" w:lineRule="exact"/>
        <w:rPr>
          <w:rFonts w:ascii="Times New Roman" w:cs="Times New Roman" w:eastAsia="Times New Roman" w:hAnsi="Times New Roman"/>
          <w:sz w:val="18"/>
          <w:szCs w:val="18"/>
          <w:color w:val="auto"/>
        </w:rPr>
      </w:pPr>
    </w:p>
    <w:p>
      <w:pPr>
        <w:ind w:left="1280" w:right="379" w:hanging="328"/>
        <w:spacing w:after="0" w:line="212"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indications are also protected by other patents: U.S. patent 9,145,367, which is directed to the method of treating AIDS by obefazimod generically and specifically. This patent is also granted in Europe and several other countries and has an expiry date of 2030. U.S. patent 9,108,919, which is directed to the method of treating cancer by obefazimod generically and specifically. This patent is also granted in Europe and several other countries and has an expiry date of 2030. Another patent application published under US2019/17416679, directed to a method of treating cancer, has been filed worldwide in 2019, with patents granted or patent applications pending in other countries. U.S. patent 10,806,729, which is directed to the method of treating HIV resistant patients by obefazimod generically and specifically. This patent is also granted in some countries in Europe and has an expiry date of 2036.</w:t>
      </w:r>
    </w:p>
    <w:p>
      <w:pPr>
        <w:ind w:left="1280" w:right="459" w:hanging="328"/>
        <w:spacing w:after="0" w:line="234"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applications 17/416,856, now granted under U.S. 11,992,499, continuation application 18/635,542 and divisional application 18/635,693, which are respectively directed to the method of treating other inflammatory diseases by obefazimod specifically and generically or its N-glucuronide metabolite have been filed in 2019, as well as counterpart applications and granted patents in other countries.</w:t>
      </w:r>
    </w:p>
    <w:p>
      <w:pPr>
        <w:spacing w:after="0" w:line="77" w:lineRule="exact"/>
        <w:rPr>
          <w:rFonts w:ascii="Times New Roman" w:cs="Times New Roman" w:eastAsia="Times New Roman" w:hAnsi="Times New Roman"/>
          <w:sz w:val="18"/>
          <w:szCs w:val="18"/>
          <w:color w:val="auto"/>
        </w:rPr>
      </w:pPr>
    </w:p>
    <w:p>
      <w:pPr>
        <w:ind w:left="1280" w:right="299" w:hanging="328"/>
        <w:spacing w:after="0" w:line="224"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application 17/796,834, which is directed to the amorphous solid dispersion (ASD) of obefazimod, its method of preparation, pharmaceutical composition and method of treating inflammatory disease, cancer and viral diseases therewith has been filed in 2021, as well as counterpart applications in other countries.</w:t>
      </w:r>
    </w:p>
    <w:p>
      <w:pPr>
        <w:spacing w:after="0" w:line="64" w:lineRule="exact"/>
        <w:rPr>
          <w:rFonts w:ascii="Times New Roman" w:cs="Times New Roman" w:eastAsia="Times New Roman" w:hAnsi="Times New Roman"/>
          <w:sz w:val="18"/>
          <w:szCs w:val="18"/>
          <w:color w:val="auto"/>
        </w:rPr>
      </w:pPr>
    </w:p>
    <w:p>
      <w:pPr>
        <w:ind w:left="1280" w:right="559" w:hanging="328"/>
        <w:spacing w:after="0" w:line="226"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application 17/793,133, which is directed to co-crystals and salts of obefazimod, pharmaceutical composition and method of treating inflammatory disease, cancer and viral diseases therewith has been filed in 2021, as well as counterpart applications in other countries.</w:t>
      </w:r>
    </w:p>
    <w:p>
      <w:pPr>
        <w:spacing w:after="0" w:line="63" w:lineRule="exact"/>
        <w:rPr>
          <w:rFonts w:ascii="Times New Roman" w:cs="Times New Roman" w:eastAsia="Times New Roman" w:hAnsi="Times New Roman"/>
          <w:sz w:val="18"/>
          <w:szCs w:val="18"/>
          <w:color w:val="auto"/>
        </w:rPr>
      </w:pPr>
    </w:p>
    <w:p>
      <w:pPr>
        <w:ind w:left="1280" w:right="439" w:hanging="328"/>
        <w:spacing w:after="0" w:line="263" w:lineRule="auto"/>
        <w:tabs>
          <w:tab w:leader="none" w:pos="12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application 18/284,253, which is directed to a synthesis process for manufacturing obefazimod and derivatives thereof and was filed in 2022, as well as counterpart applications in other</w:t>
      </w:r>
    </w:p>
    <w:p>
      <w:pPr>
        <w:sectPr>
          <w:pgSz w:w="11900" w:h="16883" w:orient="portrait"/>
          <w:cols w:equalWidth="0" w:num="1">
            <w:col w:w="9019"/>
          </w:cols>
          <w:pgMar w:left="1440" w:top="108" w:right="1440" w:bottom="0" w:gutter="0" w:footer="0" w:header="0"/>
        </w:sectPr>
      </w:pPr>
    </w:p>
    <w:bookmarkStart w:id="72" w:name="page73"/>
    <w:bookmarkEnd w:id="72"/>
    <w:p>
      <w:pPr>
        <w:ind w:left="1280"/>
        <w:spacing w:after="0"/>
        <w:rPr>
          <w:sz w:val="20"/>
          <w:szCs w:val="20"/>
          <w:color w:val="auto"/>
        </w:rPr>
      </w:pPr>
      <w:r>
        <w:rPr>
          <w:rFonts w:ascii="Times New Roman" w:cs="Times New Roman" w:eastAsia="Times New Roman" w:hAnsi="Times New Roman"/>
          <w:sz w:val="18"/>
          <w:szCs w:val="18"/>
          <w:color w:val="auto"/>
        </w:rPr>
        <w:t>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1956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1956435"/>
                    </a:xfrm>
                    <a:prstGeom prst="rect">
                      <a:avLst/>
                    </a:prstGeom>
                    <a:noFill/>
                  </pic:spPr>
                </pic:pic>
              </a:graphicData>
            </a:graphic>
          </wp:anchor>
        </w:drawing>
      </w:r>
    </w:p>
    <w:p>
      <w:pPr>
        <w:spacing w:after="0" w:line="8" w:lineRule="exact"/>
        <w:rPr>
          <w:sz w:val="20"/>
          <w:szCs w:val="20"/>
          <w:color w:val="auto"/>
        </w:rPr>
      </w:pPr>
    </w:p>
    <w:p>
      <w:pPr>
        <w:ind w:left="1280" w:right="339" w:hanging="328"/>
        <w:spacing w:after="0" w:line="219" w:lineRule="auto"/>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applications 18/729,018 and continuation in part application 18/893,339, which are directed to combinations products with obefazimod and etrasimod or ozanimod were respectively filed in 2023 and 2024, as well as counterpart applications in other countries.</w:t>
      </w:r>
    </w:p>
    <w:p>
      <w:pPr>
        <w:spacing w:after="0" w:line="63" w:lineRule="exact"/>
        <w:rPr>
          <w:rFonts w:ascii="Times New Roman" w:cs="Times New Roman" w:eastAsia="Times New Roman" w:hAnsi="Times New Roman"/>
          <w:sz w:val="18"/>
          <w:szCs w:val="18"/>
          <w:color w:val="auto"/>
        </w:rPr>
      </w:pPr>
    </w:p>
    <w:p>
      <w:pPr>
        <w:ind w:left="1260" w:right="499" w:hanging="320"/>
        <w:spacing w:after="0" w:line="232" w:lineRule="auto"/>
        <w:tabs>
          <w:tab w:leader="none" w:pos="12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 patent application 18/832,670, which is directed to combinations products with obefazimod and Rinvoq, filed in 2023, as well as counterpart applications in other countries.</w:t>
      </w:r>
    </w:p>
    <w:p>
      <w:pPr>
        <w:spacing w:after="0" w:line="77" w:lineRule="exact"/>
        <w:rPr>
          <w:rFonts w:ascii="Times New Roman" w:cs="Times New Roman" w:eastAsia="Times New Roman" w:hAnsi="Times New Roman"/>
          <w:sz w:val="20"/>
          <w:szCs w:val="20"/>
          <w:color w:val="auto"/>
        </w:rPr>
      </w:pPr>
    </w:p>
    <w:p>
      <w:pPr>
        <w:ind w:left="1280" w:right="379" w:hanging="328"/>
        <w:spacing w:after="0" w:line="239" w:lineRule="auto"/>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U.S. patent application 19/149,308, which is directed to obefazimod for treatment of ulcerative colitis, was filed in 2024, as well as counterpart applications in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4772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847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Domain Names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own a number of registered and pending trademarks and registered domain names. The URL for our</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website, as well as a number of domain names including the wording “abivax” or “obefazimod.” “Abivax” is a registered trademark of our company in Australia, Brazil, Canada, Cuba, the EU, France, India, South Africa, the United Kingdom and the United States. The “Abivax” trademark is pending in Canada, China, India, Japan, Mexico,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South Africa, South Korea and the United States.</w:t>
      </w:r>
    </w:p>
    <w:p>
      <w:pPr>
        <w:spacing w:after="0" w:line="200" w:lineRule="exact"/>
        <w:rPr>
          <w:sz w:val="20"/>
          <w:szCs w:val="20"/>
          <w:color w:val="auto"/>
        </w:rPr>
      </w:pPr>
    </w:p>
    <w:p>
      <w:pPr>
        <w:spacing w:after="0" w:line="24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337" w:lineRule="exact"/>
        <w:rPr>
          <w:sz w:val="20"/>
          <w:szCs w:val="20"/>
          <w:color w:val="auto"/>
        </w:rPr>
      </w:pPr>
    </w:p>
    <w:p>
      <w:pPr>
        <w:ind w:left="300" w:right="359" w:firstLine="441"/>
        <w:spacing w:after="0" w:line="250" w:lineRule="auto"/>
        <w:rPr>
          <w:sz w:val="20"/>
          <w:szCs w:val="20"/>
          <w:color w:val="auto"/>
        </w:rPr>
      </w:pPr>
      <w:r>
        <w:rPr>
          <w:rFonts w:ascii="Times New Roman" w:cs="Times New Roman" w:eastAsia="Times New Roman" w:hAnsi="Times New Roman"/>
          <w:sz w:val="18"/>
          <w:szCs w:val="18"/>
          <w:color w:val="auto"/>
        </w:rPr>
        <w:t>Abivax SA is the parent company of Abivax, LLC, a wholly-owned subsidiary organized in Delaware,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121"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Our corporate headquarters is located in Paris, France, where we occupy approximately 850 square meters of office space that we sublease and we lease 150 square meters of office space in Jacou, Region of Occitanie in the south of France. We lease an additional 279 square meters of office space in Boston, Massachusetts. We believe our</w:t>
      </w:r>
    </w:p>
    <w:p>
      <w:pPr>
        <w:ind w:left="300"/>
        <w:spacing w:after="0"/>
        <w:rPr>
          <w:sz w:val="20"/>
          <w:szCs w:val="20"/>
          <w:color w:val="auto"/>
        </w:rPr>
      </w:pPr>
      <w:r>
        <w:rPr>
          <w:rFonts w:ascii="Times New Roman" w:cs="Times New Roman" w:eastAsia="Times New Roman" w:hAnsi="Times New Roman"/>
          <w:sz w:val="18"/>
          <w:szCs w:val="18"/>
          <w:color w:val="auto"/>
        </w:rPr>
        <w:t>existing facilities meet our current needs.</w:t>
      </w:r>
    </w:p>
    <w:p>
      <w:pPr>
        <w:spacing w:after="0" w:line="377"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108"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84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584835"/>
                    </a:xfrm>
                    <a:prstGeom prst="rect">
                      <a:avLst/>
                    </a:prstGeom>
                    <a:noFill/>
                  </pic:spPr>
                </pic:pic>
              </a:graphicData>
            </a:graphic>
          </wp:anchor>
        </w:drawing>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607" w:right="1440"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227"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our financial statements and the related notes thereto included elsewhere in this Annual Report on Form 20-F.</w:t>
      </w:r>
    </w:p>
    <w:p>
      <w:pPr>
        <w:jc w:val="both"/>
        <w:ind w:left="300" w:right="339"/>
        <w:spacing w:after="0" w:line="220"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w:t>
      </w:r>
    </w:p>
    <w:p>
      <w:pPr>
        <w:spacing w:after="0" w:line="2" w:lineRule="exact"/>
        <w:rPr>
          <w:sz w:val="20"/>
          <w:szCs w:val="20"/>
          <w:color w:val="auto"/>
        </w:rPr>
      </w:pPr>
    </w:p>
    <w:p>
      <w:pPr>
        <w:ind w:left="300" w:right="859"/>
        <w:spacing w:after="0" w:line="226" w:lineRule="auto"/>
        <w:rPr>
          <w:sz w:val="20"/>
          <w:szCs w:val="20"/>
          <w:color w:val="auto"/>
        </w:rPr>
      </w:pPr>
      <w:r>
        <w:rPr>
          <w:rFonts w:ascii="Times New Roman" w:cs="Times New Roman" w:eastAsia="Times New Roman" w:hAnsi="Times New Roman"/>
          <w:sz w:val="18"/>
          <w:szCs w:val="18"/>
          <w:i w:val="1"/>
          <w:iCs w:val="1"/>
          <w:color w:val="auto"/>
        </w:rPr>
        <w:t>those discussed below and elsewhere in this annual report, particularly in the sections titled “Item 3.D—Risk Factors” and “Special Note Regarding Forward-Looking Statements.”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left="300" w:right="599" w:firstLine="441"/>
        <w:spacing w:after="0" w:line="263" w:lineRule="auto"/>
        <w:rPr>
          <w:sz w:val="20"/>
          <w:szCs w:val="20"/>
          <w:color w:val="auto"/>
        </w:rPr>
      </w:pPr>
      <w:r>
        <w:rPr>
          <w:rFonts w:ascii="Times New Roman" w:cs="Times New Roman" w:eastAsia="Times New Roman" w:hAnsi="Times New Roman"/>
          <w:sz w:val="17"/>
          <w:szCs w:val="17"/>
          <w:color w:val="auto"/>
        </w:rPr>
        <w:t>We are a clinical-stage biotechnology company focused on developing therapeutics that harness the body’s natural regulatory mechanisms to stabilize the immune response in patients with chronic inflammatory diseases.</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focus on indications where existing treatments have left patients with significant unmet needs, and where</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we believe our investigational agents have the potential to be meaningfully differentiated from currently available therapies. Our initial focus is on inflammatory bowel diseases (“IBD”), chronic conditions involving inflammation of the gastrointestinal tract, of which the two most common forms are ulcerative colitis ("UC") and Crohn's disease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("CD").</w:t>
      </w:r>
    </w:p>
    <w:p>
      <w:pPr>
        <w:spacing w:after="0" w:line="57" w:lineRule="exact"/>
        <w:rPr>
          <w:sz w:val="20"/>
          <w:szCs w:val="20"/>
          <w:color w:val="auto"/>
        </w:rPr>
      </w:pPr>
    </w:p>
    <w:p>
      <w:pPr>
        <w:ind w:left="300" w:right="759" w:firstLine="441"/>
        <w:spacing w:after="0" w:line="236" w:lineRule="auto"/>
        <w:rPr>
          <w:sz w:val="20"/>
          <w:szCs w:val="20"/>
          <w:color w:val="auto"/>
        </w:rPr>
      </w:pPr>
      <w:r>
        <w:rPr>
          <w:rFonts w:ascii="Times New Roman" w:cs="Times New Roman" w:eastAsia="Times New Roman" w:hAnsi="Times New Roman"/>
          <w:sz w:val="17"/>
          <w:szCs w:val="17"/>
          <w:color w:val="auto"/>
        </w:rPr>
        <w:t>We believe our lead drug candidate, obefazimod, is differentiated from competing approaches for the treatment of IBD via its novel mechanism of action. Obefazimod was demonstrated to specifically enhance the</w:t>
      </w: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w:t>
      </w:r>
    </w:p>
    <w:p>
      <w:pPr>
        <w:spacing w:after="0" w:line="2" w:lineRule="exact"/>
        <w:rPr>
          <w:sz w:val="20"/>
          <w:szCs w:val="20"/>
          <w:color w:val="auto"/>
        </w:rPr>
      </w:pPr>
    </w:p>
    <w:p>
      <w:pPr>
        <w:ind w:left="300" w:right="1199"/>
        <w:spacing w:after="0" w:line="226" w:lineRule="auto"/>
        <w:rPr>
          <w:sz w:val="20"/>
          <w:szCs w:val="20"/>
          <w:color w:val="auto"/>
        </w:rPr>
      </w:pPr>
      <w:r>
        <w:rPr>
          <w:rFonts w:ascii="Times New Roman" w:cs="Times New Roman" w:eastAsia="Times New Roman" w:hAnsi="Times New Roman"/>
          <w:sz w:val="18"/>
          <w:szCs w:val="18"/>
          <w:color w:val="auto"/>
        </w:rPr>
        <w:t>results over the long-term, which is critical in lifelong conditions such as IBD, potentially differentiating obefazimod from currently available IBD treatments.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Obefazimod is currently in Phase 3 clinical development for the treatment of moderately to severely active</w:t>
      </w:r>
    </w:p>
    <w:p>
      <w:pPr>
        <w:spacing w:after="0" w:line="2" w:lineRule="exact"/>
        <w:rPr>
          <w:sz w:val="20"/>
          <w:szCs w:val="20"/>
          <w:color w:val="auto"/>
        </w:rPr>
      </w:pP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our miR-124 platform.</w:t>
      </w:r>
    </w:p>
    <w:p>
      <w:pPr>
        <w:spacing w:after="0" w:line="62"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 xml:space="preserve">We were incorporated as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on December 4, 2013 and, in 2014, we acquired Splicos, Wittycell and Zophis by means of a universal transfer of assets and liabilities (</w:t>
      </w:r>
      <w:r>
        <w:rPr>
          <w:rFonts w:ascii="Times New Roman" w:cs="Times New Roman" w:eastAsia="Times New Roman" w:hAnsi="Times New Roman"/>
          <w:sz w:val="17"/>
          <w:szCs w:val="17"/>
          <w:i w:val="1"/>
          <w:iCs w:val="1"/>
          <w:color w:val="auto"/>
        </w:rPr>
        <w:t>Transmission Universelle du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Patrimoine </w:t>
      </w:r>
      <w:r>
        <w:rPr>
          <w:rFonts w:ascii="Times New Roman" w:cs="Times New Roman" w:eastAsia="Times New Roman" w:hAnsi="Times New Roman"/>
          <w:sz w:val="17"/>
          <w:szCs w:val="17"/>
          <w:color w:val="auto"/>
        </w:rPr>
        <w:t>(“TUP”)). We have been listed on Euronext Paris since June 26, 2015, and on the Nasdaq Global Market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 October 24, 2023.</w:t>
      </w:r>
    </w:p>
    <w:p>
      <w:pPr>
        <w:spacing w:after="0" w:line="57" w:lineRule="exact"/>
        <w:rPr>
          <w:sz w:val="20"/>
          <w:szCs w:val="20"/>
          <w:color w:val="auto"/>
        </w:rPr>
      </w:pPr>
    </w:p>
    <w:p>
      <w:pPr>
        <w:ind w:left="300" w:right="359" w:firstLine="445"/>
        <w:spacing w:after="0" w:line="236" w:lineRule="auto"/>
        <w:rPr>
          <w:sz w:val="20"/>
          <w:szCs w:val="20"/>
          <w:color w:val="auto"/>
        </w:rPr>
      </w:pPr>
      <w:r>
        <w:rPr>
          <w:rFonts w:ascii="Times New Roman" w:cs="Times New Roman" w:eastAsia="Times New Roman" w:hAnsi="Times New Roman"/>
          <w:sz w:val="17"/>
          <w:szCs w:val="17"/>
          <w:color w:val="auto"/>
        </w:rPr>
        <w:t>On March 20, 2023, our United States-based subsidiary Abivax LLC (the “Subsidiary”) was formed as a limited liability company under the laws of the State of Delaware. The Subsidiary hosts our operations in the United</w:t>
      </w: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States. We have prepared audited consolidated statements of financial position of the Company and the Subsidiary as of December 31, 2025, 2024 and 2023, and the related consolidated statements of income (loss), comprehensive income (loss), changes in shareholders’ equity and cash flows for each of the three years in the period ended</w:t>
      </w:r>
    </w:p>
    <w:p>
      <w:pPr>
        <w:spacing w:after="0" w:line="2" w:lineRule="exact"/>
        <w:rPr>
          <w:sz w:val="20"/>
          <w:szCs w:val="20"/>
          <w:color w:val="auto"/>
        </w:rPr>
      </w:pPr>
    </w:p>
    <w:p>
      <w:pPr>
        <w:jc w:val="both"/>
        <w:ind w:left="300" w:right="339"/>
        <w:spacing w:after="0" w:line="218" w:lineRule="auto"/>
        <w:rPr>
          <w:sz w:val="20"/>
          <w:szCs w:val="20"/>
          <w:color w:val="auto"/>
        </w:rPr>
      </w:pPr>
      <w:r>
        <w:rPr>
          <w:rFonts w:ascii="Times New Roman" w:cs="Times New Roman" w:eastAsia="Times New Roman" w:hAnsi="Times New Roman"/>
          <w:sz w:val="18"/>
          <w:szCs w:val="18"/>
          <w:color w:val="auto"/>
        </w:rPr>
        <w:t>December 31, 2025, including the related notes (collectively referred to as the “consolidated financial statements”). As of December 31, 2025, the Subsidiary’s contribution to our consolidated results of operations was a net operating loss of €(246.1) million.</w:t>
      </w:r>
    </w:p>
    <w:p>
      <w:pPr>
        <w:spacing w:after="0" w:line="64" w:lineRule="exact"/>
        <w:rPr>
          <w:sz w:val="20"/>
          <w:szCs w:val="20"/>
          <w:color w:val="auto"/>
        </w:rPr>
      </w:pPr>
    </w:p>
    <w:p>
      <w:pPr>
        <w:ind w:left="300" w:right="339" w:firstLine="441"/>
        <w:spacing w:after="0" w:line="216" w:lineRule="auto"/>
        <w:rPr>
          <w:sz w:val="20"/>
          <w:szCs w:val="20"/>
          <w:color w:val="auto"/>
        </w:rPr>
      </w:pPr>
      <w:r>
        <w:rPr>
          <w:rFonts w:ascii="Times New Roman" w:cs="Times New Roman" w:eastAsia="Times New Roman" w:hAnsi="Times New Roman"/>
          <w:sz w:val="18"/>
          <w:szCs w:val="18"/>
          <w:color w:val="auto"/>
        </w:rPr>
        <w:t>Since our inception in 2013, we have devoted substantially all of our efforts to organizing and staffing our company, business planning, raising capital, establishing our intellectual property portfolio, acquiring or discovering drug candidates, research and development activities for obefazimod and other compounds, establishing</w:t>
      </w:r>
    </w:p>
    <w:p>
      <w:pPr>
        <w:spacing w:after="0" w:line="1" w:lineRule="exact"/>
        <w:rPr>
          <w:sz w:val="20"/>
          <w:szCs w:val="20"/>
          <w:color w:val="auto"/>
        </w:rPr>
      </w:pPr>
    </w:p>
    <w:p>
      <w:pPr>
        <w:jc w:val="both"/>
        <w:ind w:left="300" w:right="339"/>
        <w:spacing w:after="0" w:line="208" w:lineRule="auto"/>
        <w:rPr>
          <w:sz w:val="20"/>
          <w:szCs w:val="20"/>
          <w:color w:val="auto"/>
        </w:rPr>
      </w:pPr>
      <w:r>
        <w:rPr>
          <w:rFonts w:ascii="Times New Roman" w:cs="Times New Roman" w:eastAsia="Times New Roman" w:hAnsi="Times New Roman"/>
          <w:sz w:val="18"/>
          <w:szCs w:val="18"/>
          <w:color w:val="auto"/>
        </w:rPr>
        <w:t>arrangements with third parties for the manufacture of our drug candidates and component materials, and providing general and administrative support for these operations. We do not have any products approved for sale and have not generated any revenue from product sales or otherwise. We do not expect to generate significant revenue from</w:t>
      </w:r>
    </w:p>
    <w:p>
      <w:pPr>
        <w:spacing w:after="0" w:line="2" w:lineRule="exact"/>
        <w:rPr>
          <w:sz w:val="20"/>
          <w:szCs w:val="20"/>
          <w:color w:val="auto"/>
        </w:rPr>
      </w:pPr>
    </w:p>
    <w:p>
      <w:pPr>
        <w:ind w:left="300" w:right="1039"/>
        <w:spacing w:after="0" w:line="226" w:lineRule="auto"/>
        <w:rPr>
          <w:sz w:val="20"/>
          <w:szCs w:val="20"/>
          <w:color w:val="auto"/>
        </w:rPr>
      </w:pPr>
      <w:r>
        <w:rPr>
          <w:rFonts w:ascii="Times New Roman" w:cs="Times New Roman" w:eastAsia="Times New Roman" w:hAnsi="Times New Roman"/>
          <w:sz w:val="18"/>
          <w:szCs w:val="18"/>
          <w:color w:val="auto"/>
        </w:rPr>
        <w:t>product sales or royalties unless and until our drug candidates are approved for marketing and successfully commercialized.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have incurred significant operating losses since inception, and we expect to continue to incur significant</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expenses and operating losses for the foreseeable future. Our ability to generate product revenue sufficient to achieve profitability will depend heavily on the successful development and eventual commercialization of obefazimod and any future drug candidates. For the years ended December 31, 2025, 2024 and 2023 we reported net</w:t>
      </w:r>
    </w:p>
    <w:p>
      <w:pPr>
        <w:spacing w:after="0" w:line="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losses of €336.1 million, €176.2 million and €147.7 million, respectively. As of December 31, 2025, we carried forward accumulated tax losses of €912.9 million. We expect to continue to incur net operating losses for at least the</w:t>
      </w:r>
    </w:p>
    <w:p>
      <w:pPr>
        <w:sectPr>
          <w:pgSz w:w="11900" w:h="16838" w:orient="portrait"/>
          <w:cols w:equalWidth="0" w:num="1">
            <w:col w:w="9019"/>
          </w:cols>
          <w:pgMar w:left="1440" w:top="607" w:right="1440" w:bottom="10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93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693420"/>
                    </a:xfrm>
                    <a:prstGeom prst="rect">
                      <a:avLst/>
                    </a:prstGeom>
                    <a:noFill/>
                  </pic:spPr>
                </pic:pic>
              </a:graphicData>
            </a:graphic>
          </wp:anchor>
        </w:drawing>
      </w:r>
    </w:p>
    <w:p>
      <w:pPr>
        <w:sectPr>
          <w:pgSz w:w="11900" w:h="16838" w:orient="portrait"/>
          <w:cols w:equalWidth="0" w:num="1">
            <w:col w:w="9019"/>
          </w:cols>
          <w:pgMar w:left="1440" w:top="607" w:right="1440" w:bottom="1041" w:gutter="0" w:footer="0" w:header="0"/>
          <w:type w:val="continuous"/>
        </w:sectPr>
      </w:pPr>
    </w:p>
    <w:bookmarkStart w:id="74" w:name="page75"/>
    <w:bookmarkEnd w:id="74"/>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686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115" cy="8368665"/>
                    </a:xfrm>
                    <a:prstGeom prst="rect">
                      <a:avLst/>
                    </a:prstGeom>
                    <a:noFill/>
                  </pic:spPr>
                </pic:pic>
              </a:graphicData>
            </a:graphic>
          </wp:anchor>
        </w:drawing>
      </w:r>
    </w:p>
    <w:p>
      <w:pPr>
        <w:ind w:left="300" w:right="639"/>
        <w:spacing w:after="0" w:line="236" w:lineRule="auto"/>
        <w:rPr>
          <w:sz w:val="20"/>
          <w:szCs w:val="20"/>
          <w:color w:val="auto"/>
        </w:rPr>
      </w:pPr>
      <w:r>
        <w:rPr>
          <w:rFonts w:ascii="Times New Roman" w:cs="Times New Roman" w:eastAsia="Times New Roman" w:hAnsi="Times New Roman"/>
          <w:sz w:val="17"/>
          <w:szCs w:val="17"/>
          <w:color w:val="auto"/>
        </w:rPr>
        <w:t>next several years, and we do not anticipate achieving profitability in the future unless we obtain regulatory approvals necessary to commercialize obefazimod and any additional drug candidates that we may pursue in the</w:t>
      </w:r>
    </w:p>
    <w:p>
      <w:pPr>
        <w:ind w:left="300" w:right="679"/>
        <w:spacing w:after="0" w:line="239" w:lineRule="auto"/>
        <w:rPr>
          <w:sz w:val="20"/>
          <w:szCs w:val="20"/>
          <w:color w:val="auto"/>
        </w:rPr>
      </w:pPr>
      <w:r>
        <w:rPr>
          <w:rFonts w:ascii="Times New Roman" w:cs="Times New Roman" w:eastAsia="Times New Roman" w:hAnsi="Times New Roman"/>
          <w:sz w:val="17"/>
          <w:szCs w:val="17"/>
          <w:color w:val="auto"/>
        </w:rPr>
        <w:t>future. We expect that our research and development expenses, general and administrative expenses, and capital expenditures will increase substantially in connection with our ongoing activities, particularly if and as we:</w:t>
      </w:r>
    </w:p>
    <w:p>
      <w:pPr>
        <w:spacing w:after="0" w:line="50" w:lineRule="exact"/>
        <w:rPr>
          <w:sz w:val="20"/>
          <w:szCs w:val="20"/>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existing drug candidates through clinical development;</w:t>
      </w:r>
    </w:p>
    <w:p>
      <w:pPr>
        <w:spacing w:after="0" w:line="90" w:lineRule="exact"/>
        <w:rPr>
          <w:rFonts w:ascii="Times New Roman" w:cs="Times New Roman" w:eastAsia="Times New Roman" w:hAnsi="Times New Roman"/>
          <w:sz w:val="18"/>
          <w:szCs w:val="18"/>
          <w:color w:val="auto"/>
        </w:rPr>
      </w:pPr>
    </w:p>
    <w:p>
      <w:pPr>
        <w:ind w:left="1280" w:right="999" w:hanging="328"/>
        <w:spacing w:after="0" w:line="237"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successfully complete clinical development of obefazimod, our clinical-stage drug candidate;</w:t>
      </w:r>
    </w:p>
    <w:p>
      <w:pPr>
        <w:spacing w:after="0" w:line="50" w:lineRule="exact"/>
        <w:rPr>
          <w:rFonts w:ascii="Times New Roman" w:cs="Times New Roman" w:eastAsia="Times New Roman" w:hAnsi="Times New Roman"/>
          <w:sz w:val="18"/>
          <w:szCs w:val="18"/>
          <w:color w:val="auto"/>
        </w:rPr>
      </w:pPr>
    </w:p>
    <w:p>
      <w:pPr>
        <w:ind w:left="1280" w:right="419" w:hanging="328"/>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maintain regulatory and marketing approvals for obefazimod and any future drug candidates for which we successfully complete clinical trials;</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preclinical and clinical development of our drug candidates;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current clinical trials for our drug candidates;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new clinical trials for our drug candidates;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scale and validate our commercial manufacturing capabilities for our drug candidates;</w:t>
      </w:r>
    </w:p>
    <w:p>
      <w:pPr>
        <w:spacing w:after="0" w:line="76" w:lineRule="exact"/>
        <w:rPr>
          <w:rFonts w:ascii="Times New Roman" w:cs="Times New Roman" w:eastAsia="Times New Roman" w:hAnsi="Times New Roman"/>
          <w:sz w:val="18"/>
          <w:szCs w:val="18"/>
          <w:color w:val="auto"/>
        </w:rPr>
      </w:pPr>
    </w:p>
    <w:p>
      <w:pPr>
        <w:ind w:left="1280" w:right="359" w:hanging="328"/>
        <w:spacing w:after="0" w:line="231"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drugs for which we may obtain regulatory and marketing approval for which we have not entered into a collaboration with a third-party;</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identify and validate additional drug candidates;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enforce and expand our intellectual property portfolio;</w:t>
      </w:r>
    </w:p>
    <w:p>
      <w:pPr>
        <w:spacing w:after="0" w:line="76" w:lineRule="exact"/>
        <w:rPr>
          <w:rFonts w:ascii="Times New Roman" w:cs="Times New Roman" w:eastAsia="Times New Roman" w:hAnsi="Times New Roman"/>
          <w:sz w:val="18"/>
          <w:szCs w:val="18"/>
          <w:color w:val="auto"/>
        </w:rPr>
      </w:pPr>
    </w:p>
    <w:p>
      <w:pPr>
        <w:ind w:left="1280" w:right="759" w:hanging="328"/>
        <w:spacing w:after="0" w:line="237"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non-clinical, clinical and potentially commercial supplies of obefazimod and any future drug candidates;</w:t>
      </w:r>
    </w:p>
    <w:p>
      <w:pPr>
        <w:spacing w:after="0" w:line="63" w:lineRule="exact"/>
        <w:rPr>
          <w:rFonts w:ascii="Times New Roman" w:cs="Times New Roman" w:eastAsia="Times New Roman" w:hAnsi="Times New Roman"/>
          <w:sz w:val="18"/>
          <w:szCs w:val="18"/>
          <w:color w:val="auto"/>
        </w:rPr>
      </w:pPr>
    </w:p>
    <w:p>
      <w:pPr>
        <w:ind w:left="1280" w:right="559" w:hanging="328"/>
        <w:spacing w:after="0" w:line="237"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and retain existing clinical, scientific, operational, financial and management personnel; and</w:t>
      </w:r>
    </w:p>
    <w:p>
      <w:pPr>
        <w:spacing w:after="0" w:line="50" w:lineRule="exact"/>
        <w:rPr>
          <w:rFonts w:ascii="Times New Roman" w:cs="Times New Roman" w:eastAsia="Times New Roman" w:hAnsi="Times New Roman"/>
          <w:sz w:val="18"/>
          <w:szCs w:val="18"/>
          <w:color w:val="auto"/>
        </w:rPr>
      </w:pPr>
    </w:p>
    <w:p>
      <w:pPr>
        <w:ind w:left="1280" w:right="319" w:hanging="328"/>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costs associated with operating as a dual-listed French and U.S. public company.</w:t>
      </w:r>
    </w:p>
    <w:p>
      <w:pPr>
        <w:spacing w:after="0" w:line="41" w:lineRule="exact"/>
        <w:rPr>
          <w:sz w:val="20"/>
          <w:szCs w:val="20"/>
          <w:color w:val="auto"/>
        </w:rPr>
      </w:pPr>
    </w:p>
    <w:p>
      <w:pPr>
        <w:ind w:left="300" w:right="699" w:firstLine="441"/>
        <w:spacing w:after="0" w:line="237" w:lineRule="auto"/>
        <w:rPr>
          <w:sz w:val="20"/>
          <w:szCs w:val="20"/>
          <w:color w:val="auto"/>
        </w:rPr>
      </w:pPr>
      <w:r>
        <w:rPr>
          <w:rFonts w:ascii="Times New Roman" w:cs="Times New Roman" w:eastAsia="Times New Roman" w:hAnsi="Times New Roman"/>
          <w:sz w:val="18"/>
          <w:szCs w:val="18"/>
          <w:color w:val="auto"/>
        </w:rPr>
        <w:t>Our net losses may fluctuate significantly from period to period, depending on the timing of expenditures related to our research and development activities.</w:t>
      </w:r>
    </w:p>
    <w:p>
      <w:pPr>
        <w:spacing w:after="0" w:line="64" w:lineRule="exact"/>
        <w:rPr>
          <w:sz w:val="20"/>
          <w:szCs w:val="20"/>
          <w:color w:val="auto"/>
        </w:rPr>
      </w:pPr>
    </w:p>
    <w:p>
      <w:pPr>
        <w:ind w:left="300" w:right="619" w:firstLine="441"/>
        <w:spacing w:after="0" w:line="229" w:lineRule="auto"/>
        <w:rPr>
          <w:sz w:val="20"/>
          <w:szCs w:val="20"/>
          <w:color w:val="auto"/>
        </w:rPr>
      </w:pPr>
      <w:r>
        <w:rPr>
          <w:rFonts w:ascii="Times New Roman" w:cs="Times New Roman" w:eastAsia="Times New Roman" w:hAnsi="Times New Roman"/>
          <w:sz w:val="17"/>
          <w:szCs w:val="17"/>
          <w:color w:val="auto"/>
        </w:rPr>
        <w:t>We will not generate revenue from product sales unless and until we successfully complete clinical development and obtain regulatory approval for a drug candidate. In particular, following the issuance of royalty certificates in September 2022 and other royalties that may become payable under our royalty agreements, the</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payment of royalties in the event of commercialization of obefazimod would result in a decrease in cash flows generated by sales of the product, which could have an unfavorable impact on our financial position, particularly at the beginning of the commercialization phase. In addition, if we obtain regulatory approval for a drug candidate and</w:t>
      </w:r>
    </w:p>
    <w:p>
      <w:pPr>
        <w:spacing w:after="0" w:line="2" w:lineRule="exact"/>
        <w:rPr>
          <w:sz w:val="20"/>
          <w:szCs w:val="20"/>
          <w:color w:val="auto"/>
        </w:rPr>
      </w:pP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do not enter into a third-party commercialization partnership, we expect to incur significant expenses related to developing our commercialization capability to support product sales, marketing, manufacturing and distribution activities.</w:t>
      </w:r>
    </w:p>
    <w:p>
      <w:pPr>
        <w:spacing w:after="0" w:line="64" w:lineRule="exact"/>
        <w:rPr>
          <w:sz w:val="20"/>
          <w:szCs w:val="20"/>
          <w:color w:val="auto"/>
        </w:rPr>
      </w:pPr>
    </w:p>
    <w:p>
      <w:pPr>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which could include</w:t>
      </w: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collaborations, strategic alliances or additional licensing arrangements. We may be unable to raise additional funds or enter into such arrangements when needed, on favorable terms, or at all. Our failure to raise capital or enter into such agreements as, and when, needed, could have a material adverse effect on our business, results of operations</w:t>
      </w:r>
    </w:p>
    <w:p>
      <w:pPr>
        <w:spacing w:after="0" w:line="2" w:lineRule="exact"/>
        <w:rPr>
          <w:sz w:val="20"/>
          <w:szCs w:val="20"/>
          <w:color w:val="auto"/>
        </w:rPr>
      </w:pPr>
    </w:p>
    <w:p>
      <w:pPr>
        <w:jc w:val="both"/>
        <w:ind w:left="300" w:right="419"/>
        <w:spacing w:after="0" w:line="220" w:lineRule="auto"/>
        <w:rPr>
          <w:sz w:val="20"/>
          <w:szCs w:val="20"/>
          <w:color w:val="auto"/>
        </w:rPr>
      </w:pPr>
      <w:r>
        <w:rPr>
          <w:rFonts w:ascii="Times New Roman" w:cs="Times New Roman" w:eastAsia="Times New Roman" w:hAnsi="Times New Roman"/>
          <w:sz w:val="17"/>
          <w:szCs w:val="17"/>
          <w:color w:val="auto"/>
        </w:rPr>
        <w:t>and financial condition, including requiring us to have to delay, reduce or eliminate product development or future commercialization efforts. The amount and timing of our future funding requirements will depend on many factors, including the successful advancement of obefazimod or any future drug candidates. Our ability to raise additional</w:t>
      </w:r>
    </w:p>
    <w:p>
      <w:pPr>
        <w:spacing w:after="0" w:line="2" w:lineRule="exact"/>
        <w:rPr>
          <w:sz w:val="20"/>
          <w:szCs w:val="20"/>
          <w:color w:val="auto"/>
        </w:rPr>
      </w:pPr>
    </w:p>
    <w:p>
      <w:pPr>
        <w:jc w:val="both"/>
        <w:ind w:left="300" w:right="619"/>
        <w:spacing w:after="0" w:line="218" w:lineRule="auto"/>
        <w:rPr>
          <w:sz w:val="20"/>
          <w:szCs w:val="20"/>
          <w:color w:val="auto"/>
        </w:rPr>
      </w:pPr>
      <w:r>
        <w:rPr>
          <w:rFonts w:ascii="Times New Roman" w:cs="Times New Roman" w:eastAsia="Times New Roman" w:hAnsi="Times New Roman"/>
          <w:sz w:val="18"/>
          <w:szCs w:val="18"/>
          <w:color w:val="auto"/>
        </w:rPr>
        <w:t>funds may also be adversely impacted by potential worsening global economic conditions and disruptions to and volatility in the credit and financial markets in the United States and worldwide, such as those resulting from the ongoing war in Ukraine.</w:t>
      </w:r>
    </w:p>
    <w:p>
      <w:pPr>
        <w:spacing w:after="0" w:line="64" w:lineRule="exact"/>
        <w:rPr>
          <w:sz w:val="20"/>
          <w:szCs w:val="20"/>
          <w:color w:val="auto"/>
        </w:rPr>
      </w:pPr>
    </w:p>
    <w:p>
      <w:pPr>
        <w:ind w:left="300" w:right="339" w:firstLine="441"/>
        <w:spacing w:after="0" w:line="22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development of treatment of chronic inflammatory diseases, we are unable to predict the timing or amount of increased expenses or when or if we will be able to achieve or maintain profitability. Even if we are able to generate product sales, we may not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065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1611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spacing w:after="0" w:line="237" w:lineRule="auto"/>
        <w:rPr>
          <w:sz w:val="20"/>
          <w:szCs w:val="20"/>
          <w:color w:val="auto"/>
        </w:rPr>
      </w:pPr>
      <w:r>
        <w:rPr>
          <w:rFonts w:ascii="Times New Roman" w:cs="Times New Roman" w:eastAsia="Times New Roman" w:hAnsi="Times New Roman"/>
          <w:sz w:val="18"/>
          <w:szCs w:val="18"/>
          <w:color w:val="auto"/>
        </w:rPr>
        <w:t>profitable. If we fail to become profitable or are unable to sustain profitability on a continuing basis, then we may be unable to continue our operations at planned levels and be forced to reduce or terminate our operations.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Factors Affecting Our Results of Operations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factors have affected, and we expect will continue to affect, our results of operations.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Activities</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Research and development activities are central to our business. Since our inception, most of our resources</w:t>
      </w:r>
    </w:p>
    <w:p>
      <w:pPr>
        <w:sectPr>
          <w:pgSz w:w="11900" w:h="16904" w:orient="portrait"/>
          <w:cols w:equalWidth="0" w:num="1">
            <w:col w:w="9019"/>
          </w:cols>
          <w:pgMar w:left="1440" w:top="310" w:right="1440" w:bottom="0" w:gutter="0" w:footer="0" w:header="0"/>
        </w:sectPr>
      </w:pPr>
    </w:p>
    <w:bookmarkStart w:id="75" w:name="page76"/>
    <w:bookmarkEnd w:id="75"/>
    <w:p>
      <w:pPr>
        <w:spacing w:after="0" w:line="124" w:lineRule="exact"/>
        <w:rPr>
          <w:sz w:val="20"/>
          <w:szCs w:val="20"/>
          <w:color w:val="auto"/>
        </w:rPr>
      </w:pPr>
    </w:p>
    <w:p>
      <w:pPr>
        <w:ind w:left="300" w:right="399"/>
        <w:spacing w:after="0" w:line="215" w:lineRule="auto"/>
        <w:rPr>
          <w:sz w:val="20"/>
          <w:szCs w:val="20"/>
          <w:color w:val="auto"/>
        </w:rPr>
      </w:pPr>
      <w:r>
        <w:rPr>
          <w:rFonts w:ascii="Times New Roman" w:cs="Times New Roman" w:eastAsia="Times New Roman" w:hAnsi="Times New Roman"/>
          <w:sz w:val="18"/>
          <w:szCs w:val="18"/>
          <w:color w:val="auto"/>
        </w:rPr>
        <w:t>have been allocated to research and development and it accounts for the majority of our operating expenses. For the year ended December 31, 2025, research and development expenses accounted for 71% of our total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-214630</wp:posOffset>
            </wp:positionV>
            <wp:extent cx="7016115" cy="6997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6997065"/>
                    </a:xfrm>
                    <a:prstGeom prst="rect">
                      <a:avLst/>
                    </a:prstGeom>
                    <a:noFill/>
                  </pic:spPr>
                </pic:pic>
              </a:graphicData>
            </a:graphic>
          </wp:anchor>
        </w:drawing>
      </w:r>
    </w:p>
    <w:p>
      <w:pPr>
        <w:ind w:left="300" w:right="739"/>
        <w:spacing w:after="0" w:line="220" w:lineRule="auto"/>
        <w:rPr>
          <w:sz w:val="20"/>
          <w:szCs w:val="20"/>
          <w:color w:val="auto"/>
        </w:rPr>
      </w:pPr>
      <w:r>
        <w:rPr>
          <w:rFonts w:ascii="Times New Roman" w:cs="Times New Roman" w:eastAsia="Times New Roman" w:hAnsi="Times New Roman"/>
          <w:sz w:val="17"/>
          <w:szCs w:val="17"/>
          <w:color w:val="auto"/>
        </w:rPr>
        <w:t>expenses, as compared to 79% and 78% for the years ended December 31, 2024 and 2023 respectively. Drug candidates in later stages of clinical development generally have higher development costs than those in earlier stages of clinical development, primarily due to the increased size and duration of later-stage clinical trials.</w:t>
      </w:r>
    </w:p>
    <w:p>
      <w:pPr>
        <w:spacing w:after="0" w:line="2" w:lineRule="exact"/>
        <w:rPr>
          <w:sz w:val="20"/>
          <w:szCs w:val="20"/>
          <w:color w:val="auto"/>
        </w:rPr>
      </w:pPr>
    </w:p>
    <w:p>
      <w:pPr>
        <w:jc w:val="both"/>
        <w:ind w:left="300" w:right="519"/>
        <w:spacing w:after="0" w:line="218" w:lineRule="auto"/>
        <w:rPr>
          <w:sz w:val="20"/>
          <w:szCs w:val="20"/>
          <w:color w:val="auto"/>
        </w:rPr>
      </w:pPr>
      <w:r>
        <w:rPr>
          <w:rFonts w:ascii="Times New Roman" w:cs="Times New Roman" w:eastAsia="Times New Roman" w:hAnsi="Times New Roman"/>
          <w:sz w:val="18"/>
          <w:szCs w:val="18"/>
          <w:color w:val="auto"/>
        </w:rPr>
        <w:t>Accordingly, we expect that our research and development expenses to remain in line with current spending in the foreseeable future as we seek to advance the development of our drug candidates. The successful development of our drug candidates remains highly uncertain.</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At this time, we cannot accurately determine or estimate the nature, timing and costs of the research and development activities that will be necessary to complete the remainder of the development of obefazimod, and we may never succeed in obtaining regulatory approval for obefazimod or any future drug candidates we may develop.</w:t>
      </w:r>
    </w:p>
    <w:p>
      <w:pPr>
        <w:ind w:left="300" w:right="479"/>
        <w:spacing w:after="0" w:line="239" w:lineRule="auto"/>
        <w:rPr>
          <w:sz w:val="20"/>
          <w:szCs w:val="20"/>
          <w:color w:val="auto"/>
        </w:rPr>
      </w:pPr>
      <w:r>
        <w:rPr>
          <w:rFonts w:ascii="Times New Roman" w:cs="Times New Roman" w:eastAsia="Times New Roman" w:hAnsi="Times New Roman"/>
          <w:sz w:val="17"/>
          <w:szCs w:val="17"/>
          <w:color w:val="auto"/>
        </w:rPr>
        <w:t>The duration, costs and timing of clinical trials and the development of our drug candidates will depend on numerous risks and uncertainties associated with clinical development, including risks and uncertainties related to:</w:t>
      </w:r>
    </w:p>
    <w:p>
      <w:pPr>
        <w:spacing w:after="0" w:line="50" w:lineRule="exact"/>
        <w:rPr>
          <w:sz w:val="20"/>
          <w:szCs w:val="20"/>
          <w:color w:val="auto"/>
        </w:rPr>
      </w:pPr>
    </w:p>
    <w:p>
      <w:pPr>
        <w:ind w:left="1280" w:right="559" w:hanging="328"/>
        <w:spacing w:after="0" w:line="250"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expenses of our clinical trials and other research and development activities;</w:t>
      </w:r>
    </w:p>
    <w:p>
      <w:pPr>
        <w:spacing w:after="0" w:line="41" w:lineRule="exact"/>
        <w:rPr>
          <w:rFonts w:ascii="Times New Roman" w:cs="Times New Roman" w:eastAsia="Times New Roman" w:hAnsi="Times New Roman"/>
          <w:sz w:val="18"/>
          <w:szCs w:val="18"/>
          <w:color w:val="auto"/>
        </w:rPr>
      </w:pPr>
    </w:p>
    <w:p>
      <w:pPr>
        <w:ind w:left="1280" w:right="719" w:hanging="328"/>
        <w:spacing w:after="0" w:line="237"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 and successful patient enrollment in, and the initiation and completion of, clinical trials;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76" w:lineRule="exact"/>
        <w:rPr>
          <w:rFonts w:ascii="Times New Roman" w:cs="Times New Roman" w:eastAsia="Times New Roman" w:hAnsi="Times New Roman"/>
          <w:sz w:val="18"/>
          <w:szCs w:val="18"/>
          <w:color w:val="auto"/>
        </w:rPr>
      </w:pPr>
    </w:p>
    <w:p>
      <w:pPr>
        <w:ind w:left="1280" w:right="459" w:hanging="328"/>
        <w:spacing w:after="0" w:line="250"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 or making arrangements with third-party manufacturers;</w:t>
      </w:r>
    </w:p>
    <w:p>
      <w:pPr>
        <w:spacing w:after="0" w:line="41" w:lineRule="exact"/>
        <w:rPr>
          <w:rFonts w:ascii="Times New Roman" w:cs="Times New Roman" w:eastAsia="Times New Roman" w:hAnsi="Times New Roman"/>
          <w:sz w:val="18"/>
          <w:szCs w:val="18"/>
          <w:color w:val="auto"/>
        </w:rPr>
      </w:pPr>
    </w:p>
    <w:p>
      <w:pPr>
        <w:ind w:left="1280" w:right="819" w:hanging="328"/>
        <w:spacing w:after="0" w:line="237"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maintaining, defending and enforcing patent claims and other intellectual property rights;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government regulation;</w:t>
      </w:r>
    </w:p>
    <w:p>
      <w:pPr>
        <w:spacing w:after="0" w:line="76" w:lineRule="exact"/>
        <w:rPr>
          <w:rFonts w:ascii="Times New Roman" w:cs="Times New Roman" w:eastAsia="Times New Roman" w:hAnsi="Times New Roman"/>
          <w:sz w:val="18"/>
          <w:szCs w:val="18"/>
          <w:color w:val="auto"/>
        </w:rPr>
      </w:pPr>
    </w:p>
    <w:p>
      <w:pPr>
        <w:ind w:left="1280" w:right="939" w:hanging="328"/>
        <w:spacing w:after="0" w:line="237"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drug candidates following regulatory approval;</w:t>
      </w:r>
    </w:p>
    <w:p>
      <w:pPr>
        <w:spacing w:after="0" w:line="76" w:lineRule="exact"/>
        <w:rPr>
          <w:rFonts w:ascii="Times New Roman" w:cs="Times New Roman" w:eastAsia="Times New Roman" w:hAnsi="Times New Roman"/>
          <w:sz w:val="18"/>
          <w:szCs w:val="18"/>
          <w:color w:val="auto"/>
        </w:rPr>
      </w:pPr>
    </w:p>
    <w:p>
      <w:pPr>
        <w:ind w:left="1280" w:right="419" w:hanging="328"/>
        <w:spacing w:after="0" w:line="237"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obefazimod or any other drug candidate that we may develop in the future; and</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and rapidly changing technologies within the biopharmaceutical industry.</w:t>
      </w:r>
    </w:p>
    <w:p>
      <w:pPr>
        <w:spacing w:after="0" w:line="77"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any of our drug candidates could significantly change the costs and timing associated with the development of that drug candidate.</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The actual probability of success for our drug candidates will be affected by a variety of factors, including the safety and efficacy of our drug candidates, investment in our clinical programs, manufacturing capability and competition with other products and drug candidates. As a result of these variables, we are unable to determine the duration and</w:t>
      </w:r>
    </w:p>
    <w:p>
      <w:pPr>
        <w:spacing w:after="0" w:line="2" w:lineRule="exact"/>
        <w:rPr>
          <w:sz w:val="20"/>
          <w:szCs w:val="20"/>
          <w:color w:val="auto"/>
        </w:rPr>
      </w:pP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completion costs of our research and development projects or when and to what extent we may generate revenue from the commercialization and sale of our drug candidates.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Marketing Approval and Market Acceptance of our Drug Candidates</w:t>
      </w:r>
    </w:p>
    <w:p>
      <w:pPr>
        <w:spacing w:after="0" w:line="92"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We may never succeed in achieving marketing approval for any of our drug candidates. We may obtain unexpected and/or negative results from our clinical trials. We may elect to discontinue, delay or modify the development plan and clinical trials of some drug candidates or focus on others. A change in the outcome of any of</w:t>
      </w:r>
    </w:p>
    <w:p>
      <w:pPr>
        <w:ind w:left="300" w:right="299"/>
        <w:spacing w:after="0" w:line="239" w:lineRule="auto"/>
        <w:rPr>
          <w:sz w:val="20"/>
          <w:szCs w:val="20"/>
          <w:color w:val="auto"/>
        </w:rPr>
      </w:pPr>
      <w:r>
        <w:rPr>
          <w:rFonts w:ascii="Times New Roman" w:cs="Times New Roman" w:eastAsia="Times New Roman" w:hAnsi="Times New Roman"/>
          <w:sz w:val="17"/>
          <w:szCs w:val="17"/>
          <w:color w:val="auto"/>
        </w:rPr>
        <w:t>these factors with respect to the development of drug candidates that we are developing could result in a significant change in the costs and timing associated with the development of such drug candidates. For example, if the EMA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436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611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59"/>
        <w:spacing w:after="0" w:line="236" w:lineRule="auto"/>
        <w:rPr>
          <w:sz w:val="20"/>
          <w:szCs w:val="20"/>
          <w:color w:val="auto"/>
        </w:rPr>
      </w:pPr>
      <w:r>
        <w:rPr>
          <w:rFonts w:ascii="Times New Roman" w:cs="Times New Roman" w:eastAsia="Times New Roman" w:hAnsi="Times New Roman"/>
          <w:sz w:val="17"/>
          <w:szCs w:val="17"/>
          <w:color w:val="auto"/>
        </w:rPr>
        <w:t>the FDA or other regulatory authority were to require us to conduct non-clinical studies and clinical trials beyond those that we currently anticipate will be required for the completion of clinical development, or if we experience</w:t>
      </w: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significant delays in enrollment in any clinical trials, we could be required to spend significant additional financial resources and time on the completion of clinical development of our drug candidates.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Equity and Debt Financing</w:t>
      </w:r>
    </w:p>
    <w:p>
      <w:pPr>
        <w:spacing w:after="0" w:line="92" w:lineRule="exact"/>
        <w:rPr>
          <w:sz w:val="20"/>
          <w:szCs w:val="20"/>
          <w:color w:val="auto"/>
        </w:rPr>
      </w:pPr>
    </w:p>
    <w:p>
      <w:pPr>
        <w:ind w:left="300" w:right="379" w:firstLine="441"/>
        <w:spacing w:after="0" w:line="216" w:lineRule="auto"/>
        <w:rPr>
          <w:sz w:val="20"/>
          <w:szCs w:val="20"/>
          <w:color w:val="auto"/>
        </w:rPr>
      </w:pPr>
      <w:r>
        <w:rPr>
          <w:rFonts w:ascii="Times New Roman" w:cs="Times New Roman" w:eastAsia="Times New Roman" w:hAnsi="Times New Roman"/>
          <w:sz w:val="18"/>
          <w:szCs w:val="18"/>
          <w:color w:val="auto"/>
        </w:rPr>
        <w:t>At this stage, we have not generated any revenue from sales of products or otherwise, and we do not expect to do so unless and until we successfully complete development of, obtain marketing approval for, and successfully commercialize, one or more of our drug candidates. Until such time that we can generate substantial revenue from</w:t>
      </w:r>
    </w:p>
    <w:p>
      <w:pPr>
        <w:spacing w:after="0" w:line="1"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sales of products, if ever, we expect to finance our operating activities through a combination of equity offerings, debt financings and government or other third-party funding. However, we may be unable to raise additional funds or enter into such arrangements when needed on favorable terms, or at all, which would have a negative impact on</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our financial condition and could force us to delay, limit, reduce or terminate our development programs or commercialization efforts or grant to others the rights to develop or market drug candidates that we would otherwise prefer to develop and market ourselves. Failure to receive additional funding could cause us to cease operations,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 or in full.</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Acquisition of Prosynergia</w:t>
      </w:r>
    </w:p>
    <w:p>
      <w:pPr>
        <w:spacing w:after="0" w:line="79" w:lineRule="exact"/>
        <w:rPr>
          <w:sz w:val="20"/>
          <w:szCs w:val="20"/>
          <w:color w:val="auto"/>
        </w:rPr>
      </w:pPr>
    </w:p>
    <w:p>
      <w:pPr>
        <w:ind w:left="300" w:right="679" w:firstLine="441"/>
        <w:spacing w:after="0" w:line="279" w:lineRule="auto"/>
        <w:rPr>
          <w:sz w:val="20"/>
          <w:szCs w:val="20"/>
          <w:color w:val="auto"/>
        </w:rPr>
      </w:pPr>
      <w:r>
        <w:rPr>
          <w:rFonts w:ascii="Times New Roman" w:cs="Times New Roman" w:eastAsia="Times New Roman" w:hAnsi="Times New Roman"/>
          <w:sz w:val="17"/>
          <w:szCs w:val="17"/>
          <w:color w:val="auto"/>
        </w:rPr>
        <w:t>On April 1, 2022, we acquired 100% of the share capital of Prosynergia with the aim of strengthening our research and development portfolio, for an amount of €3.25 million. On December 12, 2022, we completed the</w:t>
      </w:r>
    </w:p>
    <w:p>
      <w:pPr>
        <w:sectPr>
          <w:pgSz w:w="11900" w:h="16963" w:orient="portrait"/>
          <w:cols w:equalWidth="0" w:num="1">
            <w:col w:w="9019"/>
          </w:cols>
          <w:pgMar w:left="1440" w:top="108" w:right="1440" w:bottom="0" w:gutter="0" w:footer="0" w:header="0"/>
        </w:sectPr>
      </w:pPr>
    </w:p>
    <w:bookmarkStart w:id="76" w:name="page77"/>
    <w:bookmarkEnd w:id="76"/>
    <w:p>
      <w:pPr>
        <w:ind w:left="300" w:right="339"/>
        <w:spacing w:after="0" w:line="227" w:lineRule="auto"/>
        <w:rPr>
          <w:sz w:val="20"/>
          <w:szCs w:val="20"/>
          <w:color w:val="auto"/>
        </w:rPr>
      </w:pPr>
      <w:r>
        <w:rPr>
          <w:rFonts w:ascii="Times New Roman" w:cs="Times New Roman" w:eastAsia="Times New Roman" w:hAnsi="Times New Roman"/>
          <w:sz w:val="17"/>
          <w:szCs w:val="17"/>
          <w:color w:val="auto"/>
        </w:rPr>
        <w:t>merger with Prosynergia through a TUP and all of Prosynergia’s assets and liabilities were transferred to us. Following the merger, Prosynergia was dissolved. Accordingly, as Prosynergia was dissolved in December 2022,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-213995</wp:posOffset>
            </wp:positionV>
            <wp:extent cx="7016115" cy="5625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562546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did not prepare consolidated financial statements as of December 31, 2022.</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Impact of the Russia-Ukraine War on our Business</w:t>
      </w:r>
    </w:p>
    <w:p>
      <w:pPr>
        <w:spacing w:after="0" w:line="119" w:lineRule="exact"/>
        <w:rPr>
          <w:sz w:val="20"/>
          <w:szCs w:val="20"/>
          <w:color w:val="auto"/>
        </w:rPr>
      </w:pPr>
    </w:p>
    <w:p>
      <w:pPr>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The Russia-Ukraine war continues. The conflict has already had major implications for the global economy and the rate of inflation, particularly in relation to the supply of energy, raw materials and food products. It has also</w:t>
      </w:r>
    </w:p>
    <w:p>
      <w:pPr>
        <w:ind w:left="300"/>
        <w:spacing w:after="0"/>
        <w:rPr>
          <w:sz w:val="20"/>
          <w:szCs w:val="20"/>
          <w:color w:val="auto"/>
        </w:rPr>
      </w:pPr>
      <w:r>
        <w:rPr>
          <w:rFonts w:ascii="Times New Roman" w:cs="Times New Roman" w:eastAsia="Times New Roman" w:hAnsi="Times New Roman"/>
          <w:sz w:val="18"/>
          <w:szCs w:val="18"/>
          <w:color w:val="auto"/>
        </w:rPr>
        <w:t>caused intense volatility on the financial markets.</w:t>
      </w:r>
    </w:p>
    <w:p>
      <w:pPr>
        <w:spacing w:after="0" w:line="57"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Given these developments, we have decided not to include Russia and Belarus in our global Phase 3 clinical trials for obefazimod in UC. However, the global scale of this conflict cannot be predicted at this stage. We,</w:t>
      </w: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therefore, cannot rule out an adverse impact of this conflict on our business, including in terms of access to raw materials, logistics, the performance of clinical trials and in relation to any future financing we may seek.</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long-term safety and efficacy extension of the Phase 2b maintenance trial of obefazimod in moderately to</w:t>
      </w:r>
    </w:p>
    <w:p>
      <w:pPr>
        <w:spacing w:after="0" w:line="16" w:lineRule="exact"/>
        <w:rPr>
          <w:sz w:val="20"/>
          <w:szCs w:val="20"/>
          <w:color w:val="auto"/>
        </w:rPr>
      </w:pPr>
    </w:p>
    <w:p>
      <w:pPr>
        <w:ind w:left="300" w:right="639"/>
        <w:spacing w:after="0" w:line="223" w:lineRule="auto"/>
        <w:rPr>
          <w:sz w:val="20"/>
          <w:szCs w:val="20"/>
          <w:color w:val="auto"/>
        </w:rPr>
      </w:pPr>
      <w:r>
        <w:rPr>
          <w:rFonts w:ascii="Times New Roman" w:cs="Times New Roman" w:eastAsia="Times New Roman" w:hAnsi="Times New Roman"/>
          <w:sz w:val="17"/>
          <w:szCs w:val="17"/>
          <w:color w:val="auto"/>
        </w:rPr>
        <w:t>severely active UC is our only clinical trial with patients currently enrolled in Ukraine. The Phase 2b 12-month assessment was carried out in all the Ukrainian patients before the war broke out and these patients are therefore</w:t>
      </w:r>
    </w:p>
    <w:p>
      <w:pPr>
        <w:spacing w:after="0" w:line="1"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 xml:space="preserve">included in the one-year maintenance results that were reported on April 6, 2022. Ukrainian patients who completed the two-year Phase 2b maintenance trial have been transitioned to the long-term safety and efficacy trial that is still on-going. None of these sites are located in </w:t>
      </w:r>
      <w:r>
        <w:rPr>
          <w:rFonts w:ascii="Times New Roman" w:cs="Times New Roman" w:eastAsia="Times New Roman" w:hAnsi="Times New Roman"/>
          <w:sz w:val="17"/>
          <w:szCs w:val="17"/>
          <w:color w:val="auto"/>
          <w:highlight w:val="white"/>
        </w:rPr>
        <w:t>the Crimea Region of Ukraine, the so-called Donetsk People’s Republic,</w:t>
      </w:r>
    </w:p>
    <w:p>
      <w:pPr>
        <w:spacing w:after="0" w:line="2" w:lineRule="exact"/>
        <w:rPr>
          <w:sz w:val="20"/>
          <w:szCs w:val="20"/>
          <w:color w:val="auto"/>
        </w:rPr>
      </w:pPr>
    </w:p>
    <w:p>
      <w:pPr>
        <w:ind w:left="300" w:right="959"/>
        <w:spacing w:after="0" w:line="226" w:lineRule="auto"/>
        <w:rPr>
          <w:sz w:val="20"/>
          <w:szCs w:val="20"/>
          <w:color w:val="auto"/>
        </w:rPr>
      </w:pPr>
      <w:r>
        <w:rPr>
          <w:rFonts w:ascii="Times New Roman" w:cs="Times New Roman" w:eastAsia="Times New Roman" w:hAnsi="Times New Roman"/>
          <w:sz w:val="18"/>
          <w:szCs w:val="18"/>
          <w:color w:val="auto"/>
          <w:highlight w:val="white"/>
        </w:rPr>
        <w:t>or the so-called Luhansk People’s Republic. We have a few sites active in the western part of Ukraine in the ABTECT Phase 3 clinical trials.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highlight w:val="white"/>
        </w:rPr>
        <w:t>Together with our CRO, we are making considerable efforts to ensure the follow-up of patients who are</w:t>
      </w:r>
    </w:p>
    <w:p>
      <w:pPr>
        <w:spacing w:after="0" w:line="2" w:lineRule="exact"/>
        <w:rPr>
          <w:sz w:val="20"/>
          <w:szCs w:val="20"/>
          <w:color w:val="auto"/>
        </w:rPr>
      </w:pPr>
    </w:p>
    <w:p>
      <w:pPr>
        <w:ind w:left="300" w:right="1139"/>
        <w:spacing w:after="0" w:line="226" w:lineRule="auto"/>
        <w:rPr>
          <w:sz w:val="20"/>
          <w:szCs w:val="20"/>
          <w:color w:val="auto"/>
        </w:rPr>
      </w:pPr>
      <w:r>
        <w:rPr>
          <w:rFonts w:ascii="Times New Roman" w:cs="Times New Roman" w:eastAsia="Times New Roman" w:hAnsi="Times New Roman"/>
          <w:sz w:val="18"/>
          <w:szCs w:val="18"/>
          <w:color w:val="auto"/>
          <w:highlight w:val="white"/>
        </w:rPr>
        <w:t xml:space="preserve">unable to come to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color w:val="auto"/>
          <w:highlight w:val="white"/>
        </w:rPr>
        <w:t xml:space="preserve"> study centers. Monitoring takes place through a remote monitoring system that was established and used successfully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808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16115" cy="480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tab/>
        <w:t>Operating Results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2024 and 2025</w:t>
      </w:r>
    </w:p>
    <w:p>
      <w:pPr>
        <w:sectPr>
          <w:pgSz w:w="11900" w:h="16838" w:orient="portrait"/>
          <w:cols w:equalWidth="0" w:num="1">
            <w:col w:w="9019"/>
          </w:cols>
          <w:pgMar w:left="1440" w:top="108" w:right="1440" w:bottom="0" w:gutter="0" w:footer="0" w:header="0"/>
        </w:sectPr>
      </w:pP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highlight w:val="white"/>
        </w:rPr>
        <w:t xml:space="preserve">The following </w:t>
      </w:r>
      <w:r>
        <w:rPr>
          <w:rFonts w:ascii="Times New Roman" w:cs="Times New Roman" w:eastAsia="Times New Roman" w:hAnsi="Times New Roman"/>
          <w:sz w:val="17"/>
          <w:szCs w:val="17"/>
          <w:color w:val="auto"/>
        </w:rPr>
        <w:t>table sets forth our results of operations for the years ended</w:t>
      </w:r>
      <w:r>
        <w:rPr>
          <w:rFonts w:ascii="Times New Roman" w:cs="Times New Roman" w:eastAsia="Times New Roman" w:hAnsi="Times New Roman"/>
          <w:sz w:val="17"/>
          <w:szCs w:val="17"/>
          <w:color w:val="auto"/>
          <w:highlight w:val="white"/>
        </w:rPr>
        <w:t xml:space="preserve"> December 31, 2023, </w:t>
      </w:r>
      <w:r>
        <w:rPr>
          <w:rFonts w:ascii="Times New Roman" w:cs="Times New Roman" w:eastAsia="Times New Roman" w:hAnsi="Times New Roman"/>
          <w:sz w:val="17"/>
          <w:szCs w:val="17"/>
          <w:color w:val="auto"/>
        </w:rPr>
        <w:t>2024</w:t>
      </w:r>
      <w:r>
        <w:rPr>
          <w:sz w:val="1"/>
          <w:szCs w:val="1"/>
          <w:color w:val="auto"/>
        </w:rPr>
        <w:drawing>
          <wp:inline distT="0" distB="0" distL="0" distR="0">
            <wp:extent cx="34290"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and</w:t>
      </w:r>
    </w:p>
    <w:p>
      <w:pPr>
        <w:spacing w:after="0" w:line="350" w:lineRule="exact"/>
        <w:rPr>
          <w:sz w:val="20"/>
          <w:szCs w:val="20"/>
          <w:color w:val="auto"/>
        </w:rPr>
      </w:pPr>
    </w:p>
    <w:p>
      <w:pPr>
        <w:sectPr>
          <w:pgSz w:w="11900" w:h="16838" w:orient="portrait"/>
          <w:cols w:equalWidth="0" w:num="2">
            <w:col w:w="700" w:space="40"/>
            <w:col w:w="8279"/>
          </w:cols>
          <w:pgMar w:left="1440" w:top="108" w:right="1440" w:bottom="0" w:gutter="0" w:footer="0" w:header="0"/>
          <w:type w:val="continuous"/>
        </w:sectPr>
      </w:pP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32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2024 vs 2023</w:t>
            </w: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i w:val="1"/>
                <w:iCs w:val="1"/>
                <w:color w:val="auto"/>
              </w:rPr>
              <w:t>2025 vs 2024</w:t>
            </w:r>
          </w:p>
        </w:tc>
        <w:tc>
          <w:tcPr>
            <w:tcW w:w="0" w:type="dxa"/>
            <w:vAlign w:val="bottom"/>
          </w:tcPr>
          <w:p>
            <w:pPr>
              <w:spacing w:after="0"/>
              <w:rPr>
                <w:sz w:val="1"/>
                <w:szCs w:val="1"/>
                <w:color w:val="auto"/>
              </w:rPr>
            </w:pPr>
          </w:p>
        </w:tc>
      </w:tr>
      <w:tr>
        <w:trPr>
          <w:trHeight w:val="92"/>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thousands of euros) </w:t>
            </w:r>
            <w:r>
              <w:rPr>
                <w:rFonts w:ascii="Times New Roman" w:cs="Times New Roman" w:eastAsia="Times New Roman" w:hAnsi="Times New Roman"/>
                <w:sz w:val="14"/>
                <w:szCs w:val="14"/>
                <w:b w:val="1"/>
                <w:bCs w:val="1"/>
                <w:color w:val="B4B4B4"/>
              </w:rPr>
              <w:t>. . . . . . . . . .</w:t>
            </w:r>
            <w:r>
              <w:rPr>
                <w:rFonts w:ascii="Times New Roman" w:cs="Times New Roman" w:eastAsia="Times New Roman" w:hAnsi="Times New Roman"/>
                <w:sz w:val="14"/>
                <w:szCs w:val="14"/>
                <w:b w:val="1"/>
                <w:bCs w:val="1"/>
                <w:color w:val="auto"/>
              </w:rPr>
              <w:t xml:space="preserve"> December 31,</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100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0" w:type="dxa"/>
            <w:vAlign w:val="bottom"/>
          </w:tcPr>
          <w:p>
            <w:pPr>
              <w:spacing w:after="0"/>
              <w:rPr>
                <w:sz w:val="1"/>
                <w:szCs w:val="1"/>
                <w:color w:val="auto"/>
              </w:rPr>
            </w:pPr>
          </w:p>
        </w:tc>
      </w:tr>
      <w:tr>
        <w:trPr>
          <w:trHeight w:val="96"/>
        </w:trPr>
        <w:tc>
          <w:tcPr>
            <w:tcW w:w="32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9019"/>
          </w:cols>
          <w:pgMar w:left="1440" w:top="108" w:right="1440" w:bottom="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Other operating income </w:t>
      </w:r>
      <w:r>
        <w:rPr>
          <w:rFonts w:ascii="Times New Roman" w:cs="Times New Roman" w:eastAsia="Times New Roman" w:hAnsi="Times New Roman"/>
          <w:sz w:val="18"/>
          <w:szCs w:val="18"/>
          <w:color w:val="B4B4B4"/>
        </w:rPr>
        <w:t>. . . .</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Total operating income </w:t>
      </w:r>
      <w:r>
        <w:rPr>
          <w:rFonts w:ascii="Times New Roman" w:cs="Times New Roman" w:eastAsia="Times New Roman" w:hAnsi="Times New Roman"/>
          <w:sz w:val="18"/>
          <w:szCs w:val="18"/>
          <w:b w:val="1"/>
          <w:bCs w:val="1"/>
          <w:color w:val="B4B4B4"/>
        </w:rPr>
        <w:t>. . . .</w:t>
      </w:r>
    </w:p>
    <w:p>
      <w:pPr>
        <w:spacing w:after="0" w:line="52" w:lineRule="exact"/>
        <w:rPr>
          <w:sz w:val="20"/>
          <w:szCs w:val="20"/>
          <w:color w:val="auto"/>
        </w:rPr>
      </w:pPr>
    </w:p>
    <w:p>
      <w:pPr>
        <w:ind w:left="360" w:right="2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expenses Research and development expenses </w:t>
      </w:r>
      <w:r>
        <w:rPr>
          <w:rFonts w:ascii="Times New Roman" w:cs="Times New Roman" w:eastAsia="Times New Roman" w:hAnsi="Times New Roman"/>
          <w:sz w:val="17"/>
          <w:szCs w:val="17"/>
          <w:color w:val="B4B4B4"/>
        </w:rPr>
        <w:t>. . . . . . . . . . . . . . . .</w:t>
      </w:r>
    </w:p>
    <w:p>
      <w:pPr>
        <w:spacing w:after="0" w:line="1" w:lineRule="exact"/>
        <w:rPr>
          <w:sz w:val="20"/>
          <w:szCs w:val="20"/>
          <w:color w:val="auto"/>
        </w:rPr>
      </w:pPr>
    </w:p>
    <w:p>
      <w:pPr>
        <w:ind w:left="360" w:right="2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B4B4B4"/>
        </w:rPr>
        <w:t>. . . . . . . . . . . . . .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4,621</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12,449</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4,570</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169 %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(63)%</w:t>
            </w:r>
          </w:p>
        </w:tc>
      </w:tr>
      <w:tr>
        <w:trPr>
          <w:trHeight w:val="210"/>
        </w:trPr>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4,621</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4,570</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169 %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(6,431)</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(5,954)</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(5,194)</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r>
      <w:tr>
        <w:trPr>
          <w:trHeight w:val="358"/>
        </w:trPr>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(103,176)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(146,532)</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(177,761)</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42 %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r>
      <w:tr>
        <w:trPr>
          <w:trHeight w:val="472"/>
        </w:trPr>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(22,390)</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(32,946)</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(67,670)</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47 %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r>
    </w:tbl>
    <w:p>
      <w:pPr>
        <w:spacing w:after="0" w:line="125" w:lineRule="exact"/>
        <w:rPr>
          <w:sz w:val="20"/>
          <w:szCs w:val="20"/>
          <w:color w:val="auto"/>
        </w:rPr>
      </w:pPr>
    </w:p>
    <w:p>
      <w:pPr>
        <w:sectPr>
          <w:pgSz w:w="11900" w:h="16838" w:orient="portrait"/>
          <w:cols w:equalWidth="0" w:num="2">
            <w:col w:w="2520" w:space="20"/>
            <w:col w:w="6479"/>
          </w:cols>
          <w:pgMar w:left="1440" w:top="108" w:right="1440" w:bottom="0" w:gutter="0" w:footer="0" w:header="0"/>
          <w:type w:val="continuous"/>
        </w:sectPr>
      </w:pPr>
    </w:p>
    <w:tbl>
      <w:tblPr>
        <w:tblLayout w:type="fixed"/>
        <w:tblInd w:w="360" w:type="dxa"/>
        <w:tblCellMar>
          <w:top w:w="0" w:type="dxa"/>
          <w:left w:w="0" w:type="dxa"/>
          <w:bottom w:w="0" w:type="dxa"/>
          <w:right w:w="0" w:type="dxa"/>
        </w:tblCellMar>
      </w:tblPr>
      <w:tr>
        <w:trPr>
          <w:trHeight w:val="211"/>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b w:val="1"/>
                <w:bCs w:val="1"/>
                <w:color w:val="B4B4B4"/>
              </w:rPr>
              <w:t>. .</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(131,997)</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(185,433)</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(250,626)</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40 %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35 %</w:t>
            </w:r>
          </w:p>
        </w:tc>
        <w:tc>
          <w:tcPr>
            <w:tcW w:w="0" w:type="dxa"/>
            <w:vAlign w:val="bottom"/>
          </w:tcPr>
          <w:p>
            <w:pPr>
              <w:spacing w:after="0"/>
              <w:rPr>
                <w:sz w:val="1"/>
                <w:szCs w:val="1"/>
                <w:color w:val="auto"/>
              </w:rPr>
            </w:pPr>
          </w:p>
        </w:tc>
      </w:tr>
      <w:tr>
        <w:trPr>
          <w:trHeight w:val="21"/>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B4B4B4"/>
              </w:rPr>
              <w:t>. . . . . . . . . . .</w:t>
            </w:r>
          </w:p>
        </w:tc>
        <w:tc>
          <w:tcPr>
            <w:tcW w:w="14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rPr>
              <w:t>(127,376)</w:t>
            </w:r>
          </w:p>
        </w:tc>
        <w:tc>
          <w:tcPr>
            <w:tcW w:w="124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(172,984)</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b w:val="1"/>
                <w:bCs w:val="1"/>
                <w:color w:val="auto"/>
              </w:rPr>
              <w:t>(246,056)</w:t>
            </w:r>
          </w:p>
        </w:tc>
        <w:tc>
          <w:tcPr>
            <w:tcW w:w="118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36 %</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42 %</w:t>
            </w:r>
          </w:p>
        </w:tc>
        <w:tc>
          <w:tcPr>
            <w:tcW w:w="0" w:type="dxa"/>
            <w:vAlign w:val="bottom"/>
          </w:tcPr>
          <w:p>
            <w:pPr>
              <w:spacing w:after="0"/>
              <w:rPr>
                <w:sz w:val="1"/>
                <w:szCs w:val="1"/>
                <w:color w:val="auto"/>
              </w:rPr>
            </w:pPr>
          </w:p>
        </w:tc>
      </w:tr>
      <w:tr>
        <w:trPr>
          <w:trHeight w:val="21"/>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Financial expenses</w:t>
            </w: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180" w:type="dxa"/>
            <w:vAlign w:val="bottom"/>
            <w:vMerge w:val="continue"/>
          </w:tcPr>
          <w:p>
            <w:pPr>
              <w:jc w:val="right"/>
              <w:spacing w:after="0" w:line="169" w:lineRule="exact"/>
              <w:rPr>
                <w:sz w:val="20"/>
                <w:szCs w:val="20"/>
                <w:color w:val="auto"/>
              </w:rPr>
            </w:pPr>
            <w:r>
              <w:rPr>
                <w:rFonts w:ascii="Times New Roman" w:cs="Times New Roman" w:eastAsia="Times New Roman" w:hAnsi="Times New Roman"/>
                <w:sz w:val="18"/>
                <w:szCs w:val="18"/>
                <w:color w:val="B4B4B4"/>
              </w:rPr>
              <w:t>. . . . . . . .</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(27,875)</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(16,991)</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(112,307)</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(39)%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561 %</w:t>
            </w: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Financial income  </w:t>
            </w:r>
            <w:r>
              <w:rPr>
                <w:rFonts w:ascii="Times New Roman" w:cs="Times New Roman" w:eastAsia="Times New Roman" w:hAnsi="Times New Roman"/>
                <w:sz w:val="18"/>
                <w:szCs w:val="18"/>
                <w:color w:val="B4B4B4"/>
              </w:rPr>
              <w:t>. . . . . . . . .</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7,511</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13,732</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28,110</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83 %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Financial loss </w:t>
            </w:r>
            <w:r>
              <w:rPr>
                <w:rFonts w:ascii="Times New Roman" w:cs="Times New Roman" w:eastAsia="Times New Roman" w:hAnsi="Times New Roman"/>
                <w:sz w:val="18"/>
                <w:szCs w:val="18"/>
                <w:b w:val="1"/>
                <w:bCs w:val="1"/>
                <w:color w:val="B4B4B4"/>
              </w:rPr>
              <w:t>. . . . . . . . . . . .</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(20,364)</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(3,258)</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(84,198)</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(84)%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2484 %</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before tax </w:t>
            </w:r>
            <w:r>
              <w:rPr>
                <w:rFonts w:ascii="Times New Roman" w:cs="Times New Roman" w:eastAsia="Times New Roman" w:hAnsi="Times New Roman"/>
                <w:sz w:val="18"/>
                <w:szCs w:val="18"/>
                <w:b w:val="1"/>
                <w:bCs w:val="1"/>
                <w:color w:val="B4B4B4"/>
              </w:rPr>
              <w:t>. . . . . . . .</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(147,740)</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(176,242)</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(330,254)</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87 %</w:t>
            </w:r>
          </w:p>
        </w:tc>
        <w:tc>
          <w:tcPr>
            <w:tcW w:w="0" w:type="dxa"/>
            <w:vAlign w:val="bottom"/>
          </w:tcPr>
          <w:p>
            <w:pPr>
              <w:spacing w:after="0"/>
              <w:rPr>
                <w:sz w:val="1"/>
                <w:szCs w:val="1"/>
                <w:color w:val="auto"/>
              </w:rPr>
            </w:pPr>
          </w:p>
        </w:tc>
      </w:tr>
      <w:tr>
        <w:trPr>
          <w:trHeight w:val="21"/>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Income Tax</w:t>
            </w: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jc w:val="right"/>
              <w:spacing w:after="0" w:line="169" w:lineRule="exact"/>
              <w:rPr>
                <w:sz w:val="20"/>
                <w:szCs w:val="20"/>
                <w:color w:val="auto"/>
              </w:rPr>
            </w:pPr>
            <w:r>
              <w:rPr>
                <w:rFonts w:ascii="Times New Roman" w:cs="Times New Roman" w:eastAsia="Times New Roman" w:hAnsi="Times New Roman"/>
                <w:sz w:val="18"/>
                <w:szCs w:val="18"/>
                <w:color w:val="B4B4B4"/>
              </w:rPr>
              <w:t>. . . . . . . . . . . . . .</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(5,848)</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for the period </w:t>
            </w:r>
            <w:r>
              <w:rPr>
                <w:rFonts w:ascii="Times New Roman" w:cs="Times New Roman" w:eastAsia="Times New Roman" w:hAnsi="Times New Roman"/>
                <w:sz w:val="18"/>
                <w:szCs w:val="18"/>
                <w:b w:val="1"/>
                <w:bCs w:val="1"/>
                <w:color w:val="B4B4B4"/>
              </w:rPr>
              <w:t>. . . . .</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(147,740)</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(176,242)</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(336,102)</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type w:val="continuous"/>
        </w:sectPr>
      </w:pP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Total Operating Income</w:t>
      </w:r>
    </w:p>
    <w:p>
      <w:pPr>
        <w:sectPr>
          <w:pgSz w:w="11900" w:h="16838" w:orient="portrait"/>
          <w:cols w:equalWidth="0" w:num="1">
            <w:col w:w="9019"/>
          </w:cols>
          <w:pgMar w:left="1440" w:top="108" w:right="1440" w:bottom="0" w:gutter="0" w:footer="0" w:header="0"/>
          <w:type w:val="continuous"/>
        </w:sectPr>
      </w:pPr>
    </w:p>
    <w:bookmarkStart w:id="77" w:name="page78"/>
    <w:bookmarkEnd w:id="77"/>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5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6115" cy="4253865"/>
                    </a:xfrm>
                    <a:prstGeom prst="rect">
                      <a:avLst/>
                    </a:prstGeom>
                    <a:noFill/>
                  </pic:spPr>
                </pic:pic>
              </a:graphicData>
            </a:graphic>
          </wp:anchor>
        </w:drawing>
      </w:r>
    </w:p>
    <w:p>
      <w:pPr>
        <w:ind w:left="300" w:right="619" w:firstLine="441"/>
        <w:spacing w:after="0" w:line="237"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year ended December 31, 2025, our total operating income was €4.6 million, as compared to €12.4 million for the year ended December 31, 2024, a decrease of €(7.9) million, or (63)%, as detailed below.</w:t>
      </w:r>
    </w:p>
    <w:p>
      <w:pPr>
        <w:spacing w:after="0" w:line="64" w:lineRule="exact"/>
        <w:rPr>
          <w:sz w:val="20"/>
          <w:szCs w:val="20"/>
          <w:color w:val="auto"/>
        </w:rPr>
      </w:pPr>
    </w:p>
    <w:p>
      <w:pPr>
        <w:ind w:left="300" w:right="619" w:firstLine="441"/>
        <w:spacing w:after="0" w:line="237" w:lineRule="auto"/>
        <w:rPr>
          <w:sz w:val="20"/>
          <w:szCs w:val="20"/>
          <w:color w:val="auto"/>
        </w:rPr>
      </w:pPr>
      <w:r>
        <w:rPr>
          <w:rFonts w:ascii="Times New Roman" w:cs="Times New Roman" w:eastAsia="Times New Roman" w:hAnsi="Times New Roman"/>
          <w:sz w:val="18"/>
          <w:szCs w:val="18"/>
          <w:color w:val="auto"/>
        </w:rPr>
        <w:t xml:space="preserve">For the year ended December 31, 2024, our total operating income was €12.4 million, as compared to €4.6 million for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year ended December 31, 2023, an increase of €7.8 million, or 169%, as detailed below.</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Operating Income</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highlight w:val="white"/>
        </w:rPr>
        <w:t>The following table sets forth our other operating income for the years ended December 31, 2023, 2024 and</w:t>
      </w:r>
    </w:p>
    <w:p>
      <w:pPr>
        <w:ind w:left="300"/>
        <w:spacing w:after="0"/>
        <w:rPr>
          <w:sz w:val="20"/>
          <w:szCs w:val="20"/>
          <w:color w:val="auto"/>
        </w:rPr>
      </w:pPr>
      <w:r>
        <w:rPr>
          <w:rFonts w:ascii="Times New Roman" w:cs="Times New Roman" w:eastAsia="Times New Roman" w:hAnsi="Times New Roman"/>
          <w:sz w:val="18"/>
          <w:szCs w:val="18"/>
          <w:color w:val="auto"/>
          <w:highlight w:val="white"/>
        </w:rPr>
        <w:t>2025.</w:t>
      </w:r>
    </w:p>
    <w:p>
      <w:pPr>
        <w:spacing w:after="0" w:line="12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 vs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vs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(In thousands of euros)  </w:t>
            </w:r>
            <w:r>
              <w:rPr>
                <w:rFonts w:ascii="Times New Roman" w:cs="Times New Roman" w:eastAsia="Times New Roman" w:hAnsi="Times New Roman"/>
                <w:sz w:val="18"/>
                <w:szCs w:val="18"/>
                <w:b w:val="1"/>
                <w:bCs w:val="1"/>
                <w:color w:val="B4B4B4"/>
              </w:rPr>
              <w:t>. . . . .</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32"/>
        </w:trPr>
        <w:tc>
          <w:tcPr>
            <w:tcW w:w="240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CIR (Research Tax Credits) </w:t>
            </w:r>
            <w:r>
              <w:rPr>
                <w:rFonts w:ascii="Times New Roman" w:cs="Times New Roman" w:eastAsia="Times New Roman" w:hAnsi="Times New Roman"/>
                <w:sz w:val="18"/>
                <w:szCs w:val="18"/>
                <w:color w:val="B4B4B4"/>
              </w:rPr>
              <w:t>. . .</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4,493</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48 %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Subsidies  </w:t>
            </w:r>
            <w:r>
              <w:rPr>
                <w:rFonts w:ascii="Times New Roman" w:cs="Times New Roman" w:eastAsia="Times New Roman" w:hAnsi="Times New Roman"/>
                <w:sz w:val="18"/>
                <w:szCs w:val="18"/>
                <w:color w:val="B4B4B4"/>
              </w:rPr>
              <w:t>. . . . . . . . . . . . . . . . .</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5017 %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Depositary service fees </w:t>
            </w:r>
            <w:r>
              <w:rPr>
                <w:rFonts w:ascii="Times New Roman" w:cs="Times New Roman" w:eastAsia="Times New Roman" w:hAnsi="Times New Roman"/>
                <w:sz w:val="18"/>
                <w:szCs w:val="18"/>
                <w:color w:val="B4B4B4"/>
              </w:rPr>
              <w:t>. . . . . . .</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color w:val="B4B4B4"/>
              </w:rPr>
              <w:t>. . . . . . . . . . . . . . . . . . . . .</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4,570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169 %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w:t>
            </w:r>
          </w:p>
        </w:tc>
      </w:tr>
    </w:tbl>
    <w:p>
      <w:pPr>
        <w:spacing w:after="0" w:line="157"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highlight w:val="white"/>
        </w:rPr>
        <w:t xml:space="preserve">For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color w:val="auto"/>
          <w:highlight w:val="white"/>
        </w:rPr>
        <w:t xml:space="preserve"> year ended December 31, 2025</w:t>
      </w:r>
      <w:r>
        <w:rPr>
          <w:rFonts w:ascii="Times New Roman" w:cs="Times New Roman" w:eastAsia="Times New Roman" w:hAnsi="Times New Roman"/>
          <w:sz w:val="17"/>
          <w:szCs w:val="17"/>
          <w:color w:val="auto"/>
        </w:rPr>
        <w:t>, our other operating income was €4.6 million, as compared to €12.4</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million for the year ended December 31, 2024, a decrease of €(7.9) million, or (63)%. This variation is primarily</w:t>
      </w:r>
    </w:p>
    <w:p>
      <w:pPr>
        <w:ind w:left="300"/>
        <w:spacing w:after="0"/>
        <w:rPr>
          <w:sz w:val="20"/>
          <w:szCs w:val="20"/>
          <w:color w:val="auto"/>
        </w:rPr>
      </w:pPr>
      <w:r>
        <w:rPr>
          <w:rFonts w:ascii="Times New Roman" w:cs="Times New Roman" w:eastAsia="Times New Roman" w:hAnsi="Times New Roman"/>
          <w:sz w:val="18"/>
          <w:szCs w:val="18"/>
          <w:color w:val="auto"/>
        </w:rPr>
        <w:t>due to a decrease in subsidies by €(4.1) million and a decrease in research tax credits by €(3.6) million or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1798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highlight w:val="white"/>
        </w:rPr>
        <w:t xml:space="preserve">For the </w:t>
      </w:r>
      <w:r>
        <w:rPr>
          <w:rFonts w:ascii="Times New Roman" w:cs="Times New Roman" w:eastAsia="Times New Roman" w:hAnsi="Times New Roman"/>
          <w:sz w:val="17"/>
          <w:szCs w:val="17"/>
          <w:color w:val="auto"/>
        </w:rPr>
        <w:t>year ended December 31, 2024, our other operating income was €12.4 million, as compared to €4.6</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million for the year ended December 31, 2023, an increase of €7.8 million, or 169%. This increase was primarily</w:t>
      </w: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due to an increase in subsidies of €4.1 million or 5,017%, an increase in research tax credits of €2.2 million or 48%, and an increase in depositary service fees of €1.63 million.</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Tax Credits ("CIR")</w:t>
      </w:r>
    </w:p>
    <w:p>
      <w:pPr>
        <w:spacing w:after="0" w:line="9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highlight w:val="white"/>
        </w:rPr>
        <w:t xml:space="preserve">For the </w:t>
      </w:r>
      <w:r>
        <w:rPr>
          <w:rFonts w:ascii="Times New Roman" w:cs="Times New Roman" w:eastAsia="Times New Roman" w:hAnsi="Times New Roman"/>
          <w:sz w:val="17"/>
          <w:szCs w:val="17"/>
          <w:color w:val="auto"/>
        </w:rPr>
        <w:t>year ended December 31, 2025, we recognized research tax credits for our research and development</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projects of €3.1 million, as compared to €6.7 million for the year ended December 31, 2024, a decrease of €(3.6) million, or (54)%. Although research and development expenses for the year ended December 31, 2025 increased by</w:t>
      </w:r>
    </w:p>
    <w:p>
      <w:pPr>
        <w:ind w:left="300" w:right="379"/>
        <w:spacing w:after="0" w:line="215" w:lineRule="auto"/>
        <w:rPr>
          <w:sz w:val="20"/>
          <w:szCs w:val="20"/>
          <w:color w:val="auto"/>
        </w:rPr>
      </w:pPr>
      <w:r>
        <w:rPr>
          <w:rFonts w:ascii="Times New Roman" w:cs="Times New Roman" w:eastAsia="Times New Roman" w:hAnsi="Times New Roman"/>
          <w:sz w:val="17"/>
          <w:szCs w:val="17"/>
          <w:color w:val="auto"/>
        </w:rPr>
        <w:t>21% as compared to the year ended December 31, 2024, the €(3.6) million decrease in research tax credits was mainly driven by (i) the maximum amount of eligible outsourced research and development expenses being capped,</w:t>
      </w:r>
    </w:p>
    <w:p>
      <w:pPr>
        <w:spacing w:after="0" w:line="1" w:lineRule="exact"/>
        <w:rPr>
          <w:sz w:val="20"/>
          <w:szCs w:val="20"/>
          <w:color w:val="auto"/>
        </w:rPr>
      </w:pPr>
    </w:p>
    <w:p>
      <w:pPr>
        <w:ind w:left="300" w:right="319" w:hanging="8"/>
        <w:spacing w:after="0" w:line="223" w:lineRule="auto"/>
        <w:tabs>
          <w:tab w:leader="none" w:pos="5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internal research and development costs (for €2.6 million), (iii) the reimbursement of the CARENA and RNP-VIR conditional advances, deducted from the 2024 CIR calculation (for €0.6 million) and (iv) a change in the CIR regulation related to eligible expenses (for €0.4 million).</w:t>
      </w:r>
    </w:p>
    <w:p>
      <w:pPr>
        <w:spacing w:after="0" w:line="51" w:lineRule="exact"/>
        <w:rPr>
          <w:sz w:val="20"/>
          <w:szCs w:val="20"/>
          <w:color w:val="auto"/>
        </w:rPr>
      </w:pPr>
    </w:p>
    <w:p>
      <w:pPr>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 xml:space="preserve">For </w:t>
      </w:r>
      <w:r>
        <w:rPr>
          <w:rFonts w:ascii="Times New Roman" w:cs="Times New Roman" w:eastAsia="Times New Roman" w:hAnsi="Times New Roman"/>
          <w:sz w:val="17"/>
          <w:szCs w:val="17"/>
          <w:color w:val="auto"/>
          <w:highlight w:val="white"/>
        </w:rPr>
        <w:t>the</w:t>
      </w:r>
      <w:r>
        <w:rPr>
          <w:rFonts w:ascii="Times New Roman" w:cs="Times New Roman" w:eastAsia="Times New Roman" w:hAnsi="Times New Roman"/>
          <w:sz w:val="17"/>
          <w:szCs w:val="17"/>
          <w:color w:val="auto"/>
        </w:rPr>
        <w:t xml:space="preserve"> year ended December 31, 2024, we recognized research tax credits for our research and development projects of €6.7 million, as compared to €4.5 million for the year ended December 31, 2023, an increase of</w:t>
      </w:r>
    </w:p>
    <w:p>
      <w:pPr>
        <w:ind w:left="300" w:right="379"/>
        <w:spacing w:after="0" w:line="223" w:lineRule="auto"/>
        <w:rPr>
          <w:sz w:val="20"/>
          <w:szCs w:val="20"/>
          <w:color w:val="auto"/>
        </w:rPr>
      </w:pPr>
      <w:r>
        <w:rPr>
          <w:rFonts w:ascii="Times New Roman" w:cs="Times New Roman" w:eastAsia="Times New Roman" w:hAnsi="Times New Roman"/>
          <w:sz w:val="17"/>
          <w:szCs w:val="17"/>
          <w:color w:val="auto"/>
        </w:rPr>
        <w:t>€2.2 million, or 48%. The increase corresponds to an additional CIR payment received in 2024 related to the 2021 tax year, for an amount of €1.0 million, and an increase in the CIR for the tax year 2024 as compared to the tax year</w:t>
      </w:r>
    </w:p>
    <w:p>
      <w:pPr>
        <w:spacing w:after="0" w:line="1" w:lineRule="exact"/>
        <w:rPr>
          <w:sz w:val="20"/>
          <w:szCs w:val="20"/>
          <w:color w:val="auto"/>
        </w:rPr>
      </w:pPr>
    </w:p>
    <w:p>
      <w:pPr>
        <w:jc w:val="both"/>
        <w:ind w:left="300" w:right="879"/>
        <w:spacing w:after="0" w:line="220" w:lineRule="auto"/>
        <w:rPr>
          <w:sz w:val="20"/>
          <w:szCs w:val="20"/>
          <w:color w:val="auto"/>
        </w:rPr>
      </w:pPr>
      <w:r>
        <w:rPr>
          <w:rFonts w:ascii="Times New Roman" w:cs="Times New Roman" w:eastAsia="Times New Roman" w:hAnsi="Times New Roman"/>
          <w:sz w:val="17"/>
          <w:szCs w:val="17"/>
          <w:color w:val="auto"/>
        </w:rPr>
        <w:t xml:space="preserve">2023 of €1.1 million, or 26%. This increase is mainly due to the reimbursements of conditional advances and overpayment of conditional advances made to Bpifrance in relation to the RNP-VIR and CARENA projects, following the termination of both projects (see </w:t>
      </w:r>
      <w:r>
        <w:rPr>
          <w:rFonts w:ascii="Times New Roman" w:cs="Times New Roman" w:eastAsia="Times New Roman" w:hAnsi="Times New Roman"/>
          <w:sz w:val="17"/>
          <w:szCs w:val="17"/>
          <w:i w:val="1"/>
          <w:iCs w:val="1"/>
          <w:color w:val="auto"/>
        </w:rPr>
        <w:t>Bpifrance - Conditional Advances and Subsidies</w:t>
      </w:r>
      <w:r>
        <w:rPr>
          <w:rFonts w:ascii="Times New Roman" w:cs="Times New Roman" w:eastAsia="Times New Roman" w:hAnsi="Times New Roman"/>
          <w:sz w:val="17"/>
          <w:szCs w:val="17"/>
          <w:color w:val="auto"/>
        </w:rPr>
        <w:t xml:space="preserve"> within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"Liquidity and Capital Resources" section).</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Subsidies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year ended December 31, 2025, our subsidy income was nil, as compared to €4.1 million for the year</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 xml:space="preserve">ended December 31, 2024. The subsidy income recognized in 2024 was related to the RNP-VIR and CARENA conditional advances granted by Bpifrance </w:t>
      </w:r>
      <w:r>
        <w:rPr>
          <w:rFonts w:ascii="Times New Roman" w:cs="Times New Roman" w:eastAsia="Times New Roman" w:hAnsi="Times New Roman"/>
          <w:sz w:val="17"/>
          <w:szCs w:val="17"/>
          <w:color w:val="auto"/>
          <w:highlight w:val="white"/>
        </w:rPr>
        <w:t>between</w:t>
      </w:r>
      <w:r>
        <w:rPr>
          <w:rFonts w:ascii="Times New Roman" w:cs="Times New Roman" w:eastAsia="Times New Roman" w:hAnsi="Times New Roman"/>
          <w:sz w:val="17"/>
          <w:szCs w:val="17"/>
          <w:color w:val="auto"/>
        </w:rPr>
        <w:t xml:space="preserve"> 2013 and 2019. Following the termination of both projects, in June 2024, Bpifrance </w:t>
      </w:r>
      <w:r>
        <w:rPr>
          <w:rFonts w:ascii="Times New Roman" w:cs="Times New Roman" w:eastAsia="Times New Roman" w:hAnsi="Times New Roman"/>
          <w:sz w:val="17"/>
          <w:szCs w:val="17"/>
          <w:color w:val="auto"/>
          <w:highlight w:val="white"/>
        </w:rPr>
        <w:t>agreed</w:t>
      </w:r>
      <w:r>
        <w:rPr>
          <w:rFonts w:ascii="Times New Roman" w:cs="Times New Roman" w:eastAsia="Times New Roman" w:hAnsi="Times New Roman"/>
          <w:sz w:val="17"/>
          <w:szCs w:val="17"/>
          <w:color w:val="auto"/>
        </w:rPr>
        <w:t xml:space="preserve"> to waive 60% of the remaining conditional advances and accrued interests, resulting in</w:t>
      </w:r>
    </w:p>
    <w:p>
      <w:pPr>
        <w:spacing w:after="0" w:line="2" w:lineRule="exact"/>
        <w:rPr>
          <w:sz w:val="20"/>
          <w:szCs w:val="20"/>
          <w:color w:val="auto"/>
        </w:rPr>
      </w:pPr>
    </w:p>
    <w:p>
      <w:pPr>
        <w:ind w:left="300" w:right="1019"/>
        <w:spacing w:after="0" w:line="226" w:lineRule="auto"/>
        <w:rPr>
          <w:sz w:val="20"/>
          <w:szCs w:val="20"/>
          <w:color w:val="auto"/>
        </w:rPr>
      </w:pPr>
      <w:r>
        <w:rPr>
          <w:rFonts w:ascii="Times New Roman" w:cs="Times New Roman" w:eastAsia="Times New Roman" w:hAnsi="Times New Roman"/>
          <w:sz w:val="18"/>
          <w:szCs w:val="18"/>
          <w:color w:val="auto"/>
        </w:rPr>
        <w:t xml:space="preserve">a non-cash subsidy income of €4.1 million (see </w:t>
      </w:r>
      <w:r>
        <w:rPr>
          <w:rFonts w:ascii="Times New Roman" w:cs="Times New Roman" w:eastAsia="Times New Roman" w:hAnsi="Times New Roman"/>
          <w:sz w:val="18"/>
          <w:szCs w:val="18"/>
          <w:i w:val="1"/>
          <w:iCs w:val="1"/>
          <w:color w:val="auto"/>
        </w:rPr>
        <w:t>Bpifrance - Conditional Advances and Subsidies</w:t>
      </w:r>
      <w:r>
        <w:rPr>
          <w:rFonts w:ascii="Times New Roman" w:cs="Times New Roman" w:eastAsia="Times New Roman" w:hAnsi="Times New Roman"/>
          <w:sz w:val="18"/>
          <w:szCs w:val="18"/>
          <w:color w:val="auto"/>
        </w:rPr>
        <w:t xml:space="preserve"> within the "Liquidity and Capital Resources" section).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highlight w:val="white"/>
        </w:rPr>
        <w:t xml:space="preserve">For the </w:t>
      </w:r>
      <w:r>
        <w:rPr>
          <w:rFonts w:ascii="Times New Roman" w:cs="Times New Roman" w:eastAsia="Times New Roman" w:hAnsi="Times New Roman"/>
          <w:sz w:val="18"/>
          <w:szCs w:val="18"/>
          <w:color w:val="auto"/>
        </w:rPr>
        <w:t>year ended December 31, 2024, our subsidy income was €4.1 million as compared to €0.1 million for</w:t>
      </w:r>
    </w:p>
    <w:p>
      <w:pPr>
        <w:spacing w:after="0" w:line="2" w:lineRule="exact"/>
        <w:rPr>
          <w:sz w:val="20"/>
          <w:szCs w:val="20"/>
          <w:color w:val="auto"/>
        </w:rPr>
      </w:pP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 xml:space="preserve">the year ended December 31, 2023. The </w:t>
      </w:r>
      <w:r>
        <w:rPr>
          <w:rFonts w:ascii="Times New Roman" w:cs="Times New Roman" w:eastAsia="Times New Roman" w:hAnsi="Times New Roman"/>
          <w:sz w:val="18"/>
          <w:szCs w:val="18"/>
          <w:color w:val="auto"/>
          <w:highlight w:val="white"/>
        </w:rPr>
        <w:t>increase</w:t>
      </w:r>
      <w:r>
        <w:rPr>
          <w:rFonts w:ascii="Times New Roman" w:cs="Times New Roman" w:eastAsia="Times New Roman" w:hAnsi="Times New Roman"/>
          <w:sz w:val="18"/>
          <w:szCs w:val="18"/>
          <w:color w:val="auto"/>
        </w:rPr>
        <w:t xml:space="preserve"> is related to the RNP-VIR and CARENA conditional advances granted by Bpifrance between 2013 and 2019, as explained above.</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Depositary Service Fees</w:t>
      </w:r>
    </w:p>
    <w:p>
      <w:pPr>
        <w:spacing w:after="0" w:line="94" w:lineRule="exact"/>
        <w:rPr>
          <w:sz w:val="20"/>
          <w:szCs w:val="20"/>
          <w:color w:val="auto"/>
        </w:rPr>
      </w:pPr>
    </w:p>
    <w:p>
      <w:pPr>
        <w:ind w:left="300" w:right="679" w:firstLine="441"/>
        <w:spacing w:after="0" w:line="226" w:lineRule="auto"/>
        <w:rPr>
          <w:sz w:val="20"/>
          <w:szCs w:val="20"/>
          <w:color w:val="auto"/>
        </w:rPr>
      </w:pPr>
      <w:r>
        <w:rPr>
          <w:rFonts w:ascii="Times New Roman" w:cs="Times New Roman" w:eastAsia="Times New Roman" w:hAnsi="Times New Roman"/>
          <w:sz w:val="18"/>
          <w:szCs w:val="18"/>
          <w:color w:val="auto"/>
        </w:rPr>
        <w:t xml:space="preserve">As part of our depositary agreement with Citibank (which is acting as our exclusive depositary for our publicly listed ADSs), we are </w:t>
      </w:r>
      <w:r>
        <w:rPr>
          <w:rFonts w:ascii="Times New Roman" w:cs="Times New Roman" w:eastAsia="Times New Roman" w:hAnsi="Times New Roman"/>
          <w:sz w:val="18"/>
          <w:szCs w:val="18"/>
          <w:color w:val="auto"/>
          <w:highlight w:val="white"/>
        </w:rPr>
        <w:t>entitled</w:t>
      </w:r>
      <w:r>
        <w:rPr>
          <w:rFonts w:ascii="Times New Roman" w:cs="Times New Roman" w:eastAsia="Times New Roman" w:hAnsi="Times New Roman"/>
          <w:sz w:val="18"/>
          <w:szCs w:val="18"/>
          <w:color w:val="auto"/>
        </w:rPr>
        <w:t xml:space="preserve"> to receive a portion of the fees collected by Citibank on ADS transactions (e.g., issuance, cancellation and depositary service fees).</w:t>
      </w:r>
    </w:p>
    <w:p>
      <w:pPr>
        <w:spacing w:after="0" w:line="63" w:lineRule="exact"/>
        <w:rPr>
          <w:sz w:val="20"/>
          <w:szCs w:val="20"/>
          <w:color w:val="auto"/>
        </w:rPr>
      </w:pPr>
    </w:p>
    <w:p>
      <w:pPr>
        <w:jc w:val="both"/>
        <w:ind w:left="300" w:right="619" w:firstLine="441"/>
        <w:spacing w:after="0" w:line="239" w:lineRule="auto"/>
        <w:rPr>
          <w:sz w:val="20"/>
          <w:szCs w:val="20"/>
          <w:color w:val="auto"/>
        </w:rPr>
      </w:pPr>
      <w:r>
        <w:rPr>
          <w:rFonts w:ascii="Times New Roman" w:cs="Times New Roman" w:eastAsia="Times New Roman" w:hAnsi="Times New Roman"/>
          <w:sz w:val="17"/>
          <w:szCs w:val="17"/>
          <w:color w:val="auto"/>
        </w:rPr>
        <w:t>For the year ended December 31, 2025, our income related to depositary service fees was €1.5 million, as compared to €1.6 million for the year ended December 31, 2024, a decrease of €(0.1) million, or (8)%. The 2025 fees mainly reflect the large number of transactions that occurred over the second half of 2025, following the</w:t>
      </w:r>
    </w:p>
    <w:p>
      <w:pPr>
        <w:sectPr>
          <w:pgSz w:w="11900" w:h="16849" w:orient="portrait"/>
          <w:cols w:equalWidth="0" w:num="1">
            <w:col w:w="9019"/>
          </w:cols>
          <w:pgMar w:left="1440" w:top="310" w:right="1440" w:bottom="0" w:gutter="0" w:footer="0" w:header="0"/>
        </w:sectPr>
      </w:pPr>
    </w:p>
    <w:bookmarkStart w:id="78" w:name="page79"/>
    <w:bookmarkEnd w:id="78"/>
    <w:p>
      <w:pPr>
        <w:ind w:left="300" w:right="419"/>
        <w:spacing w:after="0" w:line="189" w:lineRule="auto"/>
        <w:rPr>
          <w:sz w:val="20"/>
          <w:szCs w:val="20"/>
          <w:color w:val="auto"/>
        </w:rPr>
      </w:pPr>
      <w:r>
        <w:rPr>
          <w:rFonts w:ascii="Times New Roman" w:cs="Times New Roman" w:eastAsia="Times New Roman" w:hAnsi="Times New Roman"/>
          <w:sz w:val="16"/>
          <w:szCs w:val="16"/>
          <w:color w:val="auto"/>
        </w:rPr>
        <w:t xml:space="preserve">announcement of the results from our Phase 3 ABTECT trials and the completion of our follow-on offering of ordinary shares in the form of </w:t>
      </w:r>
      <w:r>
        <w:rPr>
          <w:rFonts w:ascii="Times New Roman" w:cs="Times New Roman" w:eastAsia="Times New Roman" w:hAnsi="Times New Roman"/>
          <w:sz w:val="16"/>
          <w:szCs w:val="16"/>
          <w:color w:val="auto"/>
          <w:highlight w:val="white"/>
        </w:rPr>
        <w:t>ADSs</w:t>
      </w:r>
      <w:r>
        <w:rPr>
          <w:rFonts w:ascii="Times New Roman" w:cs="Times New Roman" w:eastAsia="Times New Roman" w:hAnsi="Times New Roman"/>
          <w:sz w:val="16"/>
          <w:szCs w:val="16"/>
          <w:color w:val="auto"/>
        </w:rPr>
        <w:t xml:space="preserve"> on the Nasdaq Global Market in July 2025 (the “July 2025 Nasdaq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2882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16115" cy="2882265"/>
                    </a:xfrm>
                    <a:prstGeom prst="rect">
                      <a:avLst/>
                    </a:prstGeom>
                    <a:noFill/>
                  </pic:spPr>
                </pic:pic>
              </a:graphicData>
            </a:graphic>
          </wp:anchor>
        </w:drawing>
      </w:r>
    </w:p>
    <w:p>
      <w:pPr>
        <w:ind w:left="300" w:right="659"/>
        <w:spacing w:after="0" w:line="233" w:lineRule="auto"/>
        <w:rPr>
          <w:sz w:val="20"/>
          <w:szCs w:val="20"/>
          <w:color w:val="auto"/>
        </w:rPr>
      </w:pPr>
      <w:r>
        <w:rPr>
          <w:rFonts w:ascii="Times New Roman" w:cs="Times New Roman" w:eastAsia="Times New Roman" w:hAnsi="Times New Roman"/>
          <w:sz w:val="18"/>
          <w:szCs w:val="18"/>
          <w:color w:val="auto"/>
        </w:rPr>
        <w:t>The 2024 fees were related to the higher number of transactions following our U.S. initial public offering on the Nasdaq Global Market completed in October 2023.</w:t>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We did not </w:t>
      </w:r>
      <w:r>
        <w:rPr>
          <w:rFonts w:ascii="Times New Roman" w:cs="Times New Roman" w:eastAsia="Times New Roman" w:hAnsi="Times New Roman"/>
          <w:sz w:val="18"/>
          <w:szCs w:val="18"/>
          <w:color w:val="auto"/>
          <w:highlight w:val="white"/>
        </w:rPr>
        <w:t>recognize</w:t>
      </w:r>
      <w:r>
        <w:rPr>
          <w:rFonts w:ascii="Times New Roman" w:cs="Times New Roman" w:eastAsia="Times New Roman" w:hAnsi="Times New Roman"/>
          <w:sz w:val="18"/>
          <w:szCs w:val="18"/>
          <w:color w:val="auto"/>
        </w:rPr>
        <w:t xml:space="preserve"> any income related to depositary service fees for the year ended December 31, 2023.</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year ended December 31, 2025, our total operating expenses were €250.6 million, as compared to</w:t>
      </w:r>
    </w:p>
    <w:p>
      <w:pPr>
        <w:spacing w:after="0" w:line="2" w:lineRule="exact"/>
        <w:rPr>
          <w:sz w:val="20"/>
          <w:szCs w:val="20"/>
          <w:color w:val="auto"/>
        </w:rPr>
      </w:pPr>
    </w:p>
    <w:p>
      <w:pPr>
        <w:ind w:left="300" w:right="619"/>
        <w:spacing w:after="0" w:line="218" w:lineRule="auto"/>
        <w:rPr>
          <w:sz w:val="20"/>
          <w:szCs w:val="20"/>
          <w:color w:val="auto"/>
        </w:rPr>
      </w:pPr>
      <w:r>
        <w:rPr>
          <w:rFonts w:ascii="Times New Roman" w:cs="Times New Roman" w:eastAsia="Times New Roman" w:hAnsi="Times New Roman"/>
          <w:sz w:val="18"/>
          <w:szCs w:val="18"/>
          <w:color w:val="auto"/>
        </w:rPr>
        <w:t>€185.4 million for the year ended December 31, 2024, an increase of €65.2 million, or 35%. This increase was primarily due to an increase in research and development expenses of €31.2 million, or 21.3% and an increase in general and administrative expenses of €34.7 million, or 105.4%, each as described below.</w:t>
      </w:r>
    </w:p>
    <w:p>
      <w:pPr>
        <w:spacing w:after="0" w:line="64" w:lineRule="exact"/>
        <w:rPr>
          <w:sz w:val="20"/>
          <w:szCs w:val="20"/>
          <w:color w:val="auto"/>
        </w:rPr>
      </w:pPr>
    </w:p>
    <w:p>
      <w:pPr>
        <w:jc w:val="both"/>
        <w:ind w:left="300" w:right="69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2024, our total operating expenses were €185.4 million, as compared to €132.0 million for the year ended December 31, 2023, an increase of €53.4 million, or 40%. This increase was primarily due to an increase in research and development expenses of €43.4 million, or 42% and an increase in</w:t>
      </w:r>
    </w:p>
    <w:p>
      <w:pPr>
        <w:ind w:left="300"/>
        <w:spacing w:after="0"/>
        <w:rPr>
          <w:sz w:val="20"/>
          <w:szCs w:val="20"/>
          <w:color w:val="auto"/>
        </w:rPr>
      </w:pPr>
      <w:r>
        <w:rPr>
          <w:rFonts w:ascii="Times New Roman" w:cs="Times New Roman" w:eastAsia="Times New Roman" w:hAnsi="Times New Roman"/>
          <w:sz w:val="18"/>
          <w:szCs w:val="18"/>
          <w:color w:val="auto"/>
        </w:rPr>
        <w:t>general and administrative expenses of €11 million, or 47%, each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5514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161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Sales and marketing expenses consist primarily of personnel expenses, including share-based compensation expenses, for employees engaged in sales and marketing activities, as well as consulting costs associated with</w:t>
      </w:r>
    </w:p>
    <w:p>
      <w:pPr>
        <w:ind w:left="300"/>
        <w:spacing w:after="0"/>
        <w:rPr>
          <w:sz w:val="20"/>
          <w:szCs w:val="20"/>
          <w:color w:val="auto"/>
        </w:rPr>
      </w:pPr>
      <w:r>
        <w:rPr>
          <w:rFonts w:ascii="Times New Roman" w:cs="Times New Roman" w:eastAsia="Times New Roman" w:hAnsi="Times New Roman"/>
          <w:sz w:val="18"/>
          <w:szCs w:val="18"/>
          <w:color w:val="auto"/>
        </w:rPr>
        <w:t>market research in preparation for our potential future sales and commercialization efforts in the U.S.</w:t>
      </w:r>
    </w:p>
    <w:p>
      <w:pPr>
        <w:spacing w:after="0" w:line="57"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2025, our total sales and marketing expenses were €5.2 million, as compared to €6.0 million for the year ended December 31, 2024, a decrease of €(0.8) million, or (13)%. The decrease is driven</w:t>
      </w: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by one-time costs of €1.8 million that were incurred in 2024 for our corporate re-branding, including its new website, largely offset by an increase in personnel costs of €1.0 million, of which €0.3 million relate to employer taxes and social contributions related to our AGAs, resulting predominantly from the increase in our share price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second half of 2025.</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2024, our total sales and marketing expenses were €6.0 million as compared to €6.4 million for the year ended December 31, 2023, a decrease of €(0.5) million, or (7)%. The decrease was</w:t>
      </w:r>
    </w:p>
    <w:p>
      <w:pPr>
        <w:ind w:left="300"/>
        <w:spacing w:after="0"/>
        <w:rPr>
          <w:sz w:val="20"/>
          <w:szCs w:val="20"/>
          <w:color w:val="auto"/>
        </w:rPr>
      </w:pPr>
      <w:r>
        <w:rPr>
          <w:rFonts w:ascii="Times New Roman" w:cs="Times New Roman" w:eastAsia="Times New Roman" w:hAnsi="Times New Roman"/>
          <w:sz w:val="18"/>
          <w:szCs w:val="18"/>
          <w:color w:val="auto"/>
        </w:rPr>
        <w:t>primarily driven by the reduction in the headcount of our Sales and Marketing department part-way through 2024.</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ind w:left="300" w:right="779"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sets forth our research and development expenses by drug candidate and therapeutic indication for the years ended December 31, 2025, 2024 and 2023.</w:t>
      </w:r>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i w:val="1"/>
                <w:iCs w:val="1"/>
                <w:color w:val="auto"/>
              </w:rPr>
              <w:t>2024 vs 2023</w:t>
            </w: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i w:val="1"/>
                <w:iCs w:val="1"/>
                <w:color w:val="auto"/>
              </w:rPr>
              <w:t>2025 vs 2024</w:t>
            </w:r>
          </w:p>
        </w:tc>
        <w:tc>
          <w:tcPr>
            <w:tcW w:w="0" w:type="dxa"/>
            <w:vAlign w:val="bottom"/>
          </w:tcPr>
          <w:p>
            <w:pPr>
              <w:spacing w:after="0"/>
              <w:rPr>
                <w:sz w:val="1"/>
                <w:szCs w:val="1"/>
                <w:color w:val="auto"/>
              </w:rPr>
            </w:pPr>
          </w:p>
        </w:tc>
      </w:tr>
      <w:tr>
        <w:trPr>
          <w:trHeight w:val="92"/>
        </w:trPr>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(In thousands of euros) </w:t>
            </w:r>
            <w:r>
              <w:rPr>
                <w:rFonts w:ascii="Times New Roman" w:cs="Times New Roman" w:eastAsia="Times New Roman" w:hAnsi="Times New Roman"/>
                <w:sz w:val="14"/>
                <w:szCs w:val="14"/>
                <w:b w:val="1"/>
                <w:bCs w:val="1"/>
                <w:color w:val="B4B4B4"/>
              </w:rPr>
              <w:t>. . . . . . . . .</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1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0" w:type="dxa"/>
            <w:vAlign w:val="bottom"/>
          </w:tcPr>
          <w:p>
            <w:pPr>
              <w:spacing w:after="0"/>
              <w:rPr>
                <w:sz w:val="1"/>
                <w:szCs w:val="1"/>
                <w:color w:val="auto"/>
              </w:rPr>
            </w:pPr>
          </w:p>
        </w:tc>
      </w:tr>
      <w:tr>
        <w:trPr>
          <w:trHeight w:val="96"/>
        </w:trPr>
        <w:tc>
          <w:tcPr>
            <w:tcW w:w="214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OBEFAZIMOD </w:t>
            </w:r>
            <w:r>
              <w:rPr>
                <w:rFonts w:ascii="Times New Roman" w:cs="Times New Roman" w:eastAsia="Times New Roman" w:hAnsi="Times New Roman"/>
                <w:sz w:val="18"/>
                <w:szCs w:val="18"/>
                <w:b w:val="1"/>
                <w:bCs w:val="1"/>
                <w:color w:val="B4B4B4"/>
              </w:rPr>
              <w:t>. . . . . . . . .</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97,490</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142,678</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171,574</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i w:val="1"/>
                <w:iCs w:val="1"/>
                <w:color w:val="auto"/>
              </w:rPr>
              <w:t>46 %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20 %</w:t>
            </w:r>
          </w:p>
        </w:tc>
        <w:tc>
          <w:tcPr>
            <w:tcW w:w="0" w:type="dxa"/>
            <w:vAlign w:val="bottom"/>
          </w:tcPr>
          <w:p>
            <w:pPr>
              <w:spacing w:after="0"/>
              <w:rPr>
                <w:sz w:val="1"/>
                <w:szCs w:val="1"/>
                <w:color w:val="auto"/>
              </w:rPr>
            </w:pPr>
          </w:p>
        </w:tc>
      </w:tr>
      <w:tr>
        <w:trPr>
          <w:trHeight w:val="256"/>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Ulcerative Colitis </w:t>
            </w:r>
            <w:r>
              <w:rPr>
                <w:rFonts w:ascii="Times New Roman" w:cs="Times New Roman" w:eastAsia="Times New Roman" w:hAnsi="Times New Roman"/>
                <w:sz w:val="18"/>
                <w:szCs w:val="18"/>
                <w:color w:val="B4B4B4"/>
              </w:rPr>
              <w:t>. . . . .</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83,788</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115,818</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117,405</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38 %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0" w:type="dxa"/>
            <w:vAlign w:val="bottom"/>
          </w:tcPr>
          <w:p>
            <w:pPr>
              <w:spacing w:after="0"/>
              <w:rPr>
                <w:sz w:val="1"/>
                <w:szCs w:val="1"/>
                <w:color w:val="auto"/>
              </w:rPr>
            </w:pPr>
          </w:p>
        </w:tc>
      </w:tr>
      <w:tr>
        <w:trPr>
          <w:trHeight w:val="257"/>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Crohn's Disease </w:t>
            </w:r>
            <w:r>
              <w:rPr>
                <w:rFonts w:ascii="Times New Roman" w:cs="Times New Roman" w:eastAsia="Times New Roman" w:hAnsi="Times New Roman"/>
                <w:sz w:val="18"/>
                <w:szCs w:val="18"/>
                <w:color w:val="B4B4B4"/>
              </w:rPr>
              <w:t>. . . . . .</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2,735</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7,354</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17,554</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169 %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0" w:type="dxa"/>
            <w:vAlign w:val="bottom"/>
          </w:tcPr>
          <w:p>
            <w:pPr>
              <w:spacing w:after="0"/>
              <w:rPr>
                <w:sz w:val="1"/>
                <w:szCs w:val="1"/>
                <w:color w:val="auto"/>
              </w:rPr>
            </w:pPr>
          </w:p>
        </w:tc>
      </w:tr>
      <w:tr>
        <w:trPr>
          <w:trHeight w:val="250"/>
        </w:trPr>
        <w:tc>
          <w:tcPr>
            <w:tcW w:w="2140" w:type="dxa"/>
            <w:vAlign w:val="bottom"/>
          </w:tcPr>
          <w:p>
            <w:pPr>
              <w:jc w:val="right"/>
              <w:ind w:right="392"/>
              <w:spacing w:after="0"/>
              <w:rPr>
                <w:sz w:val="20"/>
                <w:szCs w:val="20"/>
                <w:color w:val="auto"/>
              </w:rPr>
            </w:pPr>
            <w:r>
              <w:rPr>
                <w:rFonts w:ascii="Times New Roman" w:cs="Times New Roman" w:eastAsia="Times New Roman" w:hAnsi="Times New Roman"/>
                <w:sz w:val="18"/>
                <w:szCs w:val="18"/>
                <w:i w:val="1"/>
                <w:iCs w:val="1"/>
                <w:color w:val="auto"/>
              </w:rPr>
              <w:t>Obefazimod Other</w:t>
            </w:r>
          </w:p>
        </w:tc>
        <w:tc>
          <w:tcPr>
            <w:tcW w:w="12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169</w:t>
            </w:r>
          </w:p>
        </w:tc>
        <w:tc>
          <w:tcPr>
            <w:tcW w:w="12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474</w:t>
            </w:r>
          </w:p>
        </w:tc>
        <w:tc>
          <w:tcPr>
            <w:tcW w:w="12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4,596</w:t>
            </w:r>
          </w:p>
        </w:tc>
        <w:tc>
          <w:tcPr>
            <w:tcW w:w="1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181 %</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870 %</w:t>
            </w:r>
          </w:p>
        </w:tc>
        <w:tc>
          <w:tcPr>
            <w:tcW w:w="0" w:type="dxa"/>
            <w:vAlign w:val="bottom"/>
          </w:tcPr>
          <w:p>
            <w:pPr>
              <w:spacing w:after="0"/>
              <w:rPr>
                <w:sz w:val="1"/>
                <w:szCs w:val="1"/>
                <w:color w:val="auto"/>
              </w:rPr>
            </w:pPr>
          </w:p>
        </w:tc>
      </w:tr>
      <w:tr>
        <w:trPr>
          <w:trHeight w:val="115"/>
        </w:trPr>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Indications </w:t>
            </w:r>
            <w:r>
              <w:rPr>
                <w:rFonts w:ascii="Times New Roman" w:cs="Times New Roman" w:eastAsia="Times New Roman" w:hAnsi="Times New Roman"/>
                <w:sz w:val="18"/>
                <w:szCs w:val="18"/>
                <w:color w:val="B4B4B4"/>
              </w:rPr>
              <w:t>. . . . . . . . . .</w:t>
            </w:r>
          </w:p>
        </w:tc>
        <w:tc>
          <w:tcPr>
            <w:tcW w:w="12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Transversal Activities </w:t>
            </w:r>
            <w:r>
              <w:rPr>
                <w:rFonts w:ascii="Times New Roman" w:cs="Times New Roman" w:eastAsia="Times New Roman" w:hAnsi="Times New Roman"/>
                <w:sz w:val="18"/>
                <w:szCs w:val="18"/>
                <w:color w:val="B4B4B4"/>
              </w:rPr>
              <w:t>. .</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10,798</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19,032</w:t>
            </w: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32,018</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76 %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68 %</w:t>
            </w:r>
          </w:p>
        </w:tc>
        <w:tc>
          <w:tcPr>
            <w:tcW w:w="0" w:type="dxa"/>
            <w:vAlign w:val="bottom"/>
          </w:tcPr>
          <w:p>
            <w:pPr>
              <w:spacing w:after="0"/>
              <w:rPr>
                <w:sz w:val="1"/>
                <w:szCs w:val="1"/>
                <w:color w:val="auto"/>
              </w:rPr>
            </w:pPr>
          </w:p>
        </w:tc>
      </w:tr>
      <w:tr>
        <w:trPr>
          <w:trHeight w:val="236"/>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b w:val="1"/>
                <w:bCs w:val="1"/>
                <w:color w:val="B4B4B4"/>
              </w:rPr>
              <w:t>. . . . . . . . . . . . . . . . .</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5,686</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3,854</w:t>
            </w: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6,187</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i w:val="1"/>
                <w:iCs w:val="1"/>
                <w:color w:val="auto"/>
              </w:rPr>
              <w:t>(32)%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61 %</w:t>
            </w:r>
          </w:p>
        </w:tc>
        <w:tc>
          <w:tcPr>
            <w:tcW w:w="0" w:type="dxa"/>
            <w:vAlign w:val="bottom"/>
          </w:tcPr>
          <w:p>
            <w:pPr>
              <w:spacing w:after="0"/>
              <w:rPr>
                <w:sz w:val="1"/>
                <w:szCs w:val="1"/>
                <w:color w:val="auto"/>
              </w:rPr>
            </w:pPr>
          </w:p>
        </w:tc>
      </w:tr>
      <w:tr>
        <w:trPr>
          <w:trHeight w:val="228"/>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Research and Development</w:t>
            </w:r>
          </w:p>
        </w:tc>
        <w:tc>
          <w:tcPr>
            <w:tcW w:w="12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103,176</w:t>
            </w:r>
          </w:p>
        </w:tc>
        <w:tc>
          <w:tcPr>
            <w:tcW w:w="12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146,532</w:t>
            </w:r>
          </w:p>
        </w:tc>
        <w:tc>
          <w:tcPr>
            <w:tcW w:w="12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177,761</w:t>
            </w:r>
          </w:p>
        </w:tc>
        <w:tc>
          <w:tcPr>
            <w:tcW w:w="1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i w:val="1"/>
                <w:iCs w:val="1"/>
                <w:color w:val="auto"/>
              </w:rPr>
              <w:t>42 %</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21 %</w:t>
            </w:r>
          </w:p>
        </w:tc>
        <w:tc>
          <w:tcPr>
            <w:tcW w:w="0" w:type="dxa"/>
            <w:vAlign w:val="bottom"/>
          </w:tcPr>
          <w:p>
            <w:pPr>
              <w:spacing w:after="0"/>
              <w:rPr>
                <w:sz w:val="1"/>
                <w:szCs w:val="1"/>
                <w:color w:val="auto"/>
              </w:rPr>
            </w:pPr>
          </w:p>
        </w:tc>
      </w:tr>
      <w:tr>
        <w:trPr>
          <w:trHeight w:val="117"/>
        </w:trPr>
        <w:tc>
          <w:tcPr>
            <w:tcW w:w="214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b w:val="1"/>
                <w:bCs w:val="1"/>
                <w:color w:val="B4B4B4"/>
              </w:rPr>
              <w:t>. . . . . . . . . . . . . . .</w:t>
            </w:r>
          </w:p>
        </w:tc>
        <w:tc>
          <w:tcPr>
            <w:tcW w:w="12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79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2025, our research and development expenses were €177.8 million, as compared to €146.5 million for the year ended December 31, 2024, an increase of €31.2 million, or 21%. This increase was primarily due to a €13.0 million, or 68%, increase in transversal activities related to increased</w:t>
      </w: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chemistry, manufacturing and controls ("CMC") and supply chain costs related to the progression of clinical trials and anticipation of future commercial launch, a €10.2 million, or 139%, increase in expenses related to our CD clinical program, resulting from the progression of our Phase 2b CD trial, a €1.6 million, or 1%, increase in expenses</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related to our UC clinical program resulting from our continued progression of our UC clinical program and the Phase 3 induction trials data read-out during the second half of 2025, and a €4.1 million, or 870%, increase in expenses related to new indications (including the combination therapy) for obefazimod. In addition, a sharp rise in</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employer tax and social contributions related to our stock-based compensation ("AGAs"), in turn predominantly attributable to the increase in our share price during the second half of 2025, contributed to the overall increase in research and development expenses across all destinations for the year ended December 31, 2025 as compared 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 ended December 31, 2024, in an amount of €20.1 million.</w:t>
      </w:r>
    </w:p>
    <w:p>
      <w:pPr>
        <w:spacing w:after="0" w:line="57" w:lineRule="exact"/>
        <w:rPr>
          <w:sz w:val="20"/>
          <w:szCs w:val="20"/>
          <w:color w:val="auto"/>
        </w:rPr>
      </w:pPr>
    </w:p>
    <w:p>
      <w:pPr>
        <w:ind w:left="300" w:right="799" w:firstLine="441"/>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2024, our research and development expenses were €146.5 million, as compared to €103.2 million for the year ended December 31, 2023, an increase of €43.4 million, or 42%. This</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increase was primarily due to a €32.0 million, or 38%, increase in expenses related to our UC clinical program, driven by the progression of Phase 3 clinical trials for obefazimod in UC (where Phase 3 clinical trial costs were significantly higher than in Phase 2), a €8.2 million, or 76%, increase in transversal activities related to the overall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expansion of the research and development headcount to support our organizational growth and the issuance of new</w:t>
      </w:r>
    </w:p>
    <w:p>
      <w:pPr>
        <w:sectPr>
          <w:pgSz w:w="11900" w:h="16838" w:orient="portrait"/>
          <w:cols w:equalWidth="0" w:num="1">
            <w:col w:w="9019"/>
          </w:cols>
          <w:pgMar w:left="1440" w:top="108" w:right="1440" w:bottom="0" w:gutter="0" w:footer="0" w:header="0"/>
        </w:sectPr>
      </w:pPr>
    </w:p>
    <w:bookmarkStart w:id="79" w:name="page80"/>
    <w:bookmarkEnd w:id="79"/>
    <w:p>
      <w:pPr>
        <w:spacing w:after="0" w:line="52" w:lineRule="exact"/>
        <w:rPr>
          <w:sz w:val="20"/>
          <w:szCs w:val="20"/>
          <w:color w:val="auto"/>
        </w:rPr>
      </w:pPr>
    </w:p>
    <w:p>
      <w:pPr>
        <w:ind w:left="300" w:right="319"/>
        <w:spacing w:after="0" w:line="188" w:lineRule="auto"/>
        <w:rPr>
          <w:sz w:val="20"/>
          <w:szCs w:val="20"/>
          <w:color w:val="auto"/>
        </w:rPr>
      </w:pPr>
      <w:r>
        <w:rPr>
          <w:rFonts w:ascii="Times New Roman" w:cs="Times New Roman" w:eastAsia="Times New Roman" w:hAnsi="Times New Roman"/>
          <w:sz w:val="12"/>
          <w:szCs w:val="12"/>
          <w:color w:val="auto"/>
        </w:rPr>
        <w:t>equity awards to officers and employees i</w:t>
      </w:r>
      <w:r>
        <w:rPr>
          <w:rFonts w:ascii="Times New Roman" w:cs="Times New Roman" w:eastAsia="Times New Roman" w:hAnsi="Times New Roman"/>
          <w:sz w:val="20"/>
          <w:szCs w:val="20"/>
          <w:color w:val="auto"/>
          <w:vertAlign w:val="superscript"/>
        </w:rPr>
        <w:t>n</w:t>
      </w:r>
      <w:r>
        <w:rPr>
          <w:rFonts w:ascii="Times New Roman" w:cs="Times New Roman" w:eastAsia="Times New Roman" w:hAnsi="Times New Roman"/>
          <w:sz w:val="12"/>
          <w:szCs w:val="12"/>
          <w:color w:val="auto"/>
        </w:rPr>
        <w:t xml:space="preserve"> research and development and a €4.6 million increase in expenses related to our CD clinical program, driven by pla ning costs incurred for the Phase 2b CD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1510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6115" cy="151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92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6115" cy="892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highlight w:val="white"/>
        </w:rPr>
        <w:t xml:space="preserve">The </w:t>
      </w:r>
      <w:r>
        <w:rPr>
          <w:rFonts w:ascii="Times New Roman" w:cs="Times New Roman" w:eastAsia="Times New Roman" w:hAnsi="Times New Roman"/>
          <w:sz w:val="18"/>
          <w:szCs w:val="18"/>
          <w:color w:val="auto"/>
        </w:rPr>
        <w:t>following</w:t>
      </w:r>
      <w:r>
        <w:rPr>
          <w:rFonts w:ascii="Times New Roman" w:cs="Times New Roman" w:eastAsia="Times New Roman" w:hAnsi="Times New Roman"/>
          <w:sz w:val="18"/>
          <w:szCs w:val="18"/>
          <w:color w:val="auto"/>
          <w:highlight w:val="white"/>
        </w:rPr>
        <w:t xml:space="preserve"> table </w:t>
      </w:r>
      <w:r>
        <w:rPr>
          <w:rFonts w:ascii="Times New Roman" w:cs="Times New Roman" w:eastAsia="Times New Roman" w:hAnsi="Times New Roman"/>
          <w:sz w:val="18"/>
          <w:szCs w:val="18"/>
          <w:color w:val="auto"/>
        </w:rPr>
        <w:t>sets</w:t>
      </w:r>
      <w:r>
        <w:rPr>
          <w:rFonts w:ascii="Times New Roman" w:cs="Times New Roman" w:eastAsia="Times New Roman" w:hAnsi="Times New Roman"/>
          <w:sz w:val="18"/>
          <w:szCs w:val="18"/>
          <w:color w:val="auto"/>
          <w:highlight w:val="white"/>
        </w:rPr>
        <w:t xml:space="preserve"> forth our operating expenses for the years ended December 31, 2023, 2024 and 2025.</w:t>
      </w:r>
    </w:p>
    <w:p>
      <w:pPr>
        <w:spacing w:after="0" w:line="151"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1920" w:type="dxa"/>
            <w:vAlign w:val="bottom"/>
          </w:tcPr>
          <w:p>
            <w:pPr>
              <w:spacing w:after="0"/>
              <w:rPr>
                <w:sz w:val="15"/>
                <w:szCs w:val="15"/>
                <w:color w:val="auto"/>
              </w:rPr>
            </w:pPr>
          </w:p>
        </w:tc>
        <w:tc>
          <w:tcPr>
            <w:tcW w:w="15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2024 vs 2023</w:t>
            </w:r>
          </w:p>
        </w:tc>
        <w:tc>
          <w:tcPr>
            <w:tcW w:w="9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i w:val="1"/>
                <w:iCs w:val="1"/>
                <w:color w:val="auto"/>
              </w:rPr>
              <w:t>2025 vs 2024</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5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9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58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91" w:orient="portrait"/>
          <w:cols w:equalWidth="0" w:num="1">
            <w:col w:w="9019"/>
          </w:cols>
          <w:pgMar w:left="1440" w:top="108" w:right="1440" w:bottom="0" w:gutter="0" w:footer="0" w:header="0"/>
        </w:sectPr>
      </w:pP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Personnel costs </w:t>
      </w:r>
      <w:r>
        <w:rPr>
          <w:rFonts w:ascii="Times New Roman" w:cs="Times New Roman" w:eastAsia="Times New Roman" w:hAnsi="Times New Roman"/>
          <w:sz w:val="17"/>
          <w:szCs w:val="17"/>
          <w:color w:val="B4B4B4"/>
        </w:rPr>
        <w:t>. . . . . . . . . . .</w:t>
      </w:r>
    </w:p>
    <w:p>
      <w:pPr>
        <w:spacing w:after="0" w:line="61" w:lineRule="exact"/>
        <w:rPr>
          <w:sz w:val="20"/>
          <w:szCs w:val="20"/>
          <w:color w:val="auto"/>
        </w:rPr>
      </w:pPr>
    </w:p>
    <w:p>
      <w:pPr>
        <w:ind w:left="460"/>
        <w:spacing w:after="0" w:line="273" w:lineRule="auto"/>
        <w:rPr>
          <w:sz w:val="20"/>
          <w:szCs w:val="20"/>
          <w:color w:val="auto"/>
        </w:rPr>
      </w:pPr>
      <w:r>
        <w:rPr>
          <w:rFonts w:ascii="Times New Roman" w:cs="Times New Roman" w:eastAsia="Times New Roman" w:hAnsi="Times New Roman"/>
          <w:sz w:val="18"/>
          <w:szCs w:val="18"/>
          <w:color w:val="auto"/>
        </w:rPr>
        <w:t xml:space="preserve">Consulting and professional fees </w:t>
      </w:r>
      <w:r>
        <w:rPr>
          <w:rFonts w:ascii="Times New Roman" w:cs="Times New Roman" w:eastAsia="Times New Roman" w:hAnsi="Times New Roman"/>
          <w:sz w:val="18"/>
          <w:szCs w:val="18"/>
          <w:color w:val="B4B4B4"/>
        </w:rPr>
        <w:t>. . . . . . . . . . . . . . . . . . . .</w:t>
      </w:r>
    </w:p>
    <w:p>
      <w:pPr>
        <w:spacing w:after="0" w:line="2" w:lineRule="exact"/>
        <w:rPr>
          <w:sz w:val="20"/>
          <w:szCs w:val="20"/>
          <w:color w:val="auto"/>
        </w:rPr>
      </w:pPr>
    </w:p>
    <w:p>
      <w:pPr>
        <w:ind w:left="460"/>
        <w:spacing w:after="0" w:line="271" w:lineRule="auto"/>
        <w:rPr>
          <w:sz w:val="20"/>
          <w:szCs w:val="20"/>
          <w:color w:val="auto"/>
        </w:rPr>
      </w:pPr>
      <w:r>
        <w:rPr>
          <w:rFonts w:ascii="Times New Roman" w:cs="Times New Roman" w:eastAsia="Times New Roman" w:hAnsi="Times New Roman"/>
          <w:sz w:val="18"/>
          <w:szCs w:val="18"/>
          <w:color w:val="auto"/>
        </w:rPr>
        <w:t xml:space="preserve">Other general and administrative expenses </w:t>
      </w:r>
      <w:r>
        <w:rPr>
          <w:rFonts w:ascii="Times New Roman" w:cs="Times New Roman" w:eastAsia="Times New Roman" w:hAnsi="Times New Roman"/>
          <w:sz w:val="18"/>
          <w:szCs w:val="18"/>
          <w:color w:val="B4B4B4"/>
        </w:rPr>
        <w:t>. . . .</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and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administrative expenses </w:t>
      </w:r>
      <w:r>
        <w:rPr>
          <w:rFonts w:ascii="Times New Roman" w:cs="Times New Roman" w:eastAsia="Times New Roman" w:hAnsi="Times New Roman"/>
          <w:sz w:val="17"/>
          <w:szCs w:val="17"/>
          <w:b w:val="1"/>
          <w:bCs w:val="1"/>
          <w:color w:val="B4B4B4"/>
        </w:rPr>
        <w:t>.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13,104</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19,434</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52,817</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48 %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r>
      <w:tr>
        <w:trPr>
          <w:trHeight w:val="364"/>
        </w:trPr>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6,393</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7,990</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9,984</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25 %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r>
      <w:tr>
        <w:trPr>
          <w:trHeight w:val="473"/>
        </w:trPr>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2,893</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5,522</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4,870</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91 %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r>
      <w:tr>
        <w:trPr>
          <w:trHeight w:val="473"/>
        </w:trPr>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22,390</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32,946</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67,670</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47 %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105 %</w:t>
            </w:r>
          </w:p>
        </w:tc>
      </w:tr>
      <w:tr>
        <w:trPr>
          <w:trHeight w:val="81"/>
        </w:trPr>
        <w:tc>
          <w:tcPr>
            <w:tcW w:w="15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ectPr>
          <w:pgSz w:w="11900" w:h="16891" w:orient="portrait"/>
          <w:cols w:equalWidth="0" w:num="2">
            <w:col w:w="2560" w:space="40"/>
            <w:col w:w="6419"/>
          </w:cols>
          <w:pgMar w:left="1440" w:top="108" w:right="1440" w:bottom="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For the year ended December 31, 2025, our general and administrative expenses were €67.7 million, as</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compared to €32.9 million for the year ended December 31, 2024, an increase of €34.7 million, or 105%. This increase was primarily due to an increase in personnel costs of €33.4 million, or 172%, mainly explained by the increase in employer taxes and social contributions related to our AGAs by €27.3 million resulting predominantly</w:t>
      </w:r>
    </w:p>
    <w:p>
      <w:pPr>
        <w:spacing w:after="0" w:line="2" w:lineRule="exact"/>
        <w:rPr>
          <w:sz w:val="20"/>
          <w:szCs w:val="20"/>
          <w:color w:val="auto"/>
        </w:rPr>
      </w:pP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from the increase in our share price during the second half of 2025 and to a lesser degree by an increase in consulting and professional fees of €2.0 million, or 25%, driven by an increase in legal and professional fees and costs associated with building our infrastructure to support future growth in our operations.</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2024, our general and administrative expenses were €32.9 million, as compared to €22.4 million for the year ended December 31, 2023, an increase of €10.6 million, or 47%. This increase was primarily due to an increase in personnel costs of €6.3 million, or 48%. This increase in personnel costs</w:t>
      </w:r>
    </w:p>
    <w:p>
      <w:pPr>
        <w:ind w:left="300" w:right="499"/>
        <w:spacing w:after="0" w:line="218" w:lineRule="auto"/>
        <w:rPr>
          <w:sz w:val="20"/>
          <w:szCs w:val="20"/>
          <w:color w:val="auto"/>
        </w:rPr>
      </w:pPr>
      <w:r>
        <w:rPr>
          <w:rFonts w:ascii="Times New Roman" w:cs="Times New Roman" w:eastAsia="Times New Roman" w:hAnsi="Times New Roman"/>
          <w:sz w:val="18"/>
          <w:szCs w:val="18"/>
          <w:color w:val="auto"/>
        </w:rPr>
        <w:t>represents the full year impact of the build out of our G&amp;A organization (increased headcount and equity-based compensation costs) which started in late 2023 to support the expansion of the company, as well as increased legal and professional fees and other costs associated with operating as a dual-listed public company.</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81" w:lineRule="exact"/>
        <w:rPr>
          <w:sz w:val="20"/>
          <w:szCs w:val="20"/>
          <w:color w:val="auto"/>
        </w:rPr>
      </w:pPr>
    </w:p>
    <w:p>
      <w:pPr>
        <w:jc w:val="both"/>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2025, our operating loss was €246.1 million, as compared to an operating loss of €173.0 million for the year ended December 31, 2024, an increase of €73.1 million, or 42%. This increase</w:t>
      </w:r>
    </w:p>
    <w:p>
      <w:pPr>
        <w:ind w:left="300"/>
        <w:spacing w:after="0" w:line="203" w:lineRule="auto"/>
        <w:rPr>
          <w:sz w:val="20"/>
          <w:szCs w:val="20"/>
          <w:color w:val="auto"/>
        </w:rPr>
      </w:pPr>
      <w:r>
        <w:rPr>
          <w:rFonts w:ascii="Times New Roman" w:cs="Times New Roman" w:eastAsia="Times New Roman" w:hAnsi="Times New Roman"/>
          <w:sz w:val="18"/>
          <w:szCs w:val="18"/>
          <w:color w:val="auto"/>
        </w:rPr>
        <w:t>was primarily due to an increase of €31.2 million in research and development expenses and an increase of</w:t>
      </w: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€34.7 million in general and administrative expenses. There expenses were offset, to a lesser degree, by a €(0.8) million decrease in sales and marketing expenses.</w:t>
      </w:r>
    </w:p>
    <w:p>
      <w:pPr>
        <w:spacing w:after="0" w:line="63" w:lineRule="exact"/>
        <w:rPr>
          <w:sz w:val="20"/>
          <w:szCs w:val="20"/>
          <w:color w:val="auto"/>
        </w:rPr>
      </w:pPr>
    </w:p>
    <w:p>
      <w:pPr>
        <w:jc w:val="both"/>
        <w:ind w:left="300" w:right="55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2024, our operating loss was €173.0 million, as compared to an operating loss of €127.4 million for the year ended December 31, 2023, an increase of €45.6 million, or 36%. This increase was primarily due to an increase of €43.4 million in research and development expenses and an increase of €10.6</w:t>
      </w:r>
    </w:p>
    <w:p>
      <w:pPr>
        <w:jc w:val="both"/>
        <w:ind w:left="300" w:right="539"/>
        <w:spacing w:after="0" w:line="226" w:lineRule="auto"/>
        <w:rPr>
          <w:sz w:val="20"/>
          <w:szCs w:val="20"/>
          <w:color w:val="auto"/>
        </w:rPr>
      </w:pPr>
      <w:r>
        <w:rPr>
          <w:rFonts w:ascii="Times New Roman" w:cs="Times New Roman" w:eastAsia="Times New Roman" w:hAnsi="Times New Roman"/>
          <w:sz w:val="18"/>
          <w:szCs w:val="18"/>
          <w:color w:val="auto"/>
        </w:rPr>
        <w:t>million in general and administrative expenses. These expenses were offset, to a lesser degree, by a €(0.5) million decrease in sales and marketing expenses.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(Loss)</w:t>
      </w:r>
    </w:p>
    <w:p>
      <w:pPr>
        <w:spacing w:after="0" w:line="94" w:lineRule="exact"/>
        <w:rPr>
          <w:sz w:val="20"/>
          <w:szCs w:val="20"/>
          <w:color w:val="auto"/>
        </w:rPr>
      </w:pPr>
    </w:p>
    <w:p>
      <w:pPr>
        <w:ind w:left="300" w:right="31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2025, our financial loss was €84.2 million, as compared to a financial loss of €3.3 million and a €20.4 million for the years ended December 31, 2024 and 2023, respectively.</w:t>
      </w:r>
    </w:p>
    <w:p>
      <w:pPr>
        <w:spacing w:after="0" w:line="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highlight w:val="white"/>
        </w:rPr>
        <w:t xml:space="preserve">For </w:t>
      </w:r>
      <w:r>
        <w:rPr>
          <w:rFonts w:ascii="Times New Roman" w:cs="Times New Roman" w:eastAsia="Times New Roman" w:hAnsi="Times New Roman"/>
          <w:sz w:val="18"/>
          <w:szCs w:val="18"/>
          <w:color w:val="auto"/>
        </w:rPr>
        <w:t>the</w:t>
      </w:r>
      <w:r>
        <w:rPr>
          <w:sz w:val="1"/>
          <w:szCs w:val="1"/>
          <w:color w:val="auto"/>
        </w:rPr>
        <w:drawing>
          <wp:inline distT="0" distB="0" distL="0" distR="0">
            <wp:extent cx="26035" cy="12128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12128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year ended December 31, 2025, </w:t>
      </w:r>
      <w:r>
        <w:rPr>
          <w:rFonts w:ascii="Times New Roman" w:cs="Times New Roman" w:eastAsia="Times New Roman" w:hAnsi="Times New Roman"/>
          <w:sz w:val="18"/>
          <w:szCs w:val="18"/>
          <w:color w:val="auto"/>
        </w:rPr>
        <w:t>our financial loss was mainly driven by (i) increases in the fair values</w:t>
      </w: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 xml:space="preserve">of the senior convertible notes (the </w:t>
      </w:r>
      <w:r>
        <w:rPr>
          <w:rFonts w:ascii="Times New Roman" w:cs="Times New Roman" w:eastAsia="Times New Roman" w:hAnsi="Times New Roman"/>
          <w:sz w:val="18"/>
          <w:szCs w:val="18"/>
          <w:color w:val="auto"/>
          <w:highlight w:val="white"/>
        </w:rPr>
        <w:t>"Heights Convertible Notes") issued pursuant to the subscription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entered into in </w:t>
      </w:r>
      <w:r>
        <w:rPr>
          <w:rFonts w:ascii="Times New Roman" w:cs="Times New Roman" w:eastAsia="Times New Roman" w:hAnsi="Times New Roman"/>
          <w:sz w:val="18"/>
          <w:szCs w:val="18"/>
          <w:color w:val="auto"/>
        </w:rPr>
        <w:t>August</w:t>
      </w:r>
      <w:r>
        <w:rPr>
          <w:rFonts w:ascii="Times New Roman" w:cs="Times New Roman" w:eastAsia="Times New Roman" w:hAnsi="Times New Roman"/>
          <w:sz w:val="18"/>
          <w:szCs w:val="18"/>
          <w:color w:val="auto"/>
          <w:highlight w:val="white"/>
        </w:rPr>
        <w:t xml:space="preserve"> 2023 with entities affiliated with Heights Capital Management (the "Heights Financing") and the warrants issued in August 2023 to Kreos Capital and Claret European Growth Capital (the “Kreos / Claret</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highlight w:val="white"/>
        </w:rPr>
        <w:t>BSA") of €36.0 million and €29.9 million, respectively (predominantly driven by the increase in our share price and the remeasurement of these instr</w:t>
      </w:r>
      <w:r>
        <w:rPr>
          <w:rFonts w:ascii="Times New Roman" w:cs="Times New Roman" w:eastAsia="Times New Roman" w:hAnsi="Times New Roman"/>
          <w:sz w:val="17"/>
          <w:szCs w:val="17"/>
          <w:color w:val="auto"/>
        </w:rPr>
        <w:t>uments prior to their conversion into ordinary shares), (ii) foreign exchange losses</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of €13.4 million (including the €9.6 million non-cash </w:t>
      </w:r>
      <w:r>
        <w:rPr>
          <w:rFonts w:ascii="Times New Roman" w:cs="Times New Roman" w:eastAsia="Times New Roman" w:hAnsi="Times New Roman"/>
          <w:sz w:val="17"/>
          <w:szCs w:val="17"/>
          <w:color w:val="auto"/>
          <w:highlight w:val="white"/>
        </w:rPr>
        <w:t>impact of the revaluation of U.S. dollar-denominated cash and</w:t>
      </w:r>
    </w:p>
    <w:p>
      <w:pPr>
        <w:spacing w:after="0" w:line="2" w:lineRule="exact"/>
        <w:rPr>
          <w:sz w:val="20"/>
          <w:szCs w:val="20"/>
          <w:color w:val="auto"/>
        </w:rPr>
      </w:pPr>
    </w:p>
    <w:p>
      <w:pPr>
        <w:jc w:val="both"/>
        <w:ind w:left="300" w:right="439"/>
        <w:spacing w:after="0" w:line="220" w:lineRule="auto"/>
        <w:rPr>
          <w:sz w:val="20"/>
          <w:szCs w:val="20"/>
          <w:color w:val="auto"/>
        </w:rPr>
      </w:pPr>
      <w:r>
        <w:rPr>
          <w:rFonts w:ascii="Times New Roman" w:cs="Times New Roman" w:eastAsia="Times New Roman" w:hAnsi="Times New Roman"/>
          <w:sz w:val="17"/>
          <w:szCs w:val="17"/>
          <w:color w:val="auto"/>
          <w:highlight w:val="white"/>
        </w:rPr>
        <w:t xml:space="preserve">cash equivalents as of December 31, 2025), </w:t>
      </w:r>
      <w:r>
        <w:rPr>
          <w:rFonts w:ascii="Times New Roman" w:cs="Times New Roman" w:eastAsia="Times New Roman" w:hAnsi="Times New Roman"/>
          <w:sz w:val="17"/>
          <w:szCs w:val="17"/>
          <w:color w:val="auto"/>
        </w:rPr>
        <w:t>(iii) interests of</w:t>
      </w:r>
      <w:r>
        <w:rPr>
          <w:rFonts w:ascii="Times New Roman" w:cs="Times New Roman" w:eastAsia="Times New Roman" w:hAnsi="Times New Roman"/>
          <w:sz w:val="17"/>
          <w:szCs w:val="17"/>
          <w:color w:val="auto"/>
          <w:highlight w:val="white"/>
        </w:rPr>
        <w:t xml:space="preserve"> €17.2 million </w:t>
      </w:r>
      <w:r>
        <w:rPr>
          <w:rFonts w:ascii="Times New Roman" w:cs="Times New Roman" w:eastAsia="Times New Roman" w:hAnsi="Times New Roman"/>
          <w:sz w:val="17"/>
          <w:szCs w:val="17"/>
          <w:color w:val="auto"/>
        </w:rPr>
        <w:t>in relation</w:t>
      </w:r>
      <w:r>
        <w:rPr>
          <w:rFonts w:ascii="Times New Roman" w:cs="Times New Roman" w:eastAsia="Times New Roman" w:hAnsi="Times New Roman"/>
          <w:sz w:val="17"/>
          <w:szCs w:val="17"/>
          <w:color w:val="auto"/>
          <w:highlight w:val="white"/>
        </w:rPr>
        <w:t xml:space="preserve"> to our royalty certificates, (iv) </w:t>
      </w:r>
      <w:r>
        <w:rPr>
          <w:rFonts w:ascii="Times New Roman" w:cs="Times New Roman" w:eastAsia="Times New Roman" w:hAnsi="Times New Roman"/>
          <w:sz w:val="17"/>
          <w:szCs w:val="17"/>
          <w:color w:val="auto"/>
        </w:rPr>
        <w:t xml:space="preserve">interest expenses of </w:t>
      </w:r>
      <w:r>
        <w:rPr>
          <w:rFonts w:ascii="Times New Roman" w:cs="Times New Roman" w:eastAsia="Times New Roman" w:hAnsi="Times New Roman"/>
          <w:sz w:val="17"/>
          <w:szCs w:val="17"/>
          <w:color w:val="auto"/>
          <w:highlight w:val="white"/>
        </w:rPr>
        <w:t>€11.1 million</w:t>
      </w:r>
      <w:r>
        <w:rPr>
          <w:rFonts w:ascii="Times New Roman" w:cs="Times New Roman" w:eastAsia="Times New Roman" w:hAnsi="Times New Roman"/>
          <w:sz w:val="17"/>
          <w:szCs w:val="17"/>
          <w:color w:val="auto"/>
        </w:rPr>
        <w:t xml:space="preserve"> in relation to the first tranche of senior secured convertible bonds with warrants attached in the Kreos / Claret Financing (the “Kreos / Claret OCABSA”), the second and third tranches of senior</w:t>
      </w:r>
    </w:p>
    <w:p>
      <w:pPr>
        <w:spacing w:after="0" w:line="2" w:lineRule="exact"/>
        <w:rPr>
          <w:sz w:val="20"/>
          <w:szCs w:val="20"/>
          <w:color w:val="auto"/>
        </w:rPr>
      </w:pPr>
    </w:p>
    <w:p>
      <w:pPr>
        <w:ind w:left="300" w:right="479"/>
        <w:spacing w:after="0" w:line="239" w:lineRule="auto"/>
        <w:rPr>
          <w:sz w:val="20"/>
          <w:szCs w:val="20"/>
          <w:color w:val="auto"/>
        </w:rPr>
      </w:pPr>
      <w:r>
        <w:rPr>
          <w:rFonts w:ascii="Times New Roman" w:cs="Times New Roman" w:eastAsia="Times New Roman" w:hAnsi="Times New Roman"/>
          <w:sz w:val="17"/>
          <w:szCs w:val="17"/>
          <w:color w:val="auto"/>
        </w:rPr>
        <w:t>secured bonds in the Kreos / Claret Financing and the senior convertible notes in the Heights Financing (the "Heights Convertible Notes") and (v) a €3.8 million loss on derecognition on the Kreos / Claret Tranches B and C.</w:t>
      </w:r>
    </w:p>
    <w:p>
      <w:pPr>
        <w:sectPr>
          <w:pgSz w:w="11900" w:h="16891" w:orient="portrait"/>
          <w:cols w:equalWidth="0" w:num="1">
            <w:col w:w="9019"/>
          </w:cols>
          <w:pgMar w:left="144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91" w:orient="portrait"/>
          <w:cols w:equalWidth="0" w:num="1">
            <w:col w:w="9019"/>
          </w:cols>
          <w:pgMar w:left="1440" w:top="108" w:right="1440" w:bottom="0" w:gutter="0" w:footer="0" w:header="0"/>
          <w:type w:val="continuous"/>
        </w:sectPr>
      </w:pPr>
    </w:p>
    <w:bookmarkStart w:id="80" w:name="page81"/>
    <w:bookmarkEnd w:id="80"/>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94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6115" cy="9294495"/>
                    </a:xfrm>
                    <a:prstGeom prst="rect">
                      <a:avLst/>
                    </a:prstGeom>
                    <a:noFill/>
                  </pic:spPr>
                </pic:pic>
              </a:graphicData>
            </a:graphic>
          </wp:anchor>
        </w:drawing>
      </w: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These</w:t>
      </w:r>
      <w:r>
        <w:rPr>
          <w:sz w:val="1"/>
          <w:szCs w:val="1"/>
          <w:color w:val="auto"/>
        </w:rPr>
        <w:drawing>
          <wp:inline distT="0" distB="0" distL="0" distR="0">
            <wp:extent cx="43180" cy="8572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572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costs </w:t>
      </w:r>
      <w:r>
        <w:rPr>
          <w:rFonts w:ascii="Times New Roman" w:cs="Times New Roman" w:eastAsia="Times New Roman" w:hAnsi="Times New Roman"/>
          <w:sz w:val="17"/>
          <w:szCs w:val="17"/>
          <w:color w:val="auto"/>
          <w:highlight w:val="white"/>
        </w:rPr>
        <w:t>were partially offset mainly by (i)</w:t>
      </w:r>
      <w:r>
        <w:rPr>
          <w:rFonts w:ascii="Times New Roman" w:cs="Times New Roman" w:eastAsia="Times New Roman" w:hAnsi="Times New Roman"/>
          <w:sz w:val="17"/>
          <w:szCs w:val="17"/>
          <w:color w:val="auto"/>
        </w:rPr>
        <w:t xml:space="preserve"> foreign exchange gains of €11.9 million ( including the €10.7 million gain related to our July 2025 Nasdaq Offering ), (ii) </w:t>
      </w:r>
      <w:r>
        <w:rPr>
          <w:rFonts w:ascii="Times New Roman" w:cs="Times New Roman" w:eastAsia="Times New Roman" w:hAnsi="Times New Roman"/>
          <w:sz w:val="17"/>
          <w:szCs w:val="17"/>
          <w:color w:val="auto"/>
          <w:highlight w:val="white"/>
        </w:rPr>
        <w:t>interest income of €5.6 million and fair value changes of</w:t>
      </w:r>
    </w:p>
    <w:p>
      <w:pPr>
        <w:ind w:left="300" w:right="299"/>
        <w:spacing w:after="0" w:line="226" w:lineRule="auto"/>
        <w:rPr>
          <w:sz w:val="20"/>
          <w:szCs w:val="20"/>
          <w:color w:val="auto"/>
        </w:rPr>
      </w:pPr>
      <w:r>
        <w:rPr>
          <w:rFonts w:ascii="Times New Roman" w:cs="Times New Roman" w:eastAsia="Times New Roman" w:hAnsi="Times New Roman"/>
          <w:sz w:val="18"/>
          <w:szCs w:val="18"/>
          <w:color w:val="auto"/>
          <w:highlight w:val="white"/>
        </w:rPr>
        <w:t>€4.7 million i</w:t>
      </w:r>
      <w:r>
        <w:rPr>
          <w:rFonts w:ascii="Times New Roman" w:cs="Times New Roman" w:eastAsia="Times New Roman" w:hAnsi="Times New Roman"/>
          <w:sz w:val="18"/>
          <w:szCs w:val="18"/>
          <w:color w:val="auto"/>
        </w:rPr>
        <w:t>n relation to the invested proceeds from our U.S. initial public offering and listing on Nasdaq and (iii) a</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decrease in derivatives fair value by €3.6 million.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year ended December 31, 2024 , our financial loss was mainly driven by (i) interest expenses of €11.5</w:t>
      </w:r>
    </w:p>
    <w:p>
      <w:pPr>
        <w:spacing w:after="0" w:line="2" w:lineRule="exact"/>
        <w:rPr>
          <w:sz w:val="20"/>
          <w:szCs w:val="20"/>
          <w:color w:val="auto"/>
        </w:rPr>
      </w:pPr>
    </w:p>
    <w:p>
      <w:pPr>
        <w:jc w:val="both"/>
        <w:ind w:left="300" w:right="699"/>
        <w:spacing w:after="0" w:line="220" w:lineRule="auto"/>
        <w:rPr>
          <w:sz w:val="20"/>
          <w:szCs w:val="20"/>
          <w:color w:val="auto"/>
        </w:rPr>
      </w:pPr>
      <w:r>
        <w:rPr>
          <w:rFonts w:ascii="Times New Roman" w:cs="Times New Roman" w:eastAsia="Times New Roman" w:hAnsi="Times New Roman"/>
          <w:sz w:val="17"/>
          <w:szCs w:val="17"/>
          <w:color w:val="auto"/>
        </w:rPr>
        <w:t>million in relation to the first tranche of senior secured convertible bonds with warrants attached in the Kreos / Claret Financing (the “Kreos / Claret OCABSA”), the second and third tranches of senior secured bonds in the Kreos / Claret Financing (drawn on March 28, 2024 and June 21, 2024, respectively) and the senior convertible</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notes in the Heights Financing (the "Heights Convertible Notes"), (ii) a €1.5 million increase in the fair value of the Kreos / Claret Minimum Return Indemnifications and (iii) transaction costs amounting to €1.6 million.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These costs were partially offset mainly by (i) an interest income of €8.2 million in relation to the invested</w:t>
      </w:r>
    </w:p>
    <w:p>
      <w:pPr>
        <w:spacing w:after="0" w:line="2" w:lineRule="exact"/>
        <w:rPr>
          <w:sz w:val="20"/>
          <w:szCs w:val="20"/>
          <w:color w:val="auto"/>
        </w:rPr>
      </w:pPr>
    </w:p>
    <w:p>
      <w:pPr>
        <w:jc w:val="both"/>
        <w:ind w:left="300" w:right="339"/>
        <w:spacing w:after="0" w:line="218" w:lineRule="auto"/>
        <w:rPr>
          <w:sz w:val="20"/>
          <w:szCs w:val="20"/>
          <w:color w:val="auto"/>
        </w:rPr>
      </w:pPr>
      <w:r>
        <w:rPr>
          <w:rFonts w:ascii="Times New Roman" w:cs="Times New Roman" w:eastAsia="Times New Roman" w:hAnsi="Times New Roman"/>
          <w:sz w:val="18"/>
          <w:szCs w:val="18"/>
          <w:color w:val="auto"/>
        </w:rPr>
        <w:t>proceeds from our U.S. initial public offering and listing on Nasdaq, and (ii) foreign exchange gains of €2.7 million (including the €1.7 million non-cash impact of the revaluation of U.S. dollar-denominated cash and cash equivalents as of December 31, 2024).</w:t>
      </w:r>
    </w:p>
    <w:p>
      <w:pPr>
        <w:spacing w:after="0" w:line="64" w:lineRule="exact"/>
        <w:rPr>
          <w:sz w:val="20"/>
          <w:szCs w:val="20"/>
          <w:color w:val="auto"/>
        </w:rPr>
      </w:pPr>
    </w:p>
    <w:p>
      <w:pPr>
        <w:ind w:left="300" w:right="339" w:firstLine="441"/>
        <w:spacing w:after="0" w:line="216" w:lineRule="auto"/>
        <w:rPr>
          <w:sz w:val="20"/>
          <w:szCs w:val="20"/>
          <w:color w:val="auto"/>
        </w:rPr>
      </w:pPr>
      <w:r>
        <w:rPr>
          <w:rFonts w:ascii="Times New Roman" w:cs="Times New Roman" w:eastAsia="Times New Roman" w:hAnsi="Times New Roman"/>
          <w:sz w:val="18"/>
          <w:szCs w:val="18"/>
          <w:color w:val="auto"/>
        </w:rPr>
        <w:t>For the year ended December 31, 2023 , our net financial loss was mainly driven by (i) interest expenses of €3.9 million in relation to the Kreos / Claret OCABSA and the Heights Convertible Notes, (ii) a €8.9 million expense in relation to our royalty certificates, a (iii) €3.0 million increase in the fair value of derivatives, transaction</w:t>
      </w:r>
    </w:p>
    <w:p>
      <w:pPr>
        <w:spacing w:after="0" w:line="1" w:lineRule="exact"/>
        <w:rPr>
          <w:sz w:val="20"/>
          <w:szCs w:val="20"/>
          <w:color w:val="auto"/>
        </w:rPr>
      </w:pPr>
    </w:p>
    <w:p>
      <w:pPr>
        <w:ind w:left="300" w:right="359"/>
        <w:spacing w:after="0" w:line="218" w:lineRule="auto"/>
        <w:rPr>
          <w:sz w:val="20"/>
          <w:szCs w:val="20"/>
          <w:color w:val="auto"/>
        </w:rPr>
      </w:pPr>
      <w:r>
        <w:rPr>
          <w:rFonts w:ascii="Times New Roman" w:cs="Times New Roman" w:eastAsia="Times New Roman" w:hAnsi="Times New Roman"/>
          <w:sz w:val="18"/>
          <w:szCs w:val="18"/>
          <w:color w:val="auto"/>
        </w:rPr>
        <w:t>costs amounting to €1.9 million, ( iv) a net €3.2 million loss on derecognition of the OCEANE bonds and the recognition of the Heights convertible notes, and (v) and foreign exchange losses of €5.6 million (including the €3.2 million non-cash impact of the year-end revaluation of U.S. dollar-denominated cash and cash equivalents).</w:t>
      </w:r>
    </w:p>
    <w:p>
      <w:pPr>
        <w:spacing w:after="0" w:line="64" w:lineRule="exact"/>
        <w:rPr>
          <w:sz w:val="20"/>
          <w:szCs w:val="20"/>
          <w:color w:val="auto"/>
        </w:rPr>
      </w:pPr>
    </w:p>
    <w:p>
      <w:pPr>
        <w:ind w:left="300" w:right="459" w:firstLine="441"/>
        <w:spacing w:after="0" w:line="226" w:lineRule="auto"/>
        <w:rPr>
          <w:sz w:val="20"/>
          <w:szCs w:val="20"/>
          <w:color w:val="auto"/>
        </w:rPr>
      </w:pPr>
      <w:r>
        <w:rPr>
          <w:rFonts w:ascii="Times New Roman" w:cs="Times New Roman" w:eastAsia="Times New Roman" w:hAnsi="Times New Roman"/>
          <w:sz w:val="18"/>
          <w:szCs w:val="18"/>
          <w:color w:val="auto"/>
        </w:rPr>
        <w:t>These costs were partially offset by (i) an interest income of €2.4 million in relation to the invested proceeds from our U.S. initial public offering and listing on Nasdaq, (ii) a decrease in the fair value of the Heights Convertible Notes by €3.2 million and a (iii) decrease in derivatives fair value by €1.0 million.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97" w:lineRule="exact"/>
        <w:rPr>
          <w:sz w:val="20"/>
          <w:szCs w:val="20"/>
          <w:color w:val="auto"/>
        </w:rPr>
      </w:pPr>
    </w:p>
    <w:p>
      <w:pPr>
        <w:ind w:left="300" w:right="59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2025, our deferred income tax charge was €(5.8) million, as compared to €— for the years ended December 31, 2024 and 2023.</w:t>
      </w:r>
    </w:p>
    <w:p>
      <w:pPr>
        <w:spacing w:after="0" w:line="52" w:lineRule="exact"/>
        <w:rPr>
          <w:sz w:val="20"/>
          <w:szCs w:val="20"/>
          <w:color w:val="auto"/>
        </w:rPr>
      </w:pPr>
    </w:p>
    <w:p>
      <w:pPr>
        <w:ind w:left="740"/>
        <w:spacing w:after="0"/>
        <w:tabs>
          <w:tab w:leader="none" w:pos="7480" w:val="left"/>
        </w:tabs>
        <w:rPr>
          <w:sz w:val="20"/>
          <w:szCs w:val="20"/>
          <w:color w:val="auto"/>
        </w:rPr>
      </w:pPr>
      <w:r>
        <w:rPr>
          <w:rFonts w:ascii="Times New Roman" w:cs="Times New Roman" w:eastAsia="Times New Roman" w:hAnsi="Times New Roman"/>
          <w:sz w:val="18"/>
          <w:szCs w:val="18"/>
          <w:color w:val="auto"/>
        </w:rPr>
        <w:t>This increase is  explained by the net deferred tax liability of €5.8 million recognized in</w:t>
      </w:r>
      <w:r>
        <w:rPr>
          <w:sz w:val="20"/>
          <w:szCs w:val="20"/>
          <w:color w:val="auto"/>
        </w:rPr>
        <w:tab/>
      </w:r>
      <w:r>
        <w:rPr>
          <w:rFonts w:ascii="Times New Roman" w:cs="Times New Roman" w:eastAsia="Times New Roman" w:hAnsi="Times New Roman"/>
          <w:sz w:val="17"/>
          <w:szCs w:val="17"/>
          <w:color w:val="auto"/>
        </w:rPr>
        <w:t>our consolidated</w:t>
      </w:r>
    </w:p>
    <w:p>
      <w:pPr>
        <w:ind w:left="300"/>
        <w:spacing w:after="0"/>
        <w:rPr>
          <w:sz w:val="20"/>
          <w:szCs w:val="20"/>
          <w:color w:val="auto"/>
        </w:rPr>
      </w:pPr>
      <w:r>
        <w:rPr>
          <w:rFonts w:ascii="Times New Roman" w:cs="Times New Roman" w:eastAsia="Times New Roman" w:hAnsi="Times New Roman"/>
          <w:sz w:val="18"/>
          <w:szCs w:val="18"/>
          <w:color w:val="auto"/>
        </w:rPr>
        <w:t>statements of financial position as of December 31, 2025.</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deferred tax liability resulted from the significant taxable temporary difference arising from our royalty</w:t>
      </w:r>
    </w:p>
    <w:p>
      <w:pPr>
        <w:spacing w:after="0" w:line="2" w:lineRule="exact"/>
        <w:rPr>
          <w:sz w:val="20"/>
          <w:szCs w:val="20"/>
          <w:color w:val="auto"/>
        </w:rPr>
      </w:pP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certificates as of December 31, 2025, which in turn resulted from the difference between (i) the amount already deducted from our taxable income as of December 31, 2025 (based on the certificates' fair value minus their subscription price) and (ii) the amount of the related financial liability recognized in our Statements of Financial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Position at that date (measured at amortized cost using the original effective interest rate).</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Further explanation on the calculation of the deferred tax liability is disclosed in Note 22 to our financial statements as of and for the year ended December 31, 2025, appearing elsewhere in this Annual Report on Form 20-</w:t>
      </w:r>
    </w:p>
    <w:p>
      <w:pPr>
        <w:ind w:left="300"/>
        <w:spacing w:after="0"/>
        <w:rPr>
          <w:sz w:val="20"/>
          <w:szCs w:val="20"/>
          <w:color w:val="auto"/>
        </w:rPr>
      </w:pPr>
      <w:r>
        <w:rPr>
          <w:rFonts w:ascii="Times New Roman" w:cs="Times New Roman" w:eastAsia="Times New Roman" w:hAnsi="Times New Roman"/>
          <w:sz w:val="18"/>
          <w:szCs w:val="18"/>
          <w:color w:val="auto"/>
        </w:rPr>
        <w:t>F.</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deferred tax expense is non-cash for the year ended December 31, 2025.</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378" w:lineRule="exact"/>
        <w:rPr>
          <w:sz w:val="20"/>
          <w:szCs w:val="20"/>
          <w:color w:val="auto"/>
        </w:rPr>
      </w:pPr>
    </w:p>
    <w:p>
      <w:pPr>
        <w:ind w:left="300" w:right="93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2025, our net loss for the period was €336.1 million, as compared to €176.2 million for the year ended December 31, 2024, an increase of €159.9 million, or 91%.</w:t>
      </w:r>
    </w:p>
    <w:p>
      <w:pPr>
        <w:spacing w:after="0" w:line="64" w:lineRule="exact"/>
        <w:rPr>
          <w:sz w:val="20"/>
          <w:szCs w:val="20"/>
          <w:color w:val="auto"/>
        </w:rPr>
      </w:pPr>
    </w:p>
    <w:p>
      <w:pPr>
        <w:ind w:left="300" w:right="93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2024, our net loss for the period was €176.2 million, as compared to €147.7 million for the year ended December 31, 2023, an increase of €28.5 million, or 19%.</w:t>
      </w:r>
    </w:p>
    <w:p>
      <w:pPr>
        <w:spacing w:after="0" w:line="200" w:lineRule="exact"/>
        <w:rPr>
          <w:sz w:val="20"/>
          <w:szCs w:val="20"/>
          <w:color w:val="auto"/>
        </w:rPr>
      </w:pPr>
    </w:p>
    <w:p>
      <w:pPr>
        <w:spacing w:after="0" w:line="22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tab/>
        <w:t>Liquidity and Capital Resources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81" w:lineRule="exact"/>
        <w:rPr>
          <w:sz w:val="20"/>
          <w:szCs w:val="20"/>
          <w:color w:val="auto"/>
        </w:rPr>
      </w:pPr>
    </w:p>
    <w:p>
      <w:pPr>
        <w:ind w:left="300" w:right="699" w:firstLine="441"/>
        <w:spacing w:after="0" w:line="263" w:lineRule="auto"/>
        <w:rPr>
          <w:sz w:val="20"/>
          <w:szCs w:val="20"/>
          <w:color w:val="auto"/>
        </w:rPr>
      </w:pPr>
      <w:r>
        <w:rPr>
          <w:rFonts w:ascii="Times New Roman" w:cs="Times New Roman" w:eastAsia="Times New Roman" w:hAnsi="Times New Roman"/>
          <w:sz w:val="17"/>
          <w:szCs w:val="17"/>
          <w:color w:val="auto"/>
        </w:rPr>
        <w:t>We have incurred substantial operating losses since inception and expect to continue to incur significant operating losses for the foreseeable future and may never become profitable.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139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6115" cy="11391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419"/>
        <w:spacing w:after="0" w:line="237" w:lineRule="auto"/>
        <w:rPr>
          <w:sz w:val="20"/>
          <w:szCs w:val="20"/>
          <w:color w:val="auto"/>
        </w:rPr>
      </w:pPr>
      <w:r>
        <w:rPr>
          <w:rFonts w:ascii="Times New Roman" w:cs="Times New Roman" w:eastAsia="Times New Roman" w:hAnsi="Times New Roman"/>
          <w:sz w:val="18"/>
          <w:szCs w:val="18"/>
          <w:color w:val="auto"/>
        </w:rPr>
        <w:t>2025, 2024 and 2023, we reported net losses of €336.1 million, €176.2 million and €147.7 million, respectively. As of December 31, 2025, we carried forward accumulated tax losses of €912.9 million.</w:t>
      </w:r>
    </w:p>
    <w:p>
      <w:pPr>
        <w:sectPr>
          <w:pgSz w:w="11900" w:h="16838" w:orient="portrait"/>
          <w:cols w:equalWidth="0" w:num="1">
            <w:col w:w="9019"/>
          </w:cols>
          <w:pgMar w:left="1440" w:top="1440" w:right="1440" w:bottom="0" w:gutter="0" w:footer="0" w:header="0"/>
          <w:type w:val="continuous"/>
        </w:sectPr>
      </w:pPr>
    </w:p>
    <w:bookmarkStart w:id="81" w:name="page82"/>
    <w:bookmarkEnd w:id="81"/>
    <w:p>
      <w:pPr>
        <w:ind w:left="300" w:right="319" w:firstLine="441"/>
        <w:spacing w:after="0" w:line="211" w:lineRule="auto"/>
        <w:rPr>
          <w:sz w:val="20"/>
          <w:szCs w:val="20"/>
          <w:color w:val="auto"/>
        </w:rPr>
      </w:pPr>
      <w:r>
        <w:rPr>
          <w:rFonts w:ascii="Times New Roman" w:cs="Times New Roman" w:eastAsia="Times New Roman" w:hAnsi="Times New Roman"/>
          <w:sz w:val="17"/>
          <w:szCs w:val="17"/>
          <w:color w:val="auto"/>
        </w:rPr>
        <w:t>Since inception, we have financed our operations primarily through the issuance of ordinary shares, as well as bank borrowings and loans, receipt of research tax credits and subsidiaries, and sales of royalty certificates, for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-197485</wp:posOffset>
            </wp:positionV>
            <wp:extent cx="7016115" cy="7922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6115" cy="792289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aggregate proceeds of €1,194.7 million, of which €130.0 million of gross proceeds were from our offerings of</w:t>
      </w:r>
    </w:p>
    <w:p>
      <w:pPr>
        <w:spacing w:after="0" w:line="1" w:lineRule="exact"/>
        <w:rPr>
          <w:sz w:val="20"/>
          <w:szCs w:val="20"/>
          <w:color w:val="auto"/>
        </w:rPr>
      </w:pPr>
    </w:p>
    <w:p>
      <w:pPr>
        <w:ind w:left="300" w:right="659"/>
        <w:spacing w:after="0" w:line="220" w:lineRule="auto"/>
        <w:rPr>
          <w:sz w:val="20"/>
          <w:szCs w:val="20"/>
          <w:color w:val="auto"/>
        </w:rPr>
      </w:pPr>
      <w:r>
        <w:rPr>
          <w:rFonts w:ascii="Times New Roman" w:cs="Times New Roman" w:eastAsia="Times New Roman" w:hAnsi="Times New Roman"/>
          <w:sz w:val="17"/>
          <w:szCs w:val="17"/>
          <w:color w:val="auto"/>
        </w:rPr>
        <w:t>ordinary shares on Euronext Paris in February 2023, €223.3 million of gross proceeds were from our offering of ordinary shares in the form of ADSs on the Nasdaq Global Market in our U.S. initial public offering as well as ordinary shares in Europe (including France) and countries outside of the United States in a concurrent private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placement in October 2023, €637.5 million of gross proceeds were from our offering of ordinary shares in the form of ADSs on the Nasdaq Global Market in the July 2025 Nasdaq Offering, bank borrowings and structured loans of €175.0 million, reimbursements of CIR in an amount of €41.2 million, subsidies received from Bpifrance (including</w:t>
      </w:r>
    </w:p>
    <w:p>
      <w:pPr>
        <w:spacing w:after="0" w:line="2" w:lineRule="exact"/>
        <w:rPr>
          <w:sz w:val="20"/>
          <w:szCs w:val="20"/>
          <w:color w:val="auto"/>
        </w:rPr>
      </w:pPr>
    </w:p>
    <w:p>
      <w:pPr>
        <w:ind w:left="300" w:right="939"/>
        <w:spacing w:after="0" w:line="226" w:lineRule="auto"/>
        <w:rPr>
          <w:sz w:val="20"/>
          <w:szCs w:val="20"/>
          <w:color w:val="auto"/>
        </w:rPr>
      </w:pPr>
      <w:r>
        <w:rPr>
          <w:rFonts w:ascii="Times New Roman" w:cs="Times New Roman" w:eastAsia="Times New Roman" w:hAnsi="Times New Roman"/>
          <w:sz w:val="18"/>
          <w:szCs w:val="18"/>
          <w:color w:val="auto"/>
        </w:rPr>
        <w:t>€21.3 million of subsidies and €1.8 million of conditional advances) and royalty certificates in an amount of €2.9 million.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addition, on November 19, 2024, we entered into an equity distribution agreement with Piper Sandler &amp; Co.</w:t>
      </w:r>
    </w:p>
    <w:p>
      <w:pPr>
        <w:spacing w:after="0" w:line="14" w:lineRule="exact"/>
        <w:rPr>
          <w:sz w:val="20"/>
          <w:szCs w:val="20"/>
          <w:color w:val="auto"/>
        </w:rPr>
      </w:pPr>
    </w:p>
    <w:p>
      <w:pPr>
        <w:jc w:val="both"/>
        <w:ind w:left="300" w:right="459"/>
        <w:spacing w:after="0" w:line="218" w:lineRule="auto"/>
        <w:rPr>
          <w:sz w:val="20"/>
          <w:szCs w:val="20"/>
          <w:color w:val="auto"/>
        </w:rPr>
      </w:pPr>
      <w:r>
        <w:rPr>
          <w:rFonts w:ascii="Times New Roman" w:cs="Times New Roman" w:eastAsia="Times New Roman" w:hAnsi="Times New Roman"/>
          <w:sz w:val="18"/>
          <w:szCs w:val="18"/>
          <w:color w:val="auto"/>
        </w:rPr>
        <w:t>(“Piper Sandler”) allowing us to issue and sell from time to time, in one or more "at the market" offerings through Piper Sandler acting as sales agent, ordinary shares in the form of ADSs, with aggregate gross sales proceeds of up to $150.0 million (the "ATM Program"). To date, we have not sold any ADSs pursuant to the ATM Program.</w:t>
      </w:r>
    </w:p>
    <w:p>
      <w:pPr>
        <w:spacing w:after="0" w:line="64" w:lineRule="exact"/>
        <w:rPr>
          <w:sz w:val="20"/>
          <w:szCs w:val="20"/>
          <w:color w:val="auto"/>
        </w:rPr>
      </w:pPr>
    </w:p>
    <w:p>
      <w:pPr>
        <w:ind w:left="300" w:right="559" w:firstLine="441"/>
        <w:spacing w:after="0" w:line="229" w:lineRule="auto"/>
        <w:rPr>
          <w:sz w:val="20"/>
          <w:szCs w:val="20"/>
          <w:color w:val="auto"/>
        </w:rPr>
      </w:pPr>
      <w:r>
        <w:rPr>
          <w:rFonts w:ascii="Times New Roman" w:cs="Times New Roman" w:eastAsia="Times New Roman" w:hAnsi="Times New Roman"/>
          <w:sz w:val="17"/>
          <w:szCs w:val="17"/>
          <w:color w:val="auto"/>
        </w:rPr>
        <w:t>Based on our existing cash and cash equivalents and other short-term investments of €530.4 million as of December 31, 2025, we expect, as of the date of issuance of the consolidated financial statements included in this Annual Report on Form 20-F, to be able to fund our forecasted cash flow requirements into the fourth quarter of</w:t>
      </w:r>
    </w:p>
    <w:p>
      <w:pPr>
        <w:jc w:val="both"/>
        <w:ind w:left="300" w:right="299"/>
        <w:spacing w:after="0" w:line="220" w:lineRule="auto"/>
        <w:rPr>
          <w:sz w:val="20"/>
          <w:szCs w:val="20"/>
          <w:color w:val="auto"/>
        </w:rPr>
      </w:pPr>
      <w:r>
        <w:rPr>
          <w:rFonts w:ascii="Times New Roman" w:cs="Times New Roman" w:eastAsia="Times New Roman" w:hAnsi="Times New Roman"/>
          <w:sz w:val="17"/>
          <w:szCs w:val="17"/>
          <w:color w:val="auto"/>
        </w:rPr>
        <w:t>2027, allowing us to reach 12 months of expected cash runway following the planned new drug application ("NDA") submission of obefazimod for UC, assuming positive results from its Phase 3 maintenance trial. Our forecasted cash flow requirements take into account our assumption of continued R&amp;D expenditure related to the continuation of the</w:t>
      </w:r>
    </w:p>
    <w:p>
      <w:pPr>
        <w:spacing w:after="0" w:line="2" w:lineRule="exact"/>
        <w:rPr>
          <w:sz w:val="20"/>
          <w:szCs w:val="20"/>
          <w:color w:val="auto"/>
        </w:rPr>
      </w:pPr>
    </w:p>
    <w:p>
      <w:pPr>
        <w:jc w:val="both"/>
        <w:ind w:left="300" w:right="299"/>
        <w:spacing w:after="0" w:line="226" w:lineRule="auto"/>
        <w:rPr>
          <w:sz w:val="20"/>
          <w:szCs w:val="20"/>
          <w:color w:val="auto"/>
        </w:rPr>
      </w:pPr>
      <w:r>
        <w:rPr>
          <w:rFonts w:ascii="Times New Roman" w:cs="Times New Roman" w:eastAsia="Times New Roman" w:hAnsi="Times New Roman"/>
          <w:sz w:val="18"/>
          <w:szCs w:val="18"/>
          <w:color w:val="auto"/>
        </w:rPr>
        <w:t>Phase 3 clinical trials of obefazimod in UC, progression of the Phase 2b clinical trials for CD and the initial stages of the scale up of the commercial organization as we prepare for a potential launch of obefazimod in UC.</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Based on the above, management has concluded that its existing cash, cash equivalents and other short-term</w:t>
      </w:r>
    </w:p>
    <w:p>
      <w:pPr>
        <w:spacing w:after="0" w:line="2" w:lineRule="exact"/>
        <w:rPr>
          <w:sz w:val="20"/>
          <w:szCs w:val="20"/>
          <w:color w:val="auto"/>
        </w:rPr>
      </w:pPr>
    </w:p>
    <w:p>
      <w:pPr>
        <w:ind w:left="300" w:right="659"/>
        <w:spacing w:after="0" w:line="218" w:lineRule="auto"/>
        <w:rPr>
          <w:sz w:val="20"/>
          <w:szCs w:val="20"/>
          <w:color w:val="auto"/>
        </w:rPr>
      </w:pPr>
      <w:r>
        <w:rPr>
          <w:rFonts w:ascii="Times New Roman" w:cs="Times New Roman" w:eastAsia="Times New Roman" w:hAnsi="Times New Roman"/>
          <w:sz w:val="18"/>
          <w:szCs w:val="18"/>
          <w:color w:val="auto"/>
        </w:rPr>
        <w:t>investments are sufficient to fund its operating and capital expenditure requirements for a period greater than 12 months from the date of issuance of the financial statements accompanying this annual report, and the accompanying financial statements have been prepared on a going concern basis.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 Increases</w:t>
      </w:r>
    </w:p>
    <w:p>
      <w:pPr>
        <w:spacing w:after="0" w:line="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Our operations have been financed primarily by capital increases from our founders and investors, net</w:t>
      </w:r>
    </w:p>
    <w:p>
      <w:pPr>
        <w:jc w:val="center"/>
        <w:ind w:right="159"/>
        <w:spacing w:after="0" w:line="232" w:lineRule="auto"/>
        <w:rPr>
          <w:sz w:val="20"/>
          <w:szCs w:val="20"/>
          <w:color w:val="auto"/>
        </w:rPr>
      </w:pPr>
      <w:r>
        <w:rPr>
          <w:rFonts w:ascii="Times New Roman" w:cs="Times New Roman" w:eastAsia="Times New Roman" w:hAnsi="Times New Roman"/>
          <w:sz w:val="17"/>
          <w:szCs w:val="17"/>
          <w:color w:val="auto"/>
        </w:rPr>
        <w:t>proceeds from the initial public offering of our ordinary shares on Euronext Paris in France in 2015, and additional</w:t>
      </w: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follow-on capital increases, including the initial public offering of our ordinary shares in the form of ADSs on the Nasdaq Global Market in 2023 and our July 2025 Nasdaq Offering. We have not yet commercialized any of our drug candidates, which are in various phases of clinical development, and we do not expect to generate revenue from</w:t>
      </w:r>
    </w:p>
    <w:p>
      <w:pPr>
        <w:spacing w:after="0" w:line="2" w:lineRule="exact"/>
        <w:rPr>
          <w:sz w:val="20"/>
          <w:szCs w:val="20"/>
          <w:color w:val="auto"/>
        </w:rPr>
      </w:pP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sales of any products in 2026,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64" w:lineRule="exact"/>
        <w:rPr>
          <w:sz w:val="20"/>
          <w:szCs w:val="20"/>
          <w:color w:val="auto"/>
        </w:rPr>
      </w:pPr>
    </w:p>
    <w:p>
      <w:pPr>
        <w:ind w:left="300" w:right="679"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forth our main capital increases carried out during the years ended December 31, 2023, 2024 and 2025:</w:t>
      </w: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thousands of euros)  </w:t>
            </w:r>
            <w:r>
              <w:rPr>
                <w:rFonts w:ascii="Times New Roman" w:cs="Times New Roman" w:eastAsia="Times New Roman" w:hAnsi="Times New Roman"/>
                <w:sz w:val="14"/>
                <w:szCs w:val="14"/>
                <w:b w:val="1"/>
                <w:bCs w:val="1"/>
                <w:color w:val="B4B4B4"/>
              </w:rPr>
              <w:t>. . . . . . . . . . . . . . . . . . .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90"/>
        </w:trPr>
        <w:tc>
          <w:tcPr>
            <w:tcW w:w="7120" w:type="dxa"/>
            <w:vAlign w:val="bottom"/>
            <w:vMerge w:val="continue"/>
          </w:tcPr>
          <w:p>
            <w:pPr>
              <w:ind w:left="5040"/>
              <w:spacing w:after="0" w:line="133" w:lineRule="exact"/>
              <w:rPr>
                <w:sz w:val="20"/>
                <w:szCs w:val="20"/>
                <w:color w:val="auto"/>
              </w:rPr>
            </w:pPr>
            <w:r>
              <w:rPr>
                <w:rFonts w:ascii="Times New Roman" w:cs="Times New Roman" w:eastAsia="Times New Roman" w:hAnsi="Times New Roman"/>
                <w:sz w:val="14"/>
                <w:szCs w:val="14"/>
                <w:b w:val="1"/>
                <w:bCs w:val="1"/>
                <w:color w:val="B4B4B4"/>
              </w:rPr>
              <w:t>.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Capital increase from issuance of ordinary shares - February 23, 2023 </w:t>
            </w:r>
            <w:r>
              <w:rPr>
                <w:rFonts w:ascii="Times New Roman" w:cs="Times New Roman" w:eastAsia="Times New Roman" w:hAnsi="Times New Roman"/>
                <w:sz w:val="18"/>
                <w:szCs w:val="18"/>
                <w:color w:val="B4B4B4"/>
              </w:rPr>
              <w:t>.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4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Initial Public Offering (Nasdaq) - October 24, 2023 </w:t>
            </w:r>
            <w:r>
              <w:rPr>
                <w:rFonts w:ascii="Times New Roman" w:cs="Times New Roman" w:eastAsia="Times New Roman" w:hAnsi="Times New Roman"/>
                <w:sz w:val="18"/>
                <w:szCs w:val="18"/>
                <w:color w:val="B4B4B4"/>
              </w:rPr>
              <w:t>. . . . . . . . . . . .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223,300</w:t>
            </w:r>
          </w:p>
        </w:tc>
        <w:tc>
          <w:tcPr>
            <w:tcW w:w="0" w:type="dxa"/>
            <w:vAlign w:val="bottom"/>
          </w:tcPr>
          <w:p>
            <w:pPr>
              <w:spacing w:after="0"/>
              <w:rPr>
                <w:sz w:val="1"/>
                <w:szCs w:val="1"/>
                <w:color w:val="auto"/>
              </w:rPr>
            </w:pPr>
          </w:p>
        </w:tc>
      </w:tr>
      <w:tr>
        <w:trPr>
          <w:trHeight w:val="41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Capital increase from issuance of ordinary shares - July 24, 2025 </w:t>
            </w:r>
            <w:r>
              <w:rPr>
                <w:rFonts w:ascii="Times New Roman" w:cs="Times New Roman" w:eastAsia="Times New Roman" w:hAnsi="Times New Roman"/>
                <w:sz w:val="18"/>
                <w:szCs w:val="18"/>
                <w:color w:val="B4B4B4"/>
              </w:rPr>
              <w:t>. . . . . . . . . .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On March 1, 2023, we received gross proceeds of €130.0 million from the issuance of 20,000,000 ordinary shares at a subscription price of €6.50 per share. The proceeds were primarily used to finance the progress of</w:t>
      </w:r>
    </w:p>
    <w:p>
      <w:pPr>
        <w:ind w:left="300" w:right="919"/>
        <w:spacing w:after="0" w:line="226" w:lineRule="auto"/>
        <w:rPr>
          <w:sz w:val="20"/>
          <w:szCs w:val="20"/>
          <w:color w:val="auto"/>
        </w:rPr>
      </w:pPr>
      <w:r>
        <w:rPr>
          <w:rFonts w:ascii="Times New Roman" w:cs="Times New Roman" w:eastAsia="Times New Roman" w:hAnsi="Times New Roman"/>
          <w:sz w:val="18"/>
          <w:szCs w:val="18"/>
          <w:color w:val="auto"/>
        </w:rPr>
        <w:t>obefazimod clinical trials in chronic inflammatory diseases and for general corporate purposes (research and development expenses and loans maturities payments).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October 24, 2023, we received gross proceeds of €223.3 million from the issuance of 20,325,500 ordinary</w:t>
      </w:r>
    </w:p>
    <w:p>
      <w:pPr>
        <w:spacing w:after="0" w:line="2" w:lineRule="exact"/>
        <w:rPr>
          <w:sz w:val="20"/>
          <w:szCs w:val="20"/>
          <w:color w:val="auto"/>
        </w:rPr>
      </w:pPr>
    </w:p>
    <w:p>
      <w:pPr>
        <w:ind w:left="300" w:right="599"/>
        <w:spacing w:after="0" w:line="239" w:lineRule="auto"/>
        <w:rPr>
          <w:sz w:val="20"/>
          <w:szCs w:val="20"/>
          <w:color w:val="auto"/>
        </w:rPr>
      </w:pPr>
      <w:r>
        <w:rPr>
          <w:rFonts w:ascii="Times New Roman" w:cs="Times New Roman" w:eastAsia="Times New Roman" w:hAnsi="Times New Roman"/>
          <w:sz w:val="17"/>
          <w:szCs w:val="17"/>
          <w:color w:val="auto"/>
        </w:rPr>
        <w:t>shares (including ordinary shares in the form of ADSs) at a price of €10.99 per share in connection with our U.S. initial public offering. The proceeds were primarily used to finance the progress of obefazimod clinical trials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5107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611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79"/>
        <w:spacing w:after="0" w:line="237" w:lineRule="auto"/>
        <w:rPr>
          <w:sz w:val="20"/>
          <w:szCs w:val="20"/>
          <w:color w:val="auto"/>
        </w:rPr>
      </w:pPr>
      <w:r>
        <w:rPr>
          <w:rFonts w:ascii="Times New Roman" w:cs="Times New Roman" w:eastAsia="Times New Roman" w:hAnsi="Times New Roman"/>
          <w:sz w:val="18"/>
          <w:szCs w:val="18"/>
          <w:color w:val="auto"/>
        </w:rPr>
        <w:t>chronic inflammatory diseases and for general corporate purposes (research and development expenses and loans maturities payments).</w:t>
      </w:r>
    </w:p>
    <w:p>
      <w:pPr>
        <w:spacing w:after="0" w:line="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July 28, 2025, we received gross proceeds of €637.5 million from the issuance of 11,679,400 ADSs at a</w:t>
      </w:r>
    </w:p>
    <w:p>
      <w:pPr>
        <w:ind w:left="300"/>
        <w:spacing w:after="0" w:line="203" w:lineRule="auto"/>
        <w:rPr>
          <w:sz w:val="20"/>
          <w:szCs w:val="20"/>
          <w:color w:val="auto"/>
        </w:rPr>
      </w:pPr>
      <w:r>
        <w:rPr>
          <w:rFonts w:ascii="Times New Roman" w:cs="Times New Roman" w:eastAsia="Times New Roman" w:hAnsi="Times New Roman"/>
          <w:sz w:val="18"/>
          <w:szCs w:val="18"/>
          <w:color w:val="auto"/>
        </w:rPr>
        <w:t>price of $64.00 per ADS (corresponding to €54.58 per ordinary share, based on the exchange rate of €1.00 =</w:t>
      </w:r>
    </w:p>
    <w:p>
      <w:pPr>
        <w:ind w:left="300"/>
        <w:spacing w:after="0" w:line="219" w:lineRule="auto"/>
        <w:rPr>
          <w:sz w:val="20"/>
          <w:szCs w:val="20"/>
          <w:color w:val="auto"/>
        </w:rPr>
      </w:pPr>
      <w:r>
        <w:rPr>
          <w:rFonts w:ascii="Times New Roman" w:cs="Times New Roman" w:eastAsia="Times New Roman" w:hAnsi="Times New Roman"/>
          <w:sz w:val="18"/>
          <w:szCs w:val="18"/>
          <w:color w:val="auto"/>
        </w:rPr>
        <w:t>$1.1726 as published by the European Central Bank on July 23, 2025) in connection with our July 2025 Nasdaq</w:t>
      </w:r>
    </w:p>
    <w:p>
      <w:pPr>
        <w:spacing w:after="0" w:line="1"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Offering. The proceeds were primarily used to finance the progress of obefazimod clinical trials in chronic inflammatory diseases and for general corporate purposes (research and development expenses and loans maturities payments).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Tax Credits</w:t>
      </w:r>
    </w:p>
    <w:p>
      <w:pPr>
        <w:spacing w:after="0" w:line="81" w:lineRule="exact"/>
        <w:rPr>
          <w:sz w:val="20"/>
          <w:szCs w:val="20"/>
          <w:color w:val="auto"/>
        </w:rPr>
      </w:pPr>
    </w:p>
    <w:p>
      <w:pPr>
        <w:ind w:left="300" w:right="359" w:firstLine="441"/>
        <w:spacing w:after="0" w:line="263" w:lineRule="auto"/>
        <w:rPr>
          <w:sz w:val="20"/>
          <w:szCs w:val="20"/>
          <w:color w:val="auto"/>
        </w:rPr>
      </w:pPr>
      <w:r>
        <w:rPr>
          <w:rFonts w:ascii="Times New Roman" w:cs="Times New Roman" w:eastAsia="Times New Roman" w:hAnsi="Times New Roman"/>
          <w:sz w:val="17"/>
          <w:szCs w:val="17"/>
          <w:color w:val="auto"/>
        </w:rPr>
        <w:t>From our inception to December 31, 2025, we have benefited from refunds of CIRs in a total amount of €41.2 million. In November 2024, we received CIRs of €4.5 million with respect to the year ended December 31, 2023. In</w:t>
      </w:r>
    </w:p>
    <w:p>
      <w:pPr>
        <w:sectPr>
          <w:pgSz w:w="11900" w:h="16838" w:orient="portrait"/>
          <w:cols w:equalWidth="0" w:num="1">
            <w:col w:w="9019"/>
          </w:cols>
          <w:pgMar w:left="1440" w:top="108" w:right="1440" w:bottom="0" w:gutter="0" w:footer="0" w:header="0"/>
        </w:sectPr>
      </w:pPr>
    </w:p>
    <w:bookmarkStart w:id="82" w:name="page83"/>
    <w:bookmarkEnd w:id="82"/>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2025, we received CIRs of €5.7 million with respect to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65512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6115" cy="655129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Bpifrance—Conditional Advances and Subsidies</w:t>
      </w:r>
    </w:p>
    <w:p>
      <w:pPr>
        <w:spacing w:after="0" w:line="9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We have received several conditional advances and subsidies from Bpifrance since our inception. Funds received from Bpifrance in the form of conditional advances are recognized as financial liabilities, as we have a contractual obligation to reimburse Bpifrance for such conditional advances in cash based on a repayment schedule.</w:t>
      </w: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Each award of an advance is made to help fund a specific development milestone. Subsidies are non-repayable grants, which are recognized in the financial statements when there exists reasonable assurance that we will comply with the conditions attached to the subsidies and the subsidies will be received.</w:t>
      </w:r>
    </w:p>
    <w:p>
      <w:pPr>
        <w:spacing w:after="0" w:line="64" w:lineRule="exact"/>
        <w:rPr>
          <w:sz w:val="20"/>
          <w:szCs w:val="20"/>
          <w:color w:val="auto"/>
        </w:rPr>
      </w:pPr>
    </w:p>
    <w:p>
      <w:pPr>
        <w:ind w:left="300" w:right="779"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funds received from Bpifrance as of December 31, 2025, in relation to contracts that were ongoing or terminated during the years ended December 31, 2023 and 2024:</w:t>
      </w:r>
    </w:p>
    <w:p>
      <w:pPr>
        <w:spacing w:after="0" w:line="23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6" w:lineRule="exact"/>
        <w:rPr>
          <w:sz w:val="20"/>
          <w:szCs w:val="20"/>
          <w:color w:val="auto"/>
        </w:rPr>
      </w:pPr>
    </w:p>
    <w:p>
      <w:pPr>
        <w:ind w:left="820"/>
        <w:spacing w:after="0"/>
        <w:tabs>
          <w:tab w:leader="none" w:pos="3900" w:val="left"/>
          <w:tab w:leader="none" w:pos="7300" w:val="left"/>
        </w:tabs>
        <w:rPr>
          <w:sz w:val="20"/>
          <w:szCs w:val="20"/>
          <w:color w:val="auto"/>
        </w:rPr>
      </w:pPr>
      <w:r>
        <w:rPr>
          <w:rFonts w:ascii="Times New Roman" w:cs="Times New Roman" w:eastAsia="Times New Roman" w:hAnsi="Times New Roman"/>
          <w:sz w:val="18"/>
          <w:szCs w:val="18"/>
          <w:b w:val="1"/>
          <w:bCs w:val="1"/>
          <w:color w:val="auto"/>
        </w:rPr>
        <w:t>(In thousands of euros)</w:t>
      </w:r>
      <w:r>
        <w:rPr>
          <w:sz w:val="20"/>
          <w:szCs w:val="20"/>
          <w:color w:val="auto"/>
        </w:rPr>
        <w:tab/>
      </w:r>
      <w:r>
        <w:rPr>
          <w:rFonts w:ascii="Times New Roman" w:cs="Times New Roman" w:eastAsia="Times New Roman" w:hAnsi="Times New Roman"/>
          <w:sz w:val="18"/>
          <w:szCs w:val="18"/>
          <w:b w:val="1"/>
          <w:bCs w:val="1"/>
          <w:color w:val="auto"/>
        </w:rPr>
        <w:t>Contract status</w:t>
      </w:r>
      <w:r>
        <w:rPr>
          <w:sz w:val="20"/>
          <w:szCs w:val="20"/>
          <w:color w:val="auto"/>
        </w:rPr>
        <w:tab/>
      </w:r>
      <w:r>
        <w:rPr>
          <w:rFonts w:ascii="Times New Roman" w:cs="Times New Roman" w:eastAsia="Times New Roman" w:hAnsi="Times New Roman"/>
          <w:sz w:val="17"/>
          <w:szCs w:val="17"/>
          <w:b w:val="1"/>
          <w:bCs w:val="1"/>
          <w:color w:val="auto"/>
        </w:rPr>
        <w:t>Amount collected</w:t>
      </w:r>
    </w:p>
    <w:p>
      <w:pPr>
        <w:spacing w:after="0" w:line="50" w:lineRule="exact"/>
        <w:rPr>
          <w:sz w:val="20"/>
          <w:szCs w:val="20"/>
          <w:color w:val="auto"/>
        </w:rPr>
      </w:pPr>
    </w:p>
    <w:p>
      <w:pPr>
        <w:ind w:left="360"/>
        <w:spacing w:after="0"/>
        <w:tabs>
          <w:tab w:leader="dot" w:pos="5940" w:val="left"/>
          <w:tab w:leader="dot" w:pos="8220" w:val="left"/>
        </w:tabs>
        <w:rPr>
          <w:sz w:val="20"/>
          <w:szCs w:val="20"/>
          <w:color w:val="auto"/>
        </w:rPr>
      </w:pPr>
      <w:r>
        <w:rPr>
          <w:rFonts w:ascii="Times New Roman" w:cs="Times New Roman" w:eastAsia="Times New Roman" w:hAnsi="Times New Roman"/>
          <w:sz w:val="18"/>
          <w:szCs w:val="18"/>
          <w:b w:val="1"/>
          <w:bCs w:val="1"/>
          <w:color w:val="auto"/>
        </w:rPr>
        <w:t>Conditional advances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1,802</w:t>
      </w:r>
    </w:p>
    <w:p>
      <w:pPr>
        <w:spacing w:after="0" w:line="52" w:lineRule="exact"/>
        <w:rPr>
          <w:sz w:val="20"/>
          <w:szCs w:val="20"/>
          <w:color w:val="auto"/>
        </w:rPr>
      </w:pPr>
    </w:p>
    <w:p>
      <w:pPr>
        <w:ind w:left="360"/>
        <w:spacing w:after="0"/>
        <w:tabs>
          <w:tab w:leader="dot" w:pos="4200" w:val="left"/>
          <w:tab w:leader="dot" w:pos="5940" w:val="left"/>
          <w:tab w:leader="dot" w:pos="8360" w:val="left"/>
        </w:tabs>
        <w:rPr>
          <w:sz w:val="20"/>
          <w:szCs w:val="20"/>
          <w:color w:val="auto"/>
        </w:rPr>
      </w:pPr>
      <w:r>
        <w:rPr>
          <w:rFonts w:ascii="Times New Roman" w:cs="Times New Roman" w:eastAsia="Times New Roman" w:hAnsi="Times New Roman"/>
          <w:sz w:val="18"/>
          <w:szCs w:val="18"/>
          <w:i w:val="1"/>
          <w:iCs w:val="1"/>
          <w:color w:val="auto"/>
        </w:rPr>
        <w:t>Carena (1)</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234</w:t>
      </w:r>
    </w:p>
    <w:p>
      <w:pPr>
        <w:spacing w:after="0" w:line="50" w:lineRule="exact"/>
        <w:rPr>
          <w:sz w:val="20"/>
          <w:szCs w:val="20"/>
          <w:color w:val="auto"/>
        </w:rPr>
      </w:pPr>
    </w:p>
    <w:p>
      <w:pPr>
        <w:ind w:left="360"/>
        <w:spacing w:after="0"/>
        <w:tabs>
          <w:tab w:leader="dot" w:pos="4200" w:val="left"/>
          <w:tab w:leader="dot" w:pos="5940" w:val="left"/>
          <w:tab w:leader="dot" w:pos="8220" w:val="left"/>
        </w:tabs>
        <w:rPr>
          <w:sz w:val="20"/>
          <w:szCs w:val="20"/>
          <w:color w:val="auto"/>
        </w:rPr>
      </w:pPr>
      <w:r>
        <w:rPr>
          <w:rFonts w:ascii="Times New Roman" w:cs="Times New Roman" w:eastAsia="Times New Roman" w:hAnsi="Times New Roman"/>
          <w:sz w:val="18"/>
          <w:szCs w:val="18"/>
          <w:i w:val="1"/>
          <w:iCs w:val="1"/>
          <w:color w:val="auto"/>
        </w:rPr>
        <w:t>RNP-VIR (2)</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1,178</w:t>
      </w:r>
    </w:p>
    <w:p>
      <w:pPr>
        <w:spacing w:after="0" w:line="50" w:lineRule="exact"/>
        <w:rPr>
          <w:sz w:val="20"/>
          <w:szCs w:val="20"/>
          <w:color w:val="auto"/>
        </w:rPr>
      </w:pPr>
    </w:p>
    <w:p>
      <w:pPr>
        <w:ind w:left="360"/>
        <w:spacing w:after="0"/>
        <w:tabs>
          <w:tab w:leader="dot" w:pos="4200" w:val="left"/>
          <w:tab w:leader="dot" w:pos="5940" w:val="left"/>
          <w:tab w:leader="dot" w:pos="8360" w:val="left"/>
        </w:tabs>
        <w:rPr>
          <w:sz w:val="20"/>
          <w:szCs w:val="20"/>
          <w:color w:val="auto"/>
        </w:rPr>
      </w:pPr>
      <w:r>
        <w:rPr>
          <w:rFonts w:ascii="Times New Roman" w:cs="Times New Roman" w:eastAsia="Times New Roman" w:hAnsi="Times New Roman"/>
          <w:sz w:val="18"/>
          <w:szCs w:val="18"/>
          <w:i w:val="1"/>
          <w:iCs w:val="1"/>
          <w:color w:val="auto"/>
        </w:rPr>
        <w:t>Ebola</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390</w:t>
      </w:r>
    </w:p>
    <w:p>
      <w:pPr>
        <w:spacing w:after="0" w:line="48" w:lineRule="exact"/>
        <w:rPr>
          <w:sz w:val="20"/>
          <w:szCs w:val="20"/>
          <w:color w:val="auto"/>
        </w:rPr>
      </w:pPr>
    </w:p>
    <w:p>
      <w:pPr>
        <w:ind w:left="360"/>
        <w:spacing w:after="0"/>
        <w:tabs>
          <w:tab w:leader="dot" w:pos="5940" w:val="left"/>
          <w:tab w:leader="dot" w:pos="8220" w:val="left"/>
        </w:tabs>
        <w:rPr>
          <w:sz w:val="20"/>
          <w:szCs w:val="20"/>
          <w:color w:val="auto"/>
        </w:rPr>
      </w:pPr>
      <w:r>
        <w:rPr>
          <w:rFonts w:ascii="Times New Roman" w:cs="Times New Roman" w:eastAsia="Times New Roman" w:hAnsi="Times New Roman"/>
          <w:sz w:val="18"/>
          <w:szCs w:val="18"/>
          <w:b w:val="1"/>
          <w:bCs w:val="1"/>
          <w:color w:val="auto"/>
        </w:rPr>
        <w:t>Subsidies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5,875</w:t>
      </w:r>
    </w:p>
    <w:p>
      <w:pPr>
        <w:spacing w:after="0" w:line="52" w:lineRule="exact"/>
        <w:rPr>
          <w:sz w:val="20"/>
          <w:szCs w:val="20"/>
          <w:color w:val="auto"/>
        </w:rPr>
      </w:pPr>
    </w:p>
    <w:p>
      <w:pPr>
        <w:ind w:left="360"/>
        <w:spacing w:after="0"/>
        <w:tabs>
          <w:tab w:leader="dot" w:pos="4200" w:val="left"/>
          <w:tab w:leader="dot" w:pos="5940" w:val="left"/>
          <w:tab w:leader="dot" w:pos="8220" w:val="left"/>
        </w:tabs>
        <w:rPr>
          <w:sz w:val="20"/>
          <w:szCs w:val="20"/>
          <w:color w:val="auto"/>
        </w:rPr>
      </w:pPr>
      <w:r>
        <w:rPr>
          <w:rFonts w:ascii="Times New Roman" w:cs="Times New Roman" w:eastAsia="Times New Roman" w:hAnsi="Times New Roman"/>
          <w:sz w:val="18"/>
          <w:szCs w:val="18"/>
          <w:i w:val="1"/>
          <w:iCs w:val="1"/>
          <w:color w:val="auto"/>
        </w:rPr>
        <w:t>Carena (1)</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3,140</w:t>
      </w:r>
    </w:p>
    <w:p>
      <w:pPr>
        <w:spacing w:after="0" w:line="50" w:lineRule="exact"/>
        <w:rPr>
          <w:sz w:val="20"/>
          <w:szCs w:val="20"/>
          <w:color w:val="auto"/>
        </w:rPr>
      </w:pPr>
    </w:p>
    <w:p>
      <w:pPr>
        <w:ind w:left="360"/>
        <w:spacing w:after="0"/>
        <w:tabs>
          <w:tab w:leader="dot" w:pos="4200" w:val="left"/>
          <w:tab w:leader="dot" w:pos="5940" w:val="left"/>
          <w:tab w:leader="dot" w:pos="8220" w:val="left"/>
        </w:tabs>
        <w:rPr>
          <w:sz w:val="20"/>
          <w:szCs w:val="20"/>
          <w:color w:val="auto"/>
        </w:rPr>
      </w:pPr>
      <w:r>
        <w:rPr>
          <w:rFonts w:ascii="Times New Roman" w:cs="Times New Roman" w:eastAsia="Times New Roman" w:hAnsi="Times New Roman"/>
          <w:sz w:val="18"/>
          <w:szCs w:val="18"/>
          <w:i w:val="1"/>
          <w:iCs w:val="1"/>
          <w:color w:val="auto"/>
        </w:rPr>
        <w:t>RNP-VIR (2)</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2,735</w:t>
      </w:r>
    </w:p>
    <w:p>
      <w:pPr>
        <w:spacing w:after="0" w:line="50" w:lineRule="exact"/>
        <w:rPr>
          <w:sz w:val="20"/>
          <w:szCs w:val="20"/>
          <w:color w:val="auto"/>
        </w:rPr>
      </w:pPr>
    </w:p>
    <w:p>
      <w:pPr>
        <w:ind w:left="360"/>
        <w:spacing w:after="0"/>
        <w:tabs>
          <w:tab w:leader="dot" w:pos="4200" w:val="left"/>
          <w:tab w:leader="dot" w:pos="5940" w:val="left"/>
          <w:tab w:leader="dot" w:pos="8460" w:val="left"/>
        </w:tabs>
        <w:rPr>
          <w:sz w:val="20"/>
          <w:szCs w:val="20"/>
          <w:color w:val="auto"/>
        </w:rPr>
      </w:pPr>
      <w:r>
        <w:rPr>
          <w:rFonts w:ascii="Times New Roman" w:cs="Times New Roman" w:eastAsia="Times New Roman" w:hAnsi="Times New Roman"/>
          <w:sz w:val="18"/>
          <w:szCs w:val="18"/>
          <w:i w:val="1"/>
          <w:iCs w:val="1"/>
          <w:color w:val="auto"/>
        </w:rPr>
        <w:t>Ebola</w:t>
      </w:r>
      <w:r>
        <w:rPr>
          <w:sz w:val="20"/>
          <w:szCs w:val="20"/>
          <w:color w:val="auto"/>
        </w:rPr>
        <w:tab/>
      </w:r>
      <w:r>
        <w:rPr>
          <w:rFonts w:ascii="Times New Roman" w:cs="Times New Roman" w:eastAsia="Times New Roman" w:hAnsi="Times New Roman"/>
          <w:sz w:val="18"/>
          <w:szCs w:val="18"/>
          <w:i w:val="1"/>
          <w:iCs w:val="1"/>
          <w:color w:val="auto"/>
        </w:rPr>
        <w:t>Stopped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w:t>
      </w:r>
    </w:p>
    <w:p>
      <w:pPr>
        <w:spacing w:after="0" w:line="102" w:lineRule="exact"/>
        <w:rPr>
          <w:sz w:val="20"/>
          <w:szCs w:val="20"/>
          <w:color w:val="auto"/>
        </w:rPr>
      </w:pPr>
    </w:p>
    <w:p>
      <w:pPr>
        <w:ind w:left="360"/>
        <w:spacing w:after="0"/>
        <w:tabs>
          <w:tab w:leader="dot" w:pos="5940" w:val="left"/>
          <w:tab w:leader="dot" w:pos="8220" w:val="left"/>
        </w:tabs>
        <w:rPr>
          <w:sz w:val="20"/>
          <w:szCs w:val="20"/>
          <w:color w:val="auto"/>
        </w:rPr>
      </w:pP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7,677</w:t>
      </w:r>
    </w:p>
    <w:p>
      <w:pPr>
        <w:spacing w:after="0" w:line="200" w:lineRule="exact"/>
        <w:rPr>
          <w:sz w:val="20"/>
          <w:szCs w:val="20"/>
          <w:color w:val="auto"/>
        </w:rPr>
      </w:pPr>
    </w:p>
    <w:p>
      <w:pPr>
        <w:spacing w:after="0" w:line="362" w:lineRule="exact"/>
        <w:rPr>
          <w:sz w:val="20"/>
          <w:szCs w:val="20"/>
          <w:color w:val="auto"/>
        </w:rPr>
      </w:pPr>
    </w:p>
    <w:p>
      <w:pPr>
        <w:ind w:left="300" w:right="379" w:hanging="8"/>
        <w:spacing w:after="0" w:line="241" w:lineRule="auto"/>
        <w:tabs>
          <w:tab w:leader="none" w:pos="94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termination of the project due to technical failure in June 2024, the repayment of an amount of conditional advance of €2.0 million (excluding accrued interests) was waived by Bpifrance and therefore reclassified as a subsidy.</w:t>
      </w:r>
    </w:p>
    <w:p>
      <w:pPr>
        <w:spacing w:after="0" w:line="68" w:lineRule="exact"/>
        <w:rPr>
          <w:rFonts w:ascii="Times New Roman" w:cs="Times New Roman" w:eastAsia="Times New Roman" w:hAnsi="Times New Roman"/>
          <w:sz w:val="14"/>
          <w:szCs w:val="14"/>
          <w:color w:val="auto"/>
        </w:rPr>
      </w:pPr>
    </w:p>
    <w:p>
      <w:pPr>
        <w:ind w:left="300" w:right="459" w:hanging="8"/>
        <w:spacing w:after="0" w:line="261" w:lineRule="auto"/>
        <w:tabs>
          <w:tab w:leader="none" w:pos="94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termination of the project due to technical failure in June 2024, the repayment of an amount of conditional advance of €1.8 million (excluding accrued interests) was waived by Bpifrance and therefore reclassified as a subsidy.</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Bpifrance—CARENA Contract</w:t>
      </w:r>
    </w:p>
    <w:p>
      <w:pPr>
        <w:spacing w:after="0" w:line="9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As part of the development of therapeutic and diagnostic solutions targeting alternative splicing and RNA interference in the fields of virology (HIV-AIDS, HTLV-1) and metabolism (obesity), SPLICOS, which we acquired in October 2014, entered into a Master Support Agreement and a conditional advance contract on December 2013</w:t>
      </w:r>
    </w:p>
    <w:p>
      <w:pPr>
        <w:jc w:val="both"/>
        <w:ind w:left="300" w:right="899"/>
        <w:spacing w:after="0" w:line="220" w:lineRule="auto"/>
        <w:rPr>
          <w:sz w:val="20"/>
          <w:szCs w:val="20"/>
          <w:color w:val="auto"/>
        </w:rPr>
      </w:pPr>
      <w:r>
        <w:rPr>
          <w:rFonts w:ascii="Times New Roman" w:cs="Times New Roman" w:eastAsia="Times New Roman" w:hAnsi="Times New Roman"/>
          <w:sz w:val="17"/>
          <w:szCs w:val="17"/>
          <w:color w:val="auto"/>
        </w:rPr>
        <w:t>for the “CARENA” Strategic Industrial Innovation Project (“CARENA project”), with Bpifrance. Under this contract, we were eligible to receive up to €3.8 million in conditional advances to develop a therapeutic HIV treatment program with obefazimod. As of December 31, 2024, we had received €3.4 million of conditional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advances and subsidies.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8823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6115" cy="388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firstLine="441"/>
        <w:spacing w:after="0" w:line="236" w:lineRule="auto"/>
        <w:rPr>
          <w:sz w:val="20"/>
          <w:szCs w:val="20"/>
          <w:color w:val="auto"/>
        </w:rPr>
      </w:pPr>
      <w:r>
        <w:rPr>
          <w:rFonts w:ascii="Times New Roman" w:cs="Times New Roman" w:eastAsia="Times New Roman" w:hAnsi="Times New Roman"/>
          <w:sz w:val="17"/>
          <w:szCs w:val="17"/>
          <w:color w:val="auto"/>
        </w:rPr>
        <w:t>In June 2024, the Company and Bpifrance agreed to terminate the project due to technical failure. Bpifrance granted an additional amount of €1.1 million payable to the Company to reimburse additional expenses incurred as</w:t>
      </w:r>
    </w:p>
    <w:p>
      <w:pPr>
        <w:ind w:left="300" w:right="679"/>
        <w:spacing w:after="0" w:line="218" w:lineRule="auto"/>
        <w:rPr>
          <w:sz w:val="20"/>
          <w:szCs w:val="20"/>
          <w:color w:val="auto"/>
        </w:rPr>
      </w:pPr>
      <w:r>
        <w:rPr>
          <w:rFonts w:ascii="Times New Roman" w:cs="Times New Roman" w:eastAsia="Times New Roman" w:hAnsi="Times New Roman"/>
          <w:sz w:val="18"/>
          <w:szCs w:val="18"/>
          <w:color w:val="auto"/>
        </w:rPr>
        <w:t>part of the project, and agreed to waive 60% of the remaining conditional advance of €3.3 million and accrued interests, for which we recognized a subsidy income of €2.3 million in the aggregate. We repaid the outstanding amounts during the second half of 2024.</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Bpifrance—RNP-VIR Contract</w:t>
      </w:r>
    </w:p>
    <w:p>
      <w:pPr>
        <w:spacing w:after="0" w:line="81" w:lineRule="exact"/>
        <w:rPr>
          <w:sz w:val="20"/>
          <w:szCs w:val="20"/>
          <w:color w:val="auto"/>
        </w:rPr>
      </w:pPr>
    </w:p>
    <w:p>
      <w:pPr>
        <w:ind w:left="300" w:right="499" w:firstLine="441"/>
        <w:spacing w:after="0" w:line="236" w:lineRule="auto"/>
        <w:rPr>
          <w:sz w:val="20"/>
          <w:szCs w:val="20"/>
          <w:color w:val="auto"/>
        </w:rPr>
      </w:pPr>
      <w:r>
        <w:rPr>
          <w:rFonts w:ascii="Times New Roman" w:cs="Times New Roman" w:eastAsia="Times New Roman" w:hAnsi="Times New Roman"/>
          <w:sz w:val="17"/>
          <w:szCs w:val="17"/>
          <w:color w:val="auto"/>
        </w:rPr>
        <w:t>As part of the CARENA project, focused on the clinical development of a drug molecule and demonstrating the validity of an innovative therapeutic approach targeting viral RNPs, we entered into a Master Support</w:t>
      </w:r>
    </w:p>
    <w:p>
      <w:pPr>
        <w:jc w:val="both"/>
        <w:ind w:left="300" w:right="339"/>
        <w:spacing w:after="0" w:line="208" w:lineRule="auto"/>
        <w:rPr>
          <w:sz w:val="20"/>
          <w:szCs w:val="20"/>
          <w:color w:val="auto"/>
        </w:rPr>
      </w:pPr>
      <w:r>
        <w:rPr>
          <w:rFonts w:ascii="Times New Roman" w:cs="Times New Roman" w:eastAsia="Times New Roman" w:hAnsi="Times New Roman"/>
          <w:sz w:val="18"/>
          <w:szCs w:val="18"/>
          <w:color w:val="auto"/>
        </w:rPr>
        <w:t>Agreement with Bpifrance, as well as a beneficiary agreement dated March 21, 2017, with conditional advances for the “RNP-VIR” structuring research and development project for competitiveness. Under the RNP-VIR contract, we were eligible to receive up to €6.3 million in conditional advances to develop methods for the discovery of new</w:t>
      </w:r>
    </w:p>
    <w:p>
      <w:pPr>
        <w:spacing w:after="0" w:line="2" w:lineRule="exact"/>
        <w:rPr>
          <w:sz w:val="20"/>
          <w:szCs w:val="20"/>
          <w:color w:val="auto"/>
        </w:rPr>
      </w:pPr>
    </w:p>
    <w:p>
      <w:pPr>
        <w:ind w:left="300" w:right="899"/>
        <w:spacing w:after="0" w:line="218" w:lineRule="auto"/>
        <w:rPr>
          <w:sz w:val="20"/>
          <w:szCs w:val="20"/>
          <w:color w:val="auto"/>
        </w:rPr>
      </w:pPr>
      <w:r>
        <w:rPr>
          <w:rFonts w:ascii="Times New Roman" w:cs="Times New Roman" w:eastAsia="Times New Roman" w:hAnsi="Times New Roman"/>
          <w:sz w:val="18"/>
          <w:szCs w:val="18"/>
          <w:color w:val="auto"/>
        </w:rPr>
        <w:t>molecules for the treatment of viral infectious diseases through the development of the “Modulation of RNA biogenesis” platform. As of December 31, 2024, we had received €3.9 million of conditional advances and subsidies.</w:t>
      </w:r>
    </w:p>
    <w:p>
      <w:pPr>
        <w:spacing w:after="0" w:line="64" w:lineRule="exact"/>
        <w:rPr>
          <w:sz w:val="20"/>
          <w:szCs w:val="20"/>
          <w:color w:val="auto"/>
        </w:rPr>
      </w:pPr>
    </w:p>
    <w:p>
      <w:pPr>
        <w:ind w:left="300" w:right="399" w:firstLine="441"/>
        <w:spacing w:after="0" w:line="216" w:lineRule="auto"/>
        <w:rPr>
          <w:sz w:val="20"/>
          <w:szCs w:val="20"/>
          <w:color w:val="auto"/>
        </w:rPr>
      </w:pPr>
      <w:r>
        <w:rPr>
          <w:rFonts w:ascii="Times New Roman" w:cs="Times New Roman" w:eastAsia="Times New Roman" w:hAnsi="Times New Roman"/>
          <w:sz w:val="18"/>
          <w:szCs w:val="18"/>
          <w:color w:val="auto"/>
        </w:rPr>
        <w:t>In June 2024, the Company and Bpifrance agreed to terminate the project due to technical failure. Bpifrance claimed the reimbursement of €1.2 million corresponding to overpayments of conditional advances and subsidies (for which we had not incurred the corresponding R&amp;D expenses) and agreed to waive 60% of the remaining</w:t>
      </w:r>
    </w:p>
    <w:p>
      <w:pPr>
        <w:spacing w:after="0" w:line="1"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advances of €3.0 million and accrued interests, for which the we reco gnized a subsidy income of €1.9 million in the aggregate. We repaid the outstanding amounts during the second half of 2024.</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Bpifrance—Ebola</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Bpifrance</w:t>
      </w:r>
      <w:r>
        <w:rPr>
          <w:rFonts w:ascii="Times New Roman" w:cs="Times New Roman" w:eastAsia="Times New Roman" w:hAnsi="Times New Roman"/>
          <w:sz w:val="18"/>
          <w:szCs w:val="18"/>
          <w:color w:val="auto"/>
        </w:rPr>
        <w:t xml:space="preserve"> and Occitanie Region joint support agreement was entered into on June 2, 2017 and provides</w:t>
      </w:r>
    </w:p>
    <w:p>
      <w:pPr>
        <w:sectPr>
          <w:pgSz w:w="11900" w:h="16848" w:orient="portrait"/>
          <w:cols w:equalWidth="0" w:num="1">
            <w:col w:w="9019"/>
          </w:cols>
          <w:pgMar w:left="1440" w:top="108" w:right="1440" w:bottom="0" w:gutter="0" w:footer="0" w:header="0"/>
        </w:sectPr>
      </w:pPr>
    </w:p>
    <w:bookmarkStart w:id="83" w:name="page84"/>
    <w:bookmarkEnd w:id="83"/>
    <w:p>
      <w:pPr>
        <w:ind w:left="300" w:right="819"/>
        <w:spacing w:after="0" w:line="194" w:lineRule="auto"/>
        <w:rPr>
          <w:sz w:val="20"/>
          <w:szCs w:val="20"/>
          <w:color w:val="auto"/>
        </w:rPr>
      </w:pPr>
      <w:r>
        <w:rPr>
          <w:rFonts w:ascii="Times New Roman" w:cs="Times New Roman" w:eastAsia="Times New Roman" w:hAnsi="Times New Roman"/>
          <w:sz w:val="17"/>
          <w:szCs w:val="17"/>
          <w:color w:val="auto"/>
        </w:rPr>
        <w:t xml:space="preserve">for conditional advances for a total amount of €0.4 million (€0.1 million from the Languedoc Roussillon Midi Pyrénées Region and €0.3 million from </w:t>
      </w:r>
      <w:r>
        <w:rPr>
          <w:rFonts w:ascii="Times New Roman" w:cs="Times New Roman" w:eastAsia="Times New Roman" w:hAnsi="Times New Roman"/>
          <w:sz w:val="17"/>
          <w:szCs w:val="17"/>
          <w:i w:val="1"/>
          <w:iCs w:val="1"/>
          <w:color w:val="auto"/>
        </w:rPr>
        <w:t>Bpifrance</w:t>
      </w:r>
      <w:r>
        <w:rPr>
          <w:rFonts w:ascii="Times New Roman" w:cs="Times New Roman" w:eastAsia="Times New Roman" w:hAnsi="Times New Roman"/>
          <w:sz w:val="17"/>
          <w:szCs w:val="17"/>
          <w:color w:val="auto"/>
        </w:rPr>
        <w:t>) for the Ebola program. All funds under this contract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-179705</wp:posOffset>
            </wp:positionV>
            <wp:extent cx="7016115" cy="51796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16115" cy="5179695"/>
                    </a:xfrm>
                    <a:prstGeom prst="rect">
                      <a:avLst/>
                    </a:prstGeom>
                    <a:noFill/>
                  </pic:spPr>
                </pic:pic>
              </a:graphicData>
            </a:graphic>
          </wp:anchor>
        </w:drawing>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received. In September 2019, we terminated this program due to the imminent licensing of a competing vaccine for this indication, as well as changes in the macroeconomic climate for public funding. The reimbursement of the conditional advance was spread over the period from September 2019 to June 2024.</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a description of material financing agreements, see "Item 10.C. 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253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6115" cy="525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Changes in Cash Flows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sets forth our cash inflows and outflows for the years ended December 31, 2023, 2024 and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2025.</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2024 vs</w:t>
            </w: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i w:val="1"/>
                <w:iCs w:val="1"/>
                <w:color w:val="auto"/>
              </w:rPr>
              <w:t>2025 vs</w:t>
            </w:r>
          </w:p>
        </w:tc>
      </w:tr>
      <w:tr>
        <w:trPr>
          <w:trHeight w:val="189"/>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(In thousands of euros) </w:t>
            </w:r>
            <w:r>
              <w:rPr>
                <w:rFonts w:ascii="Times New Roman" w:cs="Times New Roman" w:eastAsia="Times New Roman" w:hAnsi="Times New Roman"/>
                <w:sz w:val="14"/>
                <w:szCs w:val="14"/>
                <w:b w:val="1"/>
                <w:bCs w:val="1"/>
                <w:color w:val="B4B4B4"/>
              </w:rPr>
              <w:t>. . . . . . . . . . . . . . . . . . . . . .</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2023</w:t>
            </w:r>
          </w:p>
        </w:tc>
        <w:tc>
          <w:tcPr>
            <w:tcW w:w="6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i w:val="1"/>
                <w:iCs w:val="1"/>
                <w:color w:val="auto"/>
              </w:rPr>
              <w:t>2024</w:t>
            </w:r>
          </w:p>
        </w:tc>
      </w:tr>
      <w:tr>
        <w:trPr>
          <w:trHeight w:val="192"/>
        </w:trPr>
        <w:tc>
          <w:tcPr>
            <w:tcW w:w="3120" w:type="dxa"/>
            <w:vAlign w:val="bottom"/>
          </w:tcPr>
          <w:p>
            <w:pPr>
              <w:spacing w:after="0"/>
              <w:rPr>
                <w:sz w:val="16"/>
                <w:szCs w:val="16"/>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6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r>
    </w:tbl>
    <w:p>
      <w:pPr>
        <w:spacing w:after="0" w:line="19" w:lineRule="exact"/>
        <w:rPr>
          <w:sz w:val="20"/>
          <w:szCs w:val="20"/>
          <w:color w:val="auto"/>
        </w:rPr>
      </w:pPr>
    </w:p>
    <w:p>
      <w:pPr>
        <w:sectPr>
          <w:pgSz w:w="11900" w:h="16838" w:orient="portrait"/>
          <w:cols w:equalWidth="0" w:num="1">
            <w:col w:w="9019"/>
          </w:cols>
          <w:pgMar w:left="1440" w:top="108" w:right="1440" w:bottom="0" w:gutter="0" w:footer="0" w:header="0"/>
        </w:sectPr>
      </w:pPr>
    </w:p>
    <w:p>
      <w:pPr>
        <w:ind w:left="360" w:right="20"/>
        <w:spacing w:after="0" w:line="273" w:lineRule="auto"/>
        <w:rPr>
          <w:sz w:val="20"/>
          <w:szCs w:val="20"/>
          <w:color w:val="auto"/>
        </w:rPr>
      </w:pPr>
      <w:r>
        <w:rPr>
          <w:rFonts w:ascii="Times New Roman" w:cs="Times New Roman" w:eastAsia="Times New Roman" w:hAnsi="Times New Roman"/>
          <w:sz w:val="18"/>
          <w:szCs w:val="18"/>
          <w:color w:val="auto"/>
        </w:rPr>
        <w:t xml:space="preserve">Net cash flows used in operating activities </w:t>
      </w:r>
      <w:r>
        <w:rPr>
          <w:rFonts w:ascii="Times New Roman" w:cs="Times New Roman" w:eastAsia="Times New Roman" w:hAnsi="Times New Roman"/>
          <w:sz w:val="18"/>
          <w:szCs w:val="18"/>
          <w:color w:val="B4B4B4"/>
        </w:rPr>
        <w:t>. . . . . . . . . . . . . . . . . . . . . . . . .</w:t>
      </w:r>
    </w:p>
    <w:p>
      <w:pPr>
        <w:spacing w:after="0" w:line="2" w:lineRule="exact"/>
        <w:rPr>
          <w:sz w:val="20"/>
          <w:szCs w:val="20"/>
          <w:color w:val="auto"/>
        </w:rPr>
      </w:pPr>
    </w:p>
    <w:p>
      <w:pPr>
        <w:ind w:left="360"/>
        <w:spacing w:after="0" w:line="273" w:lineRule="auto"/>
        <w:rPr>
          <w:sz w:val="20"/>
          <w:szCs w:val="20"/>
          <w:color w:val="auto"/>
        </w:rPr>
      </w:pPr>
      <w:r>
        <w:rPr>
          <w:rFonts w:ascii="Times New Roman" w:cs="Times New Roman" w:eastAsia="Times New Roman" w:hAnsi="Times New Roman"/>
          <w:sz w:val="18"/>
          <w:szCs w:val="18"/>
          <w:color w:val="auto"/>
        </w:rPr>
        <w:t xml:space="preserve">Net cash flows (used in) provided by investing activities </w:t>
      </w:r>
      <w:r>
        <w:rPr>
          <w:rFonts w:ascii="Times New Roman" w:cs="Times New Roman" w:eastAsia="Times New Roman" w:hAnsi="Times New Roman"/>
          <w:sz w:val="18"/>
          <w:szCs w:val="18"/>
          <w:color w:val="B4B4B4"/>
        </w:rPr>
        <w:t>. . . . . . . . . . . . . . . . . .</w:t>
      </w:r>
    </w:p>
    <w:p>
      <w:pPr>
        <w:spacing w:after="0" w:line="2" w:lineRule="exact"/>
        <w:rPr>
          <w:sz w:val="20"/>
          <w:szCs w:val="20"/>
          <w:color w:val="auto"/>
        </w:rPr>
      </w:pPr>
    </w:p>
    <w:p>
      <w:pPr>
        <w:ind w:left="360"/>
        <w:spacing w:after="0" w:line="273" w:lineRule="auto"/>
        <w:rPr>
          <w:sz w:val="20"/>
          <w:szCs w:val="20"/>
          <w:color w:val="auto"/>
        </w:rPr>
      </w:pPr>
      <w:r>
        <w:rPr>
          <w:rFonts w:ascii="Times New Roman" w:cs="Times New Roman" w:eastAsia="Times New Roman" w:hAnsi="Times New Roman"/>
          <w:sz w:val="18"/>
          <w:szCs w:val="18"/>
          <w:color w:val="auto"/>
        </w:rPr>
        <w:t xml:space="preserve">Net cash flows provided by financing activities </w:t>
      </w:r>
      <w:r>
        <w:rPr>
          <w:rFonts w:ascii="Times New Roman" w:cs="Times New Roman" w:eastAsia="Times New Roman" w:hAnsi="Times New Roman"/>
          <w:sz w:val="18"/>
          <w:szCs w:val="18"/>
          <w:color w:val="B4B4B4"/>
        </w:rPr>
        <w:t>. . . . . . . . . . . . . . . . . . . . . . . . . .</w:t>
      </w:r>
    </w:p>
    <w:p>
      <w:pPr>
        <w:spacing w:after="0" w:line="2" w:lineRule="exact"/>
        <w:rPr>
          <w:sz w:val="20"/>
          <w:szCs w:val="20"/>
          <w:color w:val="auto"/>
        </w:rPr>
      </w:pPr>
    </w:p>
    <w:p>
      <w:pPr>
        <w:ind w:left="360"/>
        <w:spacing w:after="0" w:line="273" w:lineRule="auto"/>
        <w:rPr>
          <w:sz w:val="20"/>
          <w:szCs w:val="20"/>
          <w:color w:val="auto"/>
        </w:rPr>
      </w:pPr>
      <w:r>
        <w:rPr>
          <w:rFonts w:ascii="Times New Roman" w:cs="Times New Roman" w:eastAsia="Times New Roman" w:hAnsi="Times New Roman"/>
          <w:sz w:val="18"/>
          <w:szCs w:val="18"/>
          <w:color w:val="auto"/>
        </w:rPr>
        <w:t xml:space="preserve">Effect of movements in exchange rates on cash held </w:t>
      </w:r>
      <w:r>
        <w:rPr>
          <w:rFonts w:ascii="Times New Roman" w:cs="Times New Roman" w:eastAsia="Times New Roman" w:hAnsi="Times New Roman"/>
          <w:sz w:val="18"/>
          <w:szCs w:val="18"/>
          <w:color w:val="B4B4B4"/>
        </w:rPr>
        <w:t>. . . . . . . . . . . . . . . . . . . . . . .</w:t>
      </w:r>
    </w:p>
    <w:p>
      <w:pPr>
        <w:spacing w:after="0" w:line="2" w:lineRule="exact"/>
        <w:rPr>
          <w:sz w:val="20"/>
          <w:szCs w:val="20"/>
          <w:color w:val="auto"/>
        </w:rPr>
      </w:pPr>
    </w:p>
    <w:p>
      <w:pPr>
        <w:ind w:left="360" w:right="20"/>
        <w:spacing w:after="0" w:line="271" w:lineRule="auto"/>
        <w:rPr>
          <w:sz w:val="20"/>
          <w:szCs w:val="20"/>
          <w:color w:val="auto"/>
        </w:rPr>
      </w:pPr>
      <w:r>
        <w:rPr>
          <w:rFonts w:ascii="Times New Roman" w:cs="Times New Roman" w:eastAsia="Times New Roman" w:hAnsi="Times New Roman"/>
          <w:sz w:val="18"/>
          <w:szCs w:val="18"/>
          <w:color w:val="auto"/>
        </w:rPr>
        <w:t xml:space="preserve">Revaluation of cash equivalents measured at fair value </w:t>
      </w:r>
      <w:r>
        <w:rPr>
          <w:rFonts w:ascii="Times New Roman" w:cs="Times New Roman" w:eastAsia="Times New Roman" w:hAnsi="Times New Roman"/>
          <w:sz w:val="18"/>
          <w:szCs w:val="18"/>
          <w:color w:val="B4B4B4"/>
        </w:rPr>
        <w:t>. . . . . . . . . . . . . . .</w:t>
      </w:r>
    </w:p>
    <w:p>
      <w:pPr>
        <w:spacing w:after="0" w:line="1" w:lineRule="exact"/>
        <w:rPr>
          <w:sz w:val="20"/>
          <w:szCs w:val="20"/>
          <w:color w:val="auto"/>
        </w:rPr>
      </w:pPr>
    </w:p>
    <w:p>
      <w:pPr>
        <w:ind w:left="3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Net increase (decrease) in cash and cash equivalents </w:t>
      </w:r>
      <w:r>
        <w:rPr>
          <w:rFonts w:ascii="Times New Roman" w:cs="Times New Roman" w:eastAsia="Times New Roman" w:hAnsi="Times New Roman"/>
          <w:sz w:val="18"/>
          <w:szCs w:val="18"/>
          <w:b w:val="1"/>
          <w:bCs w:val="1"/>
          <w:color w:val="B4B4B4"/>
        </w:rPr>
        <w:t>. . . . . . . . . . . . . . . . . .</w:t>
      </w:r>
    </w:p>
    <w:p>
      <w:pPr>
        <w:spacing w:after="0" w:line="2" w:lineRule="exact"/>
        <w:rPr>
          <w:sz w:val="20"/>
          <w:szCs w:val="20"/>
          <w:color w:val="auto"/>
        </w:rPr>
      </w:pPr>
    </w:p>
    <w:p>
      <w:pPr>
        <w:ind w:left="360" w:right="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at the beginning of the period </w:t>
      </w:r>
      <w:r>
        <w:rPr>
          <w:rFonts w:ascii="Times New Roman" w:cs="Times New Roman" w:eastAsia="Times New Roman" w:hAnsi="Times New Roman"/>
          <w:sz w:val="18"/>
          <w:szCs w:val="18"/>
          <w:b w:val="1"/>
          <w:bCs w:val="1"/>
          <w:color w:val="B4B4B4"/>
        </w:rPr>
        <w:t>. . . . . . . . . . . .</w:t>
      </w:r>
    </w:p>
    <w:p>
      <w:pPr>
        <w:spacing w:after="0" w:line="2" w:lineRule="exact"/>
        <w:rPr>
          <w:sz w:val="20"/>
          <w:szCs w:val="20"/>
          <w:color w:val="auto"/>
        </w:rPr>
      </w:pPr>
    </w:p>
    <w:p>
      <w:pPr>
        <w:ind w:left="360"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at the end of the period </w:t>
      </w:r>
      <w:r>
        <w:rPr>
          <w:rFonts w:ascii="Times New Roman" w:cs="Times New Roman" w:eastAsia="Times New Roman" w:hAnsi="Times New Roman"/>
          <w:sz w:val="18"/>
          <w:szCs w:val="18"/>
          <w:b w:val="1"/>
          <w:bCs w:val="1"/>
          <w:color w:val="B4B4B4"/>
        </w:rPr>
        <w:t>. . . . . . . . . . . . . . . . . . . . .</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(97,130)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(154,072)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(161,129)</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59 %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r>
      <w:tr>
        <w:trPr>
          <w:trHeight w:val="472"/>
        </w:trPr>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(8,095)</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15,762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(8,193)</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(295)%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w:t>
            </w:r>
          </w:p>
        </w:tc>
      </w:tr>
      <w:tr>
        <w:trPr>
          <w:trHeight w:val="473"/>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335,290</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28,207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547,307</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1840 %</w:t>
            </w:r>
          </w:p>
        </w:tc>
      </w:tr>
      <w:tr>
        <w:trPr>
          <w:trHeight w:val="473"/>
        </w:trPr>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(5,072)</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2,382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(10,251)</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(147)%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(530)%</w:t>
            </w:r>
          </w:p>
        </w:tc>
      </w:tr>
      <w:tr>
        <w:trPr>
          <w:trHeight w:val="473"/>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4,730</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r>
      <w:tr>
        <w:trPr>
          <w:trHeight w:val="473"/>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224,992</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(107,720)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372,464</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(148)%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(446)%</w:t>
            </w:r>
          </w:p>
        </w:tc>
      </w:tr>
      <w:tr>
        <w:trPr>
          <w:trHeight w:val="108"/>
        </w:trPr>
        <w:tc>
          <w:tcPr>
            <w:tcW w:w="1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344"/>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26,950</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251,942</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144,221</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835 %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(43)%</w:t>
            </w:r>
          </w:p>
        </w:tc>
      </w:tr>
      <w:tr>
        <w:trPr>
          <w:trHeight w:val="108"/>
        </w:trPr>
        <w:tc>
          <w:tcPr>
            <w:tcW w:w="1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344"/>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251,942</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144,221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516,685</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258 %</w:t>
            </w:r>
          </w:p>
        </w:tc>
      </w:tr>
      <w:tr>
        <w:trPr>
          <w:trHeight w:val="81"/>
        </w:trPr>
        <w:tc>
          <w:tcPr>
            <w:tcW w:w="14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3380" w:space="40"/>
            <w:col w:w="5599"/>
          </w:cols>
          <w:pgMar w:left="1440" w:top="108" w:right="1440" w:bottom="0" w:gutter="0" w:footer="0" w:header="0"/>
          <w:type w:val="continuous"/>
        </w:sectPr>
      </w:pPr>
    </w:p>
    <w:p>
      <w:pPr>
        <w:ind w:left="300" w:right="35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2025, cash used in operating activities was €(161.1) million, as compared to €(154.1) million for the year ended December 31, 2024, a decrease of €7.1 million, or 5%.</w:t>
      </w:r>
    </w:p>
    <w:p>
      <w:pPr>
        <w:spacing w:after="0" w:line="64" w:lineRule="exact"/>
        <w:rPr>
          <w:sz w:val="20"/>
          <w:szCs w:val="20"/>
          <w:color w:val="auto"/>
        </w:rPr>
      </w:pPr>
    </w:p>
    <w:p>
      <w:pPr>
        <w:ind w:left="300" w:right="35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2024, cash used in operating activities was €(154.1) million, as compared to €(97.1) million for the year ended December 31, 2023, an increase of €(56.9) million, or 59%.</w:t>
      </w:r>
    </w:p>
    <w:p>
      <w:pPr>
        <w:sectPr>
          <w:pgSz w:w="11900" w:h="16838" w:orient="portrait"/>
          <w:cols w:equalWidth="0" w:num="1">
            <w:col w:w="9019"/>
          </w:cols>
          <w:pgMar w:left="1440" w:top="108" w:right="1440" w:bottom="0" w:gutter="0" w:footer="0" w:header="0"/>
          <w:type w:val="continuous"/>
        </w:sectPr>
      </w:pPr>
    </w:p>
    <w:bookmarkStart w:id="84" w:name="page85"/>
    <w:bookmarkEnd w:id="84"/>
    <w:p>
      <w:pPr>
        <w:ind w:left="300" w:right="679" w:firstLine="441"/>
        <w:spacing w:after="0" w:line="183" w:lineRule="auto"/>
        <w:rPr>
          <w:sz w:val="20"/>
          <w:szCs w:val="20"/>
          <w:color w:val="auto"/>
        </w:rPr>
      </w:pPr>
      <w:r>
        <w:rPr>
          <w:rFonts w:ascii="Times New Roman" w:cs="Times New Roman" w:eastAsia="Times New Roman" w:hAnsi="Times New Roman"/>
          <w:sz w:val="15"/>
          <w:szCs w:val="15"/>
          <w:color w:val="auto"/>
        </w:rPr>
        <w:t xml:space="preserve">For the year ended December 31, 2025, cash used </w:t>
      </w:r>
      <w:r>
        <w:rPr>
          <w:rFonts w:ascii="Times New Roman" w:cs="Times New Roman" w:eastAsia="Times New Roman" w:hAnsi="Times New Roman"/>
          <w:sz w:val="15"/>
          <w:szCs w:val="15"/>
          <w:color w:val="auto"/>
          <w:highlight w:val="white"/>
        </w:rPr>
        <w:t>in operating activities was predominantly related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 xml:space="preserve">payments </w:t>
      </w:r>
      <w:r>
        <w:rPr>
          <w:rFonts w:ascii="Times New Roman" w:cs="Times New Roman" w:eastAsia="Times New Roman" w:hAnsi="Times New Roman"/>
          <w:sz w:val="15"/>
          <w:szCs w:val="15"/>
          <w:color w:val="auto"/>
        </w:rPr>
        <w:t>for the progression of our UC and CD trials and personnel, legal, professional and infrastructure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-146050</wp:posOffset>
            </wp:positionV>
            <wp:extent cx="7016115" cy="38080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6115" cy="3808095"/>
                    </a:xfrm>
                    <a:prstGeom prst="rect">
                      <a:avLst/>
                    </a:prstGeom>
                    <a:noFill/>
                  </pic:spPr>
                </pic:pic>
              </a:graphicData>
            </a:graphic>
          </wp:anchor>
        </w:drawing>
      </w:r>
    </w:p>
    <w:p>
      <w:pPr>
        <w:ind w:left="300" w:right="399"/>
        <w:spacing w:after="0" w:line="223" w:lineRule="auto"/>
        <w:rPr>
          <w:sz w:val="20"/>
          <w:szCs w:val="20"/>
          <w:color w:val="auto"/>
        </w:rPr>
      </w:pPr>
      <w:r>
        <w:rPr>
          <w:rFonts w:ascii="Times New Roman" w:cs="Times New Roman" w:eastAsia="Times New Roman" w:hAnsi="Times New Roman"/>
          <w:sz w:val="17"/>
          <w:szCs w:val="17"/>
          <w:color w:val="auto"/>
          <w:highlight w:val="white"/>
        </w:rPr>
        <w:t>associated with operating as a du</w:t>
      </w:r>
      <w:r>
        <w:rPr>
          <w:rFonts w:ascii="Times New Roman" w:cs="Times New Roman" w:eastAsia="Times New Roman" w:hAnsi="Times New Roman"/>
          <w:sz w:val="17"/>
          <w:szCs w:val="17"/>
          <w:color w:val="auto"/>
        </w:rPr>
        <w:t>al-listed public company. The increase was mostly driven by the increase in our</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operating loss (as explained above), partly offset by changes in our working capital requirements, from €0.5 million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2024 to €4.1 million for the year ended December 31, 2025.</w:t>
      </w:r>
    </w:p>
    <w:p>
      <w:pPr>
        <w:spacing w:after="0" w:line="57"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2024, cash used in operating activities is attributable to increased R&amp;D spend driven by the progression of the UC Phase 3 clinical trial and the initiation of the Phase 2b CD trial, the full</w:t>
      </w:r>
    </w:p>
    <w:p>
      <w:pPr>
        <w:ind w:left="300" w:right="679"/>
        <w:spacing w:after="0" w:line="226" w:lineRule="auto"/>
        <w:rPr>
          <w:sz w:val="20"/>
          <w:szCs w:val="20"/>
          <w:color w:val="auto"/>
        </w:rPr>
      </w:pPr>
      <w:r>
        <w:rPr>
          <w:rFonts w:ascii="Times New Roman" w:cs="Times New Roman" w:eastAsia="Times New Roman" w:hAnsi="Times New Roman"/>
          <w:sz w:val="18"/>
          <w:szCs w:val="18"/>
          <w:color w:val="auto"/>
        </w:rPr>
        <w:t>year impact of increased legal and professional fees and other infrastructure costs associated with operating as a dual-listed public company and changes in working capital.</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2023, cash used in operating activities is attributable to increased R&amp;D</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spend driven by the progression of the UC Phase 3 clinical trial, increased headcount to support the expansion of the overall organization, including a newly created sales and marketing department, increased legal and professional fees and other infrastructure costs associated with operating as a dual-listed public company and changes in working</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ind w:left="300" w:right="379" w:firstLine="44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cash used in investing activities was €8.2 million and was mainly due to an investment in 9- and 12-month term deposits, partially offset by the interests received from our cash and cash equivalents and short-term investments of €5.5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625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611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For year ended December 31, 2024, cash from investing activities was €15.8 million and was mainly due to the payment of the our 6-month term deposit of €9.0 million and from interests received from cash, cash equivalents</w:t>
      </w:r>
    </w:p>
    <w:p>
      <w:pPr>
        <w:ind w:left="300"/>
        <w:spacing w:after="0"/>
        <w:rPr>
          <w:sz w:val="20"/>
          <w:szCs w:val="20"/>
          <w:color w:val="auto"/>
        </w:rPr>
      </w:pPr>
      <w:r>
        <w:rPr>
          <w:rFonts w:ascii="Times New Roman" w:cs="Times New Roman" w:eastAsia="Times New Roman" w:hAnsi="Times New Roman"/>
          <w:sz w:val="18"/>
          <w:szCs w:val="18"/>
          <w:color w:val="auto"/>
        </w:rPr>
        <w:t>and short-term investments of €8.2 million.</w:t>
      </w:r>
    </w:p>
    <w:p>
      <w:pPr>
        <w:spacing w:after="0" w:line="57"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For the year ended December 31, 2023, cash used in investing activities was €8.1 million and was mainly due to a €9.0 million investment in a 6-month term deposit and the payment of additional long-term CRO advances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amounting to €1.6 million, partially offset by interests received amounting to €2.4 million.</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2025, cash from financing activities was €547.3 million, which mainly</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consisted of net proceeds from our July 2025 Nasdaq Offering of €607.2 million as well as cash received from exercises of share warrants of €5.8 million, partially offset by debt repayments of €59.6 million (of which €2.1 million related to tranche A of the Kreos / Claret Financing and €53.9 million related to tranches B and C (of which</w:t>
      </w:r>
    </w:p>
    <w:p>
      <w:pPr>
        <w:spacing w:after="0" w:line="2" w:lineRule="exact"/>
        <w:rPr>
          <w:sz w:val="20"/>
          <w:szCs w:val="20"/>
          <w:color w:val="auto"/>
        </w:rPr>
      </w:pPr>
    </w:p>
    <w:p>
      <w:pPr>
        <w:jc w:val="both"/>
        <w:ind w:left="300" w:right="639"/>
        <w:spacing w:after="0" w:line="218" w:lineRule="auto"/>
        <w:rPr>
          <w:sz w:val="20"/>
          <w:szCs w:val="20"/>
          <w:color w:val="auto"/>
        </w:rPr>
      </w:pPr>
      <w:r>
        <w:rPr>
          <w:rFonts w:ascii="Times New Roman" w:cs="Times New Roman" w:eastAsia="Times New Roman" w:hAnsi="Times New Roman"/>
          <w:sz w:val="18"/>
          <w:szCs w:val="18"/>
          <w:color w:val="auto"/>
        </w:rPr>
        <w:t>€33.8 million correspond to the full prepayment of the outstanding balance and related fees as of December 23, 2025), €2.2 million related to the Heights convertible notes and €2.5 million related to the State-guaranteed loan (Prêt garanti par l'Etat, or "PGE")), and interest payments of €6.5 million.</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2024, cash from financing activities was €28.2 million, which mainly consisted of drawdowns on tranche B (in an amount of €25 million) and tranche C (in an amount of €25 million) of the senior secured non-convertible bonds from the Kreos / Claret Financing, net of disbursed transaction costs and</w:t>
      </w:r>
    </w:p>
    <w:p>
      <w:pPr>
        <w:jc w:val="both"/>
        <w:ind w:left="300" w:right="539"/>
        <w:spacing w:after="0" w:line="218" w:lineRule="auto"/>
        <w:rPr>
          <w:sz w:val="20"/>
          <w:szCs w:val="20"/>
          <w:color w:val="auto"/>
        </w:rPr>
      </w:pPr>
      <w:r>
        <w:rPr>
          <w:rFonts w:ascii="Times New Roman" w:cs="Times New Roman" w:eastAsia="Times New Roman" w:hAnsi="Times New Roman"/>
          <w:sz w:val="18"/>
          <w:szCs w:val="18"/>
          <w:color w:val="auto"/>
        </w:rPr>
        <w:t>deposits (in an amount of €2.6 million in the aggregate), partially offset by repayments of €13.2 million (of which €8.8 million related to the Heights convertible notes and €2.7 million related to conditional advances) and interest payments of €7.7 million.</w:t>
      </w:r>
    </w:p>
    <w:p>
      <w:pPr>
        <w:spacing w:after="0" w:line="64"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For the year ended December 31, 2023, cash from financing activities was €335.3 million, which consisted of net proceeds from our offering of ordinary shares on Euronext Paris of €123.3 million (after deducting transaction costs of €6.7 million), net proceeds from our offering of ordinary shares and ADSs of €202.0 million (after</w:t>
      </w: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deducting transaction costs of €21.3 million) from our U.S. initial public offering and listing on Nasdaq and concurrent private placement (after deducting transaction costs and underwriting commissions of €28.1 million), net proceeds from the August 2023 drawdown of the first tranches of the Kreos / Claret Financing and the Heights</w:t>
      </w:r>
    </w:p>
    <w:p>
      <w:pPr>
        <w:spacing w:after="0" w:line="2" w:lineRule="exact"/>
        <w:rPr>
          <w:sz w:val="20"/>
          <w:szCs w:val="20"/>
          <w:color w:val="auto"/>
        </w:rPr>
      </w:pP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Financing, collectively amounting to €27.2 million (net of repayments of all outstanding amounts that remained due under the 2018 venture loan agreement with Kreos Capital ("First KC Agreement"), the 2020 bonds issue agreement with Kreos Capital ("Second KC Agreement") and the OCEANE bonds), partially offset by repayments under the</w:t>
      </w:r>
    </w:p>
    <w:p>
      <w:pPr>
        <w:spacing w:after="0" w:line="2" w:lineRule="exact"/>
        <w:rPr>
          <w:sz w:val="20"/>
          <w:szCs w:val="20"/>
          <w:color w:val="auto"/>
        </w:rPr>
      </w:pPr>
    </w:p>
    <w:p>
      <w:pPr>
        <w:jc w:val="both"/>
        <w:ind w:left="300" w:right="479"/>
        <w:spacing w:after="0" w:line="226" w:lineRule="auto"/>
        <w:rPr>
          <w:sz w:val="20"/>
          <w:szCs w:val="20"/>
          <w:color w:val="auto"/>
        </w:rPr>
      </w:pPr>
      <w:r>
        <w:rPr>
          <w:rFonts w:ascii="Times New Roman" w:cs="Times New Roman" w:eastAsia="Times New Roman" w:hAnsi="Times New Roman"/>
          <w:sz w:val="18"/>
          <w:szCs w:val="18"/>
          <w:color w:val="auto"/>
        </w:rPr>
        <w:t>notes issued under the First KC Agreement and Second KC Agreement (in an amount of €5.0 million), PGE (in an amount of €1.3 million) and interest paid (in an amount of €5.3 million).</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Loans</w:t>
      </w:r>
    </w:p>
    <w:p>
      <w:pPr>
        <w:spacing w:after="0" w:line="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sets forth aggregate information about material contractual obligations as of December 31,</w:t>
      </w:r>
    </w:p>
    <w:p>
      <w:pPr>
        <w:ind w:left="300"/>
        <w:spacing w:after="0"/>
        <w:rPr>
          <w:sz w:val="20"/>
          <w:szCs w:val="20"/>
          <w:color w:val="auto"/>
        </w:rPr>
      </w:pPr>
      <w:r>
        <w:rPr>
          <w:rFonts w:ascii="Times New Roman" w:cs="Times New Roman" w:eastAsia="Times New Roman" w:hAnsi="Times New Roman"/>
          <w:sz w:val="18"/>
          <w:szCs w:val="18"/>
          <w:color w:val="auto"/>
        </w:rPr>
        <w:t>2025.</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commitment amounts in the table below are associated with contracts that are enforceable and legally</w:t>
      </w:r>
    </w:p>
    <w:p>
      <w:pPr>
        <w:spacing w:after="0" w:line="2" w:lineRule="exact"/>
        <w:rPr>
          <w:sz w:val="20"/>
          <w:szCs w:val="20"/>
          <w:color w:val="auto"/>
        </w:rPr>
      </w:pPr>
    </w:p>
    <w:p>
      <w:pPr>
        <w:jc w:val="both"/>
        <w:ind w:left="300" w:right="499"/>
        <w:spacing w:after="0" w:line="220" w:lineRule="auto"/>
        <w:rPr>
          <w:sz w:val="20"/>
          <w:szCs w:val="20"/>
          <w:color w:val="auto"/>
        </w:rPr>
      </w:pPr>
      <w:r>
        <w:rPr>
          <w:rFonts w:ascii="Times New Roman" w:cs="Times New Roman" w:eastAsia="Times New Roman" w:hAnsi="Times New Roman"/>
          <w:sz w:val="17"/>
          <w:szCs w:val="17"/>
          <w:color w:val="auto"/>
        </w:rPr>
        <w:t>binding and that specify all significant terms, including fixed or minimum services to be used, fixed, minimum or variable price provisions, and the approximate timing of the actions under the contracts. Future events could cause actual payments to differ from these estimates. All amounts except the retirement benefits in the table below are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presented gross and are undiscounted.</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28" w:lineRule="exact"/>
        <w:rPr>
          <w:sz w:val="20"/>
          <w:szCs w:val="20"/>
          <w:color w:val="auto"/>
        </w:rPr>
      </w:pPr>
    </w:p>
    <w:p>
      <w:pPr>
        <w:ind w:left="452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Less than</w:t>
      </w:r>
      <w:r>
        <w:rPr>
          <w:sz w:val="20"/>
          <w:szCs w:val="20"/>
          <w:color w:val="auto"/>
        </w:rPr>
        <w:tab/>
      </w:r>
      <w:r>
        <w:rPr>
          <w:rFonts w:ascii="Times New Roman" w:cs="Times New Roman" w:eastAsia="Times New Roman" w:hAnsi="Times New Roman"/>
          <w:sz w:val="14"/>
          <w:szCs w:val="14"/>
          <w:b w:val="1"/>
          <w:bCs w:val="1"/>
          <w:color w:val="auto"/>
        </w:rPr>
        <w:t>More than</w:t>
      </w:r>
    </w:p>
    <w:p>
      <w:pPr>
        <w:sectPr>
          <w:pgSz w:w="11900" w:h="16838" w:orient="portrait"/>
          <w:cols w:equalWidth="0" w:num="1">
            <w:col w:w="9019"/>
          </w:cols>
          <w:pgMar w:left="1440" w:top="108" w:right="1440" w:bottom="0" w:gutter="0" w:footer="0" w:header="0"/>
          <w:type w:val="continuous"/>
        </w:sectPr>
      </w:pPr>
    </w:p>
    <w:bookmarkStart w:id="85" w:name="page86"/>
    <w:bookmarkEnd w:id="85"/>
    <w:tbl>
      <w:tblPr>
        <w:tblLayout w:type="fixed"/>
        <w:tblInd w:w="36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(In thousands of euros) </w:t>
            </w:r>
            <w:r>
              <w:rPr>
                <w:rFonts w:ascii="Times New Roman" w:cs="Times New Roman" w:eastAsia="Times New Roman" w:hAnsi="Times New Roman"/>
                <w:sz w:val="14"/>
                <w:szCs w:val="14"/>
                <w:b w:val="1"/>
                <w:bCs w:val="1"/>
                <w:color w:val="B4B4B4"/>
              </w:rPr>
              <w:t>. . . . . . . . . . . . . . . . . . . . .</w:t>
            </w: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Lease obligations </w:t>
            </w:r>
            <w:r>
              <w:rPr>
                <w:rFonts w:ascii="Times New Roman" w:cs="Times New Roman" w:eastAsia="Times New Roman" w:hAnsi="Times New Roman"/>
                <w:sz w:val="18"/>
                <w:szCs w:val="18"/>
                <w:color w:val="B4B4B4"/>
              </w:rPr>
              <w:t>. . . . . . . . .</w:t>
            </w:r>
          </w:p>
        </w:tc>
        <w:tc>
          <w:tcPr>
            <w:tcW w:w="1820" w:type="dxa"/>
            <w:vAlign w:val="bottom"/>
          </w:tcPr>
          <w:p>
            <w:pPr>
              <w:jc w:val="right"/>
              <w:ind w:right="142"/>
              <w:spacing w:after="0" w:line="68" w:lineRule="exact"/>
              <w:rPr>
                <w:sz w:val="20"/>
                <w:szCs w:val="20"/>
                <w:color w:val="auto"/>
              </w:rPr>
            </w:pPr>
            <w:r>
              <w:rPr>
                <w:rFonts w:ascii="Times New Roman" w:cs="Times New Roman" w:eastAsia="Times New Roman" w:hAnsi="Times New Roman"/>
                <w:sz w:val="7"/>
                <w:szCs w:val="7"/>
                <w:b w:val="1"/>
                <w:bCs w:val="1"/>
                <w:color w:val="auto"/>
              </w:rPr>
              <w:t>As of December 31, 2025</w:t>
            </w:r>
          </w:p>
        </w:tc>
        <w:tc>
          <w:tcPr>
            <w:tcW w:w="1800" w:type="dxa"/>
            <w:vAlign w:val="bottom"/>
          </w:tcPr>
          <w:p>
            <w:pPr>
              <w:jc w:val="right"/>
              <w:ind w:right="122"/>
              <w:spacing w:after="0" w:line="68" w:lineRule="exact"/>
              <w:rPr>
                <w:sz w:val="20"/>
                <w:szCs w:val="20"/>
                <w:color w:val="auto"/>
              </w:rPr>
            </w:pPr>
            <w:r>
              <w:rPr>
                <w:rFonts w:ascii="Times New Roman" w:cs="Times New Roman" w:eastAsia="Times New Roman" w:hAnsi="Times New Roman"/>
                <w:sz w:val="7"/>
                <w:szCs w:val="7"/>
                <w:b w:val="1"/>
                <w:bCs w:val="1"/>
                <w:color w:val="auto"/>
              </w:rPr>
              <w:t>As of December 31, 2025</w:t>
            </w:r>
          </w:p>
        </w:tc>
        <w:tc>
          <w:tcPr>
            <w:tcW w:w="1680" w:type="dxa"/>
            <w:vAlign w:val="bottom"/>
          </w:tcPr>
          <w:p>
            <w:pPr>
              <w:jc w:val="right"/>
              <w:ind w:right="22"/>
              <w:spacing w:after="0" w:line="68" w:lineRule="exact"/>
              <w:rPr>
                <w:sz w:val="20"/>
                <w:szCs w:val="20"/>
                <w:color w:val="auto"/>
              </w:rPr>
            </w:pPr>
            <w:r>
              <w:rPr>
                <w:rFonts w:ascii="Times New Roman" w:cs="Times New Roman" w:eastAsia="Times New Roman" w:hAnsi="Times New Roman"/>
                <w:sz w:val="7"/>
                <w:szCs w:val="7"/>
                <w:b w:val="1"/>
                <w:bCs w:val="1"/>
                <w:color w:val="auto"/>
              </w:rPr>
              <w:t>As of December 31, 2025</w:t>
            </w:r>
          </w:p>
        </w:tc>
        <w:tc>
          <w:tcPr>
            <w:tcW w:w="0" w:type="dxa"/>
            <w:vAlign w:val="bottom"/>
          </w:tcPr>
          <w:p>
            <w:pPr>
              <w:spacing w:after="0"/>
              <w:rPr>
                <w:sz w:val="1"/>
                <w:szCs w:val="1"/>
                <w:color w:val="auto"/>
              </w:rPr>
            </w:pPr>
          </w:p>
        </w:tc>
      </w:tr>
      <w:tr>
        <w:trPr>
          <w:trHeight w:val="234"/>
        </w:trPr>
        <w:tc>
          <w:tcPr>
            <w:tcW w:w="3020" w:type="dxa"/>
            <w:vAlign w:val="bottom"/>
            <w:vMerge w:val="continue"/>
          </w:tcPr>
          <w:p>
            <w:pPr>
              <w:ind w:left="2160"/>
              <w:spacing w:after="0" w:line="176" w:lineRule="exact"/>
              <w:rPr>
                <w:sz w:val="20"/>
                <w:szCs w:val="20"/>
                <w:color w:val="auto"/>
              </w:rPr>
            </w:pPr>
            <w:r>
              <w:rPr>
                <w:rFonts w:ascii="Times New Roman" w:cs="Times New Roman" w:eastAsia="Times New Roman" w:hAnsi="Times New Roman"/>
                <w:sz w:val="18"/>
                <w:szCs w:val="18"/>
                <w:color w:val="B4B4B4"/>
              </w:rPr>
              <w:t>. . . . . . . . .</w:t>
            </w:r>
          </w:p>
        </w:tc>
        <w:tc>
          <w:tcPr>
            <w:tcW w:w="18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1,340</w:t>
            </w:r>
          </w:p>
        </w:tc>
        <w:tc>
          <w:tcPr>
            <w:tcW w:w="18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566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Retirement benefits </w:t>
            </w:r>
            <w:r>
              <w:rPr>
                <w:rFonts w:ascii="Times New Roman" w:cs="Times New Roman" w:eastAsia="Times New Roman" w:hAnsi="Times New Roman"/>
                <w:sz w:val="18"/>
                <w:szCs w:val="18"/>
                <w:color w:val="B4B4B4"/>
              </w:rPr>
              <w:t>. . . . . . . . . . . . . . . . .</w:t>
            </w:r>
          </w:p>
        </w:tc>
        <w:tc>
          <w:tcPr>
            <w:tcW w:w="18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627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Off-balance sheet obligations </w:t>
            </w:r>
            <w:r>
              <w:rPr>
                <w:rFonts w:ascii="Times New Roman" w:cs="Times New Roman" w:eastAsia="Times New Roman" w:hAnsi="Times New Roman"/>
                <w:sz w:val="18"/>
                <w:szCs w:val="18"/>
                <w:color w:val="B4B4B4"/>
              </w:rPr>
              <w:t>. . . . . . . . .</w:t>
            </w:r>
          </w:p>
        </w:tc>
        <w:tc>
          <w:tcPr>
            <w:tcW w:w="18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205,131</w:t>
            </w:r>
          </w:p>
        </w:tc>
        <w:tc>
          <w:tcPr>
            <w:tcW w:w="18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205,131</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b w:val="1"/>
                <w:bCs w:val="1"/>
                <w:color w:val="B4B4B4"/>
              </w:rPr>
              <w:t>. . . . . . . . . . . . . . . . . . . . . . . . . . . .</w:t>
            </w:r>
          </w:p>
        </w:tc>
        <w:tc>
          <w:tcPr>
            <w:tcW w:w="1820" w:type="dxa"/>
            <w:vAlign w:val="bottom"/>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206,471</w:t>
            </w:r>
          </w:p>
        </w:tc>
        <w:tc>
          <w:tcPr>
            <w:tcW w:w="1800" w:type="dxa"/>
            <w:vAlign w:val="bottom"/>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1,193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-744855</wp:posOffset>
            </wp:positionV>
            <wp:extent cx="7016115" cy="2436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6115" cy="2436495"/>
                    </a:xfrm>
                    <a:prstGeom prst="rect">
                      <a:avLst/>
                    </a:prstGeom>
                    <a:noFill/>
                  </pic:spPr>
                </pic:pic>
              </a:graphicData>
            </a:graphic>
          </wp:anchor>
        </w:drawing>
      </w:r>
    </w:p>
    <w:p>
      <w:pPr>
        <w:spacing w:after="0" w:line="367"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In the ordinary course of our business, we regularly use the services of subcontractors and enter into research and partnership arrangements with various CROs and with public-sector partners or subcontractors, who conduct clinical trials and studies in relation to the drug candidates. Off-balance sheet obligations in the table above are</w:t>
      </w: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commitments related to these research and partnership agreements. They are classified at less than one year maturity in the absence of a fixed schedule in contracts, in case of multiple-year contracts, such as CRO contracts. CRO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997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6115" cy="799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spacing w:after="0" w:line="236" w:lineRule="auto"/>
        <w:rPr>
          <w:sz w:val="20"/>
          <w:szCs w:val="20"/>
          <w:color w:val="auto"/>
        </w:rPr>
      </w:pPr>
      <w:r>
        <w:rPr>
          <w:rFonts w:ascii="Times New Roman" w:cs="Times New Roman" w:eastAsia="Times New Roman" w:hAnsi="Times New Roman"/>
          <w:sz w:val="17"/>
          <w:szCs w:val="17"/>
          <w:color w:val="auto"/>
        </w:rPr>
        <w:t>contracts include payments that are conditional to the completion of future development milestones. The majority of the commitments with our CROs are cancellable under certain circumstances such as insolvency, study put on hold</w:t>
      </w:r>
    </w:p>
    <w:p>
      <w:pPr>
        <w:ind w:left="300"/>
        <w:spacing w:after="0"/>
        <w:rPr>
          <w:sz w:val="20"/>
          <w:szCs w:val="20"/>
          <w:color w:val="auto"/>
        </w:rPr>
      </w:pPr>
      <w:r>
        <w:rPr>
          <w:rFonts w:ascii="Times New Roman" w:cs="Times New Roman" w:eastAsia="Times New Roman" w:hAnsi="Times New Roman"/>
          <w:sz w:val="18"/>
          <w:szCs w:val="18"/>
          <w:color w:val="auto"/>
        </w:rPr>
        <w:t>by competent authorities, breach in regulations or negligence in the provision of the services.</w:t>
      </w:r>
    </w:p>
    <w:p>
      <w:pPr>
        <w:spacing w:after="0" w:line="57" w:lineRule="exact"/>
        <w:rPr>
          <w:sz w:val="20"/>
          <w:szCs w:val="20"/>
          <w:color w:val="auto"/>
        </w:rPr>
      </w:pPr>
    </w:p>
    <w:p>
      <w:pPr>
        <w:jc w:val="both"/>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Our material cash requirements in the above table do not include potential future royalty payments related to the royalty certificates, amounting to 2% of the future net sales of obefazimod (worldwide and for all indications).</w:t>
      </w:r>
    </w:p>
    <w:p>
      <w:pPr>
        <w:ind w:left="300" w:right="419"/>
        <w:spacing w:after="0" w:line="218" w:lineRule="auto"/>
        <w:rPr>
          <w:sz w:val="20"/>
          <w:szCs w:val="20"/>
          <w:color w:val="auto"/>
        </w:rPr>
      </w:pPr>
      <w:r>
        <w:rPr>
          <w:rFonts w:ascii="Times New Roman" w:cs="Times New Roman" w:eastAsia="Times New Roman" w:hAnsi="Times New Roman"/>
          <w:sz w:val="18"/>
          <w:szCs w:val="18"/>
          <w:color w:val="auto"/>
        </w:rPr>
        <w:t>The amount of royalties that may be paid under the royalty certificates is capped at €172.0 million in the aggregate. Royalty payments are expected to take place before the expiry date of the certificates, which is 15 years after their issuance date (September 2, 2037).</w:t>
      </w:r>
    </w:p>
    <w:p>
      <w:pPr>
        <w:spacing w:after="0" w:line="64" w:lineRule="exact"/>
        <w:rPr>
          <w:sz w:val="20"/>
          <w:szCs w:val="20"/>
          <w:color w:val="auto"/>
        </w:rPr>
      </w:pPr>
    </w:p>
    <w:p>
      <w:pPr>
        <w:ind w:left="300" w:right="499" w:firstLine="441"/>
        <w:spacing w:after="0" w:line="226" w:lineRule="auto"/>
        <w:rPr>
          <w:sz w:val="20"/>
          <w:szCs w:val="20"/>
          <w:color w:val="auto"/>
        </w:rPr>
      </w:pPr>
      <w:r>
        <w:rPr>
          <w:rFonts w:ascii="Times New Roman" w:cs="Times New Roman" w:eastAsia="Times New Roman" w:hAnsi="Times New Roman"/>
          <w:sz w:val="18"/>
          <w:szCs w:val="18"/>
          <w:color w:val="auto"/>
        </w:rPr>
        <w:t>As of December 31, 2025, our contractual obligations were €207.7 million comprising off-balance sheet obligations of €205.1 million with respect to purchase obligations, lease obligations of €1.9 million and retirement benefits obligations of €0.6 million.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Expenditures Requirements</w:t>
      </w:r>
    </w:p>
    <w:p>
      <w:pPr>
        <w:spacing w:after="0" w:line="81" w:lineRule="exact"/>
        <w:rPr>
          <w:sz w:val="20"/>
          <w:szCs w:val="20"/>
          <w:color w:val="auto"/>
        </w:rPr>
      </w:pPr>
    </w:p>
    <w:p>
      <w:pPr>
        <w:jc w:val="both"/>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We have incurred substantial operating losses since inception and expect to continue to incur significant operating losses for the foreseeable future and may never become profitable. For the year ended December 31, 2025,</w:t>
      </w:r>
    </w:p>
    <w:p>
      <w:pPr>
        <w:jc w:val="both"/>
        <w:ind w:left="300" w:right="339"/>
        <w:spacing w:after="0" w:line="218" w:lineRule="auto"/>
        <w:rPr>
          <w:sz w:val="20"/>
          <w:szCs w:val="20"/>
          <w:color w:val="auto"/>
        </w:rPr>
      </w:pPr>
      <w:r>
        <w:rPr>
          <w:rFonts w:ascii="Times New Roman" w:cs="Times New Roman" w:eastAsia="Times New Roman" w:hAnsi="Times New Roman"/>
          <w:sz w:val="18"/>
          <w:szCs w:val="18"/>
          <w:color w:val="auto"/>
        </w:rPr>
        <w:t>we recorded a net loss of €336.1 million. 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 among other things:</w:t>
      </w:r>
    </w:p>
    <w:p>
      <w:pPr>
        <w:spacing w:after="0" w:line="77" w:lineRule="exact"/>
        <w:rPr>
          <w:sz w:val="20"/>
          <w:szCs w:val="20"/>
          <w:color w:val="auto"/>
        </w:rPr>
      </w:pPr>
    </w:p>
    <w:p>
      <w:pPr>
        <w:ind w:left="1280" w:hanging="328"/>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progress, timing, and completion of our preclinical studies and clinical trials;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drug candidates we identify and decide to develop;</w:t>
      </w:r>
    </w:p>
    <w:p>
      <w:pPr>
        <w:spacing w:after="0" w:line="90" w:lineRule="exact"/>
        <w:rPr>
          <w:rFonts w:ascii="Times New Roman" w:cs="Times New Roman" w:eastAsia="Times New Roman" w:hAnsi="Times New Roman"/>
          <w:sz w:val="18"/>
          <w:szCs w:val="18"/>
          <w:color w:val="auto"/>
        </w:rPr>
      </w:pPr>
    </w:p>
    <w:p>
      <w:pPr>
        <w:ind w:left="1280" w:right="659" w:hanging="328"/>
        <w:spacing w:after="0" w:line="237"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or infringements raised by third parties;</w:t>
      </w:r>
    </w:p>
    <w:p>
      <w:pPr>
        <w:spacing w:after="0" w:line="50" w:lineRule="exact"/>
        <w:rPr>
          <w:rFonts w:ascii="Times New Roman" w:cs="Times New Roman" w:eastAsia="Times New Roman" w:hAnsi="Times New Roman"/>
          <w:sz w:val="18"/>
          <w:szCs w:val="18"/>
          <w:color w:val="auto"/>
        </w:rPr>
      </w:pPr>
    </w:p>
    <w:p>
      <w:pPr>
        <w:jc w:val="both"/>
        <w:ind w:left="1280" w:right="319" w:hanging="328"/>
        <w:spacing w:after="0" w:line="231"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drug candidates and any delays we may encounter as a result of evolving regulatory requirements or adverse results with respect to any of these drug candidates;</w:t>
      </w:r>
    </w:p>
    <w:p>
      <w:pPr>
        <w:spacing w:after="0" w:line="50" w:lineRule="exact"/>
        <w:rPr>
          <w:rFonts w:ascii="Times New Roman" w:cs="Times New Roman" w:eastAsia="Times New Roman" w:hAnsi="Times New Roman"/>
          <w:sz w:val="18"/>
          <w:szCs w:val="18"/>
          <w:color w:val="auto"/>
        </w:rPr>
      </w:pPr>
    </w:p>
    <w:p>
      <w:pPr>
        <w:jc w:val="both"/>
        <w:ind w:left="1280" w:right="579" w:hanging="328"/>
        <w:spacing w:after="0" w:line="226"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anticipated commercialization of obefazimod and any other current or future drug candidates and costs involved in the creation of an effective sales and marketing organization;</w:t>
      </w:r>
    </w:p>
    <w:p>
      <w:pPr>
        <w:spacing w:after="0" w:line="63" w:lineRule="exact"/>
        <w:rPr>
          <w:rFonts w:ascii="Times New Roman" w:cs="Times New Roman" w:eastAsia="Times New Roman" w:hAnsi="Times New Roman"/>
          <w:sz w:val="18"/>
          <w:szCs w:val="18"/>
          <w:color w:val="auto"/>
        </w:rPr>
      </w:pPr>
    </w:p>
    <w:p>
      <w:pPr>
        <w:ind w:left="1280" w:right="639" w:hanging="328"/>
        <w:spacing w:after="0" w:line="237"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we may derive either directly or in the form of milestones or royalty payments from our existing or future partnership or collaboration agreements; and</w:t>
      </w:r>
    </w:p>
    <w:p>
      <w:pPr>
        <w:spacing w:after="0" w:line="50" w:lineRule="exact"/>
        <w:rPr>
          <w:rFonts w:ascii="Times New Roman" w:cs="Times New Roman" w:eastAsia="Times New Roman" w:hAnsi="Times New Roman"/>
          <w:sz w:val="18"/>
          <w:szCs w:val="18"/>
          <w:color w:val="auto"/>
        </w:rPr>
      </w:pPr>
    </w:p>
    <w:p>
      <w:pPr>
        <w:ind w:left="1280" w:right="459" w:hanging="328"/>
        <w:spacing w:after="0" w:line="250"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duration and impact of the Russia/Ukraine war, which may continue to adversely impact our business and clinical trials.</w:t>
      </w:r>
    </w:p>
    <w:p>
      <w:pPr>
        <w:spacing w:after="0" w:line="41" w:lineRule="exact"/>
        <w:rPr>
          <w:sz w:val="20"/>
          <w:szCs w:val="20"/>
          <w:color w:val="auto"/>
        </w:rPr>
      </w:pPr>
    </w:p>
    <w:p>
      <w:pPr>
        <w:ind w:left="300" w:right="539" w:firstLine="441"/>
        <w:spacing w:after="0" w:line="282" w:lineRule="auto"/>
        <w:rPr>
          <w:sz w:val="20"/>
          <w:szCs w:val="20"/>
          <w:color w:val="auto"/>
        </w:rPr>
      </w:pPr>
      <w:r>
        <w:rPr>
          <w:rFonts w:ascii="Times New Roman" w:cs="Times New Roman" w:eastAsia="Times New Roman" w:hAnsi="Times New Roman"/>
          <w:sz w:val="18"/>
          <w:szCs w:val="18"/>
          <w:color w:val="auto"/>
        </w:rPr>
        <w:t>See “Risk Factors—Risks Related to our Financial Position and Need for Additional Capital” for additional risks associated with our substantial capital requirements.</w:t>
      </w:r>
    </w:p>
    <w:p>
      <w:pPr>
        <w:spacing w:after="0" w:line="37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337" w:lineRule="exact"/>
        <w:rPr>
          <w:sz w:val="20"/>
          <w:szCs w:val="20"/>
          <w:color w:val="auto"/>
        </w:rPr>
      </w:pPr>
    </w:p>
    <w:p>
      <w:pPr>
        <w:ind w:left="300" w:right="539" w:firstLine="441"/>
        <w:spacing w:after="0" w:line="237" w:lineRule="auto"/>
        <w:rPr>
          <w:sz w:val="20"/>
          <w:szCs w:val="20"/>
          <w:color w:val="auto"/>
        </w:rPr>
      </w:pPr>
      <w:r>
        <w:rPr>
          <w:rFonts w:ascii="Times New Roman" w:cs="Times New Roman" w:eastAsia="Times New Roman" w:hAnsi="Times New Roman"/>
          <w:sz w:val="18"/>
          <w:szCs w:val="18"/>
          <w:color w:val="auto"/>
        </w:rPr>
        <w:t>For a discussion of our research and development activities, see “Item 4.B—Business Overview” and “Item 5.A—Operating Results.”</w:t>
      </w:r>
    </w:p>
    <w:p>
      <w:pPr>
        <w:spacing w:after="0" w:line="38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337" w:lineRule="exact"/>
        <w:rPr>
          <w:sz w:val="20"/>
          <w:szCs w:val="20"/>
          <w:color w:val="auto"/>
        </w:rPr>
      </w:pPr>
    </w:p>
    <w:p>
      <w:pPr>
        <w:ind w:left="300" w:right="599" w:firstLine="441"/>
        <w:spacing w:after="0" w:line="237" w:lineRule="auto"/>
        <w:rPr>
          <w:sz w:val="20"/>
          <w:szCs w:val="20"/>
          <w:color w:val="auto"/>
        </w:rPr>
      </w:pPr>
      <w:r>
        <w:rPr>
          <w:rFonts w:ascii="Times New Roman" w:cs="Times New Roman" w:eastAsia="Times New Roman" w:hAnsi="Times New Roman"/>
          <w:sz w:val="18"/>
          <w:szCs w:val="18"/>
          <w:color w:val="auto"/>
        </w:rPr>
        <w:t>For a discussion of trends, see “Item 4.B—Business Overview,” “Item 5.A—Operating Results” and “Item 5.B—Liquidity and Capital Resources.”</w:t>
      </w:r>
    </w:p>
    <w:p>
      <w:pPr>
        <w:sectPr>
          <w:pgSz w:w="11900" w:h="16838" w:orient="portrait"/>
          <w:cols w:equalWidth="0" w:num="1">
            <w:col w:w="9019"/>
          </w:cols>
          <w:pgMar w:left="1440" w:top="86" w:right="1440" w:bottom="0" w:gutter="0" w:footer="0" w:header="0"/>
        </w:sectPr>
      </w:pPr>
    </w:p>
    <w:p>
      <w:pPr>
        <w:spacing w:after="0" w:line="370"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ectPr>
          <w:pgSz w:w="11900" w:h="16838" w:orient="portrait"/>
          <w:cols w:equalWidth="0" w:num="1">
            <w:col w:w="9019"/>
          </w:cols>
          <w:pgMar w:left="1440" w:top="86" w:right="144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648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16115" cy="1064895"/>
                    </a:xfrm>
                    <a:prstGeom prst="rect">
                      <a:avLst/>
                    </a:prstGeom>
                    <a:noFill/>
                  </pic:spPr>
                </pic:pic>
              </a:graphicData>
            </a:graphic>
          </wp:anchor>
        </w:drawing>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1363" w:right="1440" w:bottom="2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599" w:firstLine="441"/>
        <w:spacing w:after="0" w:line="236" w:lineRule="auto"/>
        <w:rPr>
          <w:sz w:val="20"/>
          <w:szCs w:val="20"/>
          <w:color w:val="auto"/>
        </w:rPr>
      </w:pPr>
      <w:r>
        <w:rPr>
          <w:rFonts w:ascii="Times New Roman" w:cs="Times New Roman" w:eastAsia="Times New Roman" w:hAnsi="Times New Roman"/>
          <w:sz w:val="17"/>
          <w:szCs w:val="17"/>
          <w:color w:val="auto"/>
        </w:rPr>
        <w:t>Our audited financial statements as of, and for the years ended, December 31, 2025, 2024 and 2023 were prepared in accordance with International Financial Reporting Standards (“IFRS”), as issued by the International</w:t>
      </w:r>
    </w:p>
    <w:p>
      <w:pPr>
        <w:ind w:left="300" w:right="299"/>
        <w:spacing w:after="0" w:line="226" w:lineRule="auto"/>
        <w:rPr>
          <w:sz w:val="20"/>
          <w:szCs w:val="20"/>
          <w:color w:val="auto"/>
        </w:rPr>
      </w:pPr>
      <w:r>
        <w:rPr>
          <w:rFonts w:ascii="Times New Roman" w:cs="Times New Roman" w:eastAsia="Times New Roman" w:hAnsi="Times New Roman"/>
          <w:sz w:val="18"/>
          <w:szCs w:val="18"/>
          <w:color w:val="auto"/>
        </w:rPr>
        <w:t>Accounting Standards Board (“IASB”), and IFRS as adopted by the European Union ("EU") regulation n°1606/2022 of July 19, 2022.</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description of accounting policies and estimates along with a description of the recently-issued accounting</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pronouncements that may potentially impact our financial position and results of operations is disclosed in Notes 4 and 2 respectively to our financial statements as of and for the year ended December 31, 2025, appearing elsewhere in this Annual Report on Form 20-F. We applied the amendment to IAS 21 The Effects of Changes in Foreign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Exchange Rates – Lack of Exchangeability that is effective as of December 31, 2025.</w:t>
      </w:r>
    </w:p>
    <w:p>
      <w:pPr>
        <w:spacing w:after="0" w:line="57" w:lineRule="exact"/>
        <w:rPr>
          <w:sz w:val="20"/>
          <w:szCs w:val="20"/>
          <w:color w:val="auto"/>
        </w:rPr>
      </w:pPr>
    </w:p>
    <w:p>
      <w:pPr>
        <w:jc w:val="both"/>
        <w:ind w:left="300" w:right="419" w:firstLine="441"/>
        <w:spacing w:after="0" w:line="236" w:lineRule="auto"/>
        <w:rPr>
          <w:sz w:val="20"/>
          <w:szCs w:val="20"/>
          <w:color w:val="auto"/>
        </w:rPr>
      </w:pPr>
      <w:r>
        <w:rPr>
          <w:rFonts w:ascii="Times New Roman" w:cs="Times New Roman" w:eastAsia="Times New Roman" w:hAnsi="Times New Roman"/>
          <w:sz w:val="17"/>
          <w:szCs w:val="17"/>
          <w:color w:val="auto"/>
        </w:rPr>
        <w:t>We did not have to change our accounting policies or make retrospective adjustments as a result of adopting this standard. The impacts resulting from the application of this amendment are described in Note 2 to our financial</w:t>
      </w: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statements as of and for the year ended December 31, 2025, appearing elsewhere in this Annual Report on Form 20-F.</w:t>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 did not elect for early application of the new standards, amendments and interpretations, which were</w:t>
      </w:r>
    </w:p>
    <w:p>
      <w:pPr>
        <w:spacing w:after="0" w:line="2" w:lineRule="exact"/>
        <w:rPr>
          <w:sz w:val="20"/>
          <w:szCs w:val="20"/>
          <w:color w:val="auto"/>
        </w:rPr>
      </w:pP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issued but not mandatory as of December 31, 2025. Our assessment of the impacts resulting from the application of these recently issued accounting pronouncements is described in Note 2 to our financial statements as of and for the year ended December 31, 2025, appearing elsewhere in this Annual Report on Form 20-F.</w:t>
      </w:r>
    </w:p>
    <w:p>
      <w:pPr>
        <w:sectPr>
          <w:pgSz w:w="11900" w:h="16838" w:orient="portrait"/>
          <w:cols w:equalWidth="0" w:num="1">
            <w:col w:w="9019"/>
          </w:cols>
          <w:pgMar w:left="1440" w:top="1363" w:right="1440" w:bottom="28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133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16115" cy="213360"/>
                    </a:xfrm>
                    <a:prstGeom prst="rect">
                      <a:avLst/>
                    </a:prstGeom>
                    <a:noFill/>
                  </pic:spPr>
                </pic:pic>
              </a:graphicData>
            </a:graphic>
          </wp:anchor>
        </w:drawing>
      </w:r>
    </w:p>
    <w:p>
      <w:pPr>
        <w:sectPr>
          <w:pgSz w:w="11900" w:h="16838" w:orient="portrait"/>
          <w:cols w:equalWidth="0" w:num="1">
            <w:col w:w="9019"/>
          </w:cols>
          <w:pgMar w:left="1440" w:top="1363" w:right="1440" w:bottom="285" w:gutter="0" w:footer="0" w:header="0"/>
          <w:type w:val="continuous"/>
        </w:sectPr>
      </w:pPr>
    </w:p>
    <w:bookmarkStart w:id="87" w:name="page88"/>
    <w:bookmarkEnd w:id="87"/>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848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6115" cy="884872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tab/>
        <w:t>Directors and Senior Management</w:t>
      </w:r>
    </w:p>
    <w:p>
      <w:pPr>
        <w:spacing w:after="0" w:line="121" w:lineRule="exact"/>
        <w:rPr>
          <w:sz w:val="20"/>
          <w:szCs w:val="20"/>
          <w:color w:val="auto"/>
        </w:rPr>
      </w:pPr>
    </w:p>
    <w:p>
      <w:pPr>
        <w:ind w:left="300" w:right="439" w:firstLine="441"/>
        <w:spacing w:after="0" w:line="22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Annual Report on Form 20-F. The business address of our executive officers and directors is our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executive offices located at 7-11 boulevard Haussmann, 75009 Paris, France.</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8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
        </w:trPr>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36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Marc de Garidel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Didier Blondel </w:t>
            </w:r>
            <w:r>
              <w:rPr>
                <w:rFonts w:ascii="Times New Roman" w:cs="Times New Roman" w:eastAsia="Times New Roman" w:hAnsi="Times New Roman"/>
                <w:sz w:val="18"/>
                <w:szCs w:val="18"/>
                <w:color w:val="B4B4B4"/>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Board</w:t>
            </w:r>
          </w:p>
        </w:tc>
      </w:tr>
      <w:tr>
        <w:trPr>
          <w:trHeight w:val="248"/>
        </w:trPr>
        <w:tc>
          <w:tcPr>
            <w:tcW w:w="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1"/>
                <w:szCs w:val="21"/>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Secretary</w:t>
            </w:r>
          </w:p>
        </w:tc>
      </w:tr>
      <w:tr>
        <w:trPr>
          <w:trHeight w:val="25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Fabio Cataldi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22"/>
                <w:szCs w:val="22"/>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5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4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Sylvie Grégoire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Board Chair, Independent Director, Chair of the Nomination and</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Governance Committee, Member of the Audit Committee</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June Lee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 Chair of the Remuneration Committee, Chair</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the Science and Clinical Committee</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Troy Ignelzi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 Chair of the Audit Committee, Member of the</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Remuneration Committee</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Corinna zur Bonsen-Thomas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 Member of the Audit Committee, Member of</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Nomination and Governance Committee</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Camilla Soenderby</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 Chair of the Commercial Committee, Member</w:t>
            </w:r>
          </w:p>
        </w:tc>
      </w:tr>
      <w:tr>
        <w:trPr>
          <w:trHeight w:val="230"/>
        </w:trPr>
        <w:tc>
          <w:tcPr>
            <w:tcW w:w="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of the Remuneration Committee, Member of the Science and Clinical</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Committee, Member of the Nomination and Governance Committee</w:t>
            </w: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Dominik Höchli </w:t>
            </w:r>
            <w:r>
              <w:rPr>
                <w:rFonts w:ascii="Times New Roman" w:cs="Times New Roman" w:eastAsia="Times New Roman" w:hAnsi="Times New Roman"/>
                <w:sz w:val="18"/>
                <w:szCs w:val="18"/>
                <w:color w:val="B4B4B4"/>
              </w:rPr>
              <w:t>..........................</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Director, Member of the Science and Clinical</w:t>
            </w:r>
          </w:p>
        </w:tc>
      </w:tr>
      <w:tr>
        <w:trPr>
          <w:trHeight w:val="234"/>
        </w:trPr>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Committee, Member of the Commercial Committee</w:t>
            </w:r>
          </w:p>
        </w:tc>
      </w:tr>
    </w:tbl>
    <w:p>
      <w:pPr>
        <w:spacing w:after="0" w:line="358" w:lineRule="exact"/>
        <w:rPr>
          <w:sz w:val="20"/>
          <w:szCs w:val="20"/>
          <w:color w:val="auto"/>
        </w:rPr>
      </w:pPr>
    </w:p>
    <w:p>
      <w:pPr>
        <w:ind w:left="520" w:right="459" w:hanging="229"/>
        <w:spacing w:after="0" w:line="284" w:lineRule="auto"/>
        <w:tabs>
          <w:tab w:leader="none" w:pos="52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Independence criteria assessed in accordance with the definition provided in the Middlenext Code of Corporate Governance. Marc de Garidel is also a director but is listed with the Executive Officers.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Marc de Garidel </w:t>
      </w:r>
      <w:r>
        <w:rPr>
          <w:rFonts w:ascii="Times New Roman" w:cs="Times New Roman" w:eastAsia="Times New Roman" w:hAnsi="Times New Roman"/>
          <w:sz w:val="18"/>
          <w:szCs w:val="18"/>
          <w:color w:val="auto"/>
        </w:rPr>
        <w:t>has served as our Chief Executive Officer since May 5, 2023 and Interim Chairman of the</w:t>
      </w:r>
    </w:p>
    <w:p>
      <w:pPr>
        <w:spacing w:after="0" w:line="6"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Board from May 5, 2023 to July 2024. He is currently the Chief Executive Officer and member of our Board and has more than 40 years of experience in the pharmaceutical and biotechnology sector, including 12 years of experience as Chief Executive Officer of pharmaceutical and biotechnology companies. Between July 2021 and April 2023, he</w:t>
      </w:r>
    </w:p>
    <w:p>
      <w:pPr>
        <w:ind w:left="300"/>
        <w:spacing w:after="0" w:line="206" w:lineRule="auto"/>
        <w:rPr>
          <w:sz w:val="20"/>
          <w:szCs w:val="20"/>
          <w:color w:val="auto"/>
        </w:rPr>
      </w:pPr>
      <w:r>
        <w:rPr>
          <w:rFonts w:ascii="Times New Roman" w:cs="Times New Roman" w:eastAsia="Times New Roman" w:hAnsi="Times New Roman"/>
          <w:sz w:val="18"/>
          <w:szCs w:val="18"/>
          <w:color w:val="auto"/>
        </w:rPr>
        <w:t>served as Chief Executive Officer of CinCor Pharma and led its successful sale for up to $1.8 billion, subject to the</w:t>
      </w:r>
    </w:p>
    <w:p>
      <w:pPr>
        <w:ind w:left="300"/>
        <w:spacing w:after="0" w:line="203" w:lineRule="auto"/>
        <w:rPr>
          <w:sz w:val="20"/>
          <w:szCs w:val="20"/>
          <w:color w:val="auto"/>
        </w:rPr>
      </w:pPr>
      <w:r>
        <w:rPr>
          <w:rFonts w:ascii="Times New Roman" w:cs="Times New Roman" w:eastAsia="Times New Roman" w:hAnsi="Times New Roman"/>
          <w:sz w:val="18"/>
          <w:szCs w:val="18"/>
          <w:color w:val="auto"/>
        </w:rPr>
        <w:t>achievement of certain milestones, to AstraZeneca in February 2023. Between September 2020 and May 2021,</w:t>
      </w:r>
    </w:p>
    <w:p>
      <w:pPr>
        <w:ind w:left="300"/>
        <w:spacing w:after="0" w:line="232" w:lineRule="auto"/>
        <w:rPr>
          <w:sz w:val="20"/>
          <w:szCs w:val="20"/>
          <w:color w:val="auto"/>
        </w:rPr>
      </w:pPr>
      <w:r>
        <w:rPr>
          <w:rFonts w:ascii="Times New Roman" w:cs="Times New Roman" w:eastAsia="Times New Roman" w:hAnsi="Times New Roman"/>
          <w:sz w:val="17"/>
          <w:szCs w:val="17"/>
          <w:color w:val="auto"/>
        </w:rPr>
        <w:t>Mr. de Garidel served as Chief Executive Officer of AZTherapies. From April 2018 until August 2020, he was Chief</w:t>
      </w:r>
    </w:p>
    <w:p>
      <w:pPr>
        <w:spacing w:after="0" w:line="1"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Executive Officer of Corvidia Therapeutics and led its sale to Novo Nordisk for $2.1 billion in total consideration. Mr. de Garidel was the Chief Executive Officer of Ipsen between November 2010 and July 2016, overseeing the development of its U.S. presence. Prior to that, he worked for Amgen and Eli Lilly in jobs of increasing</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responsibilities and in various markets, including the United States and Europe. Mr. de Garidel has served as chairman of the board of directors of Ipsen since 2010 and has been a member of the board of directors of Claris Bio since 2020. He holds a degree in Civil Engineering from the Ecole des Travaux Publics in Paris, a Master’s degree</w:t>
      </w:r>
    </w:p>
    <w:p>
      <w:pPr>
        <w:spacing w:after="0" w:line="2" w:lineRule="exact"/>
        <w:rPr>
          <w:sz w:val="20"/>
          <w:szCs w:val="20"/>
          <w:color w:val="auto"/>
        </w:rPr>
      </w:pPr>
    </w:p>
    <w:p>
      <w:pPr>
        <w:jc w:val="both"/>
        <w:ind w:left="300" w:right="479"/>
        <w:spacing w:after="0" w:line="218" w:lineRule="auto"/>
        <w:rPr>
          <w:sz w:val="20"/>
          <w:szCs w:val="20"/>
          <w:color w:val="auto"/>
        </w:rPr>
      </w:pPr>
      <w:r>
        <w:rPr>
          <w:rFonts w:ascii="Times New Roman" w:cs="Times New Roman" w:eastAsia="Times New Roman" w:hAnsi="Times New Roman"/>
          <w:sz w:val="18"/>
          <w:szCs w:val="18"/>
          <w:color w:val="auto"/>
        </w:rPr>
        <w:t>in International Management from Thunderbird Global School Management and an executive MBA from Harvard Business School. We believe that Mr. de Garidel is qualified to serve on our Board because of his experience as an executive and member of the boards of companies in the life sciences industry.</w:t>
      </w:r>
    </w:p>
    <w:p>
      <w:pPr>
        <w:spacing w:after="0" w:line="60" w:lineRule="exact"/>
        <w:rPr>
          <w:sz w:val="20"/>
          <w:szCs w:val="20"/>
          <w:color w:val="auto"/>
        </w:rPr>
      </w:pPr>
    </w:p>
    <w:p>
      <w:pPr>
        <w:ind w:left="300" w:right="339" w:firstLine="441"/>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Didier Blondel </w:t>
      </w:r>
      <w:r>
        <w:rPr>
          <w:rFonts w:ascii="Times New Roman" w:cs="Times New Roman" w:eastAsia="Times New Roman" w:hAnsi="Times New Roman"/>
          <w:sz w:val="17"/>
          <w:szCs w:val="17"/>
          <w:color w:val="auto"/>
        </w:rPr>
        <w:t>has served as our Executive Vice President, Chief Financial Officer and Board Secretary since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2017. From January 2012 to December 2016, he was Chief Financial Officer at Sanofi Pasteur MSD, a Lyon-based joint-venture between Sanofi and Merck and a European leader in human vaccines. Prior to that, over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5849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16115"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59"/>
        <w:spacing w:after="0" w:line="236" w:lineRule="auto"/>
        <w:rPr>
          <w:sz w:val="20"/>
          <w:szCs w:val="20"/>
          <w:color w:val="auto"/>
        </w:rPr>
      </w:pPr>
      <w:r>
        <w:rPr>
          <w:rFonts w:ascii="Times New Roman" w:cs="Times New Roman" w:eastAsia="Times New Roman" w:hAnsi="Times New Roman"/>
          <w:sz w:val="17"/>
          <w:szCs w:val="17"/>
          <w:color w:val="auto"/>
        </w:rPr>
        <w:t>20-year period, Mr. Blondel held a wide range of senior finance positions at Sanofi, in Commercial Operations and then research and development, where he became global research and development Chief Financial Officer. He</w:t>
      </w:r>
    </w:p>
    <w:p>
      <w:pPr>
        <w:ind w:left="300"/>
        <w:spacing w:after="0" w:line="203" w:lineRule="auto"/>
        <w:rPr>
          <w:sz w:val="20"/>
          <w:szCs w:val="20"/>
          <w:color w:val="auto"/>
        </w:rPr>
      </w:pPr>
      <w:r>
        <w:rPr>
          <w:rFonts w:ascii="Times New Roman" w:cs="Times New Roman" w:eastAsia="Times New Roman" w:hAnsi="Times New Roman"/>
          <w:sz w:val="18"/>
          <w:szCs w:val="18"/>
          <w:color w:val="auto"/>
        </w:rPr>
        <w:t>started his career as an auditor at PricewaterhouseCoopers, after graduating with a Master’s degree in Business and</w:t>
      </w:r>
    </w:p>
    <w:p>
      <w:pPr>
        <w:ind w:left="300"/>
        <w:spacing w:after="0" w:line="204" w:lineRule="auto"/>
        <w:rPr>
          <w:sz w:val="20"/>
          <w:szCs w:val="20"/>
          <w:color w:val="auto"/>
        </w:rPr>
      </w:pPr>
      <w:r>
        <w:rPr>
          <w:rFonts w:ascii="Times New Roman" w:cs="Times New Roman" w:eastAsia="Times New Roman" w:hAnsi="Times New Roman"/>
          <w:sz w:val="18"/>
          <w:szCs w:val="18"/>
          <w:color w:val="auto"/>
        </w:rPr>
        <w:t>Administration from the Commercial Institute of Nancy, a leading French business school. Mr. Blondel also holds a</w:t>
      </w:r>
    </w:p>
    <w:p>
      <w:pPr>
        <w:ind w:left="300"/>
        <w:spacing w:after="0" w:line="232" w:lineRule="auto"/>
        <w:rPr>
          <w:sz w:val="20"/>
          <w:szCs w:val="20"/>
          <w:color w:val="auto"/>
        </w:rPr>
      </w:pPr>
      <w:r>
        <w:rPr>
          <w:rFonts w:ascii="Times New Roman" w:cs="Times New Roman" w:eastAsia="Times New Roman" w:hAnsi="Times New Roman"/>
          <w:sz w:val="17"/>
          <w:szCs w:val="17"/>
          <w:color w:val="auto"/>
        </w:rPr>
        <w:t>Master’s degree in Finance and Accounting from Nancy II University, as well as a Graduate Diploma in Finance and</w:t>
      </w:r>
    </w:p>
    <w:p>
      <w:pPr>
        <w:ind w:left="300"/>
        <w:spacing w:after="0"/>
        <w:rPr>
          <w:sz w:val="20"/>
          <w:szCs w:val="20"/>
          <w:color w:val="auto"/>
        </w:rPr>
      </w:pPr>
      <w:r>
        <w:rPr>
          <w:rFonts w:ascii="Times New Roman" w:cs="Times New Roman" w:eastAsia="Times New Roman" w:hAnsi="Times New Roman"/>
          <w:sz w:val="18"/>
          <w:szCs w:val="18"/>
          <w:color w:val="auto"/>
        </w:rPr>
        <w:t>Accounting.</w:t>
      </w:r>
    </w:p>
    <w:p>
      <w:pPr>
        <w:sectPr>
          <w:pgSz w:w="11900" w:h="16838" w:orient="portrait"/>
          <w:cols w:equalWidth="0" w:num="1">
            <w:col w:w="9019"/>
          </w:cols>
          <w:pgMar w:left="1440" w:top="1062" w:right="1440" w:bottom="0" w:gutter="0" w:footer="0" w:header="0"/>
        </w:sectPr>
      </w:pPr>
    </w:p>
    <w:bookmarkStart w:id="88" w:name="page89"/>
    <w:bookmarkEnd w:id="88"/>
    <w:p>
      <w:pPr>
        <w:spacing w:after="0" w:line="11" w:lineRule="exact"/>
        <w:rPr>
          <w:sz w:val="20"/>
          <w:szCs w:val="20"/>
          <w:color w:val="auto"/>
        </w:rPr>
      </w:pPr>
    </w:p>
    <w:p>
      <w:pPr>
        <w:ind w:left="300" w:right="419" w:firstLine="441"/>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Fabio Cataldi </w:t>
      </w:r>
      <w:r>
        <w:rPr>
          <w:rFonts w:ascii="Times New Roman" w:cs="Times New Roman" w:eastAsia="Times New Roman" w:hAnsi="Times New Roman"/>
          <w:sz w:val="17"/>
          <w:szCs w:val="17"/>
          <w:color w:val="auto"/>
        </w:rPr>
        <w:t>has served as our Chief Medical Officer since July 2024. Dr. Cataldi has over 20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the development and commercialization of innovative therapies. He brings deep clinical, medical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-214630</wp:posOffset>
            </wp:positionV>
            <wp:extent cx="7016115" cy="7477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16115" cy="7477125"/>
                    </a:xfrm>
                    <a:prstGeom prst="rect">
                      <a:avLst/>
                    </a:prstGeom>
                    <a:noFill/>
                  </pic:spPr>
                </pic:pic>
              </a:graphicData>
            </a:graphic>
          </wp:anchor>
        </w:drawing>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scientific knowledge and expertise in immunology and gastroenterology, having served in senior research and development roles at Arena Pharmaceuticals, AbbVie, Shire, Pfizer, Biogen and Novartis. Most recently, he held the role of CMO at Landos Biopharma until the successful sale to AbbVie. Dr. Cataldi currently manages our clinical</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operations, clinical development, pharmacovigilance and medical affairs. Dr. Cataldi holds an M.D. in Medicine and Surgery from the Seconda Università degli Studi di Napoli.</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0" w:lineRule="exact"/>
        <w:rPr>
          <w:sz w:val="20"/>
          <w:szCs w:val="20"/>
          <w:color w:val="auto"/>
        </w:rPr>
      </w:pPr>
    </w:p>
    <w:p>
      <w:pPr>
        <w:ind w:left="300" w:right="359" w:firstLine="441"/>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Sylvie Grégoire </w:t>
      </w:r>
      <w:r>
        <w:rPr>
          <w:rFonts w:ascii="Times New Roman" w:cs="Times New Roman" w:eastAsia="Times New Roman" w:hAnsi="Times New Roman"/>
          <w:sz w:val="18"/>
          <w:szCs w:val="18"/>
          <w:color w:val="auto"/>
        </w:rPr>
        <w:t>has served as Chair of our Board and independent director since July 2024. Dr. Grégoire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distinguished pharmaceutical and biotech executive with over 30 years in international leadership roles. Her expertise encompasses late-stage development, financial raises and commercial expansion. Dr. Grégoire is the Co-</w:t>
      </w:r>
    </w:p>
    <w:p>
      <w:pPr>
        <w:spacing w:after="0" w:line="3"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Founder and was Executive Chair of the Board at EIP Pharma Inc., based in Boston, MA. Under her leadership, EIP Pharma transitioned into CervoMed, a publicly listed company on NASDAQ (CRVO), developing the first disease-modifying treatment for Dementia with Lewy Bodies. Dr. Grégoire has previously served on the board of Cubist,</w:t>
      </w:r>
    </w:p>
    <w:p>
      <w:pPr>
        <w:spacing w:after="0" w:line="2" w:lineRule="exact"/>
        <w:rPr>
          <w:sz w:val="20"/>
          <w:szCs w:val="20"/>
          <w:color w:val="auto"/>
        </w:rPr>
      </w:pP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Glycofi, Vifor Pharma, Revvity, Novo Nordisk and chaired the board of IDM Pharma, Corvidia and CervoMed. Dr. Grégoire is currently a member of the board of CervoMed and F2G Ltd. Dr. Grégoire holds a Science College degree from Séminaire de Sherbrooke in Canada, a BA in Pharmacy from Laval University in Canada, and a</w:t>
      </w:r>
    </w:p>
    <w:p>
      <w:pPr>
        <w:spacing w:after="0" w:line="2"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Pharmacy Doctorate degree from the State University of New York at Buffalo. We believe that Dr. Grégoire is qualified to serve on our Board because of her experience as an executive and member of the boards of companies in the life sciences industry.</w:t>
      </w:r>
    </w:p>
    <w:p>
      <w:pPr>
        <w:spacing w:after="0" w:line="60" w:lineRule="exact"/>
        <w:rPr>
          <w:sz w:val="20"/>
          <w:szCs w:val="20"/>
          <w:color w:val="auto"/>
        </w:rPr>
      </w:pPr>
    </w:p>
    <w:p>
      <w:pPr>
        <w:ind w:left="300" w:right="679" w:firstLine="441"/>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June Lee </w:t>
      </w:r>
      <w:r>
        <w:rPr>
          <w:rFonts w:ascii="Times New Roman" w:cs="Times New Roman" w:eastAsia="Times New Roman" w:hAnsi="Times New Roman"/>
          <w:sz w:val="17"/>
          <w:szCs w:val="17"/>
          <w:color w:val="auto"/>
        </w:rPr>
        <w:t>has served as one of our independent directors since July 2023. Dr. Lee has served as a venture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 at 5AM Venture Management, LLC since July 2022. Dr. Lee was most recently Founder and Chief Executive Officer of Esker Therapeutics until September 2021. Dr. Lee previously served as the Executive Vice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President and Chief Development Officer of MyoKardia, Inc. from January 2019 to June 2020, and was the Chief Operating Officer from February 2017 until January 2019, and the Chief Development Officer from October 2017 to January 2019. From April 2011 until February 2017, Dr. Lee served on the faculty of the University of California,</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San Francisco, or UCSF, where she was director of the Catalyst program at the Clinical and Translational Science Institute and a professor in the School of Medicine, and was responsible for overall strategy and operations for enabling and supporting translational research at the university. Catalyst is an internal UCSF accelerator for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therapeutics, devices, diagnostics, and digital health technologies. Prior to UCSF, Dr. Lee was a disease area lead, early clinical development, at Genentech, Inc. from 2006 to 2011, where she was responsible for all strategy and activities as well as management of staff, budget, and resource allocation in the early clinical development group in</w:t>
      </w:r>
    </w:p>
    <w:p>
      <w:pPr>
        <w:spacing w:after="0" w:line="2" w:lineRule="exact"/>
        <w:rPr>
          <w:sz w:val="20"/>
          <w:szCs w:val="20"/>
          <w:color w:val="auto"/>
        </w:rPr>
      </w:pP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multiple therapeutic areas. Dr. Lee served as a Medical Director in the clinical development group at Genentech, Inc. from 2004 to 2006, where she was responsible for clinical activities for licensed product of the company. She currently serves on Johns Hopkins University Center for Therapeutic Translation’s Advisory Board, serves on the</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board of directors of Tenaya Therapeutics Inc, Eledon Pharmaceuticals Inc. and GenEdit, is a member of the Scientific Advisory Board for Foresite Labs, and previously served as a member of the board of directors of CinCor Pharma, Inc. and Renasant Bio. Dr. Lee holds a B.A. in chemistry from Johns Hopkins University and an M.D. from</w:t>
      </w:r>
    </w:p>
    <w:p>
      <w:pPr>
        <w:spacing w:after="0" w:line="2" w:lineRule="exact"/>
        <w:rPr>
          <w:sz w:val="20"/>
          <w:szCs w:val="20"/>
          <w:color w:val="auto"/>
        </w:rPr>
      </w:pPr>
    </w:p>
    <w:p>
      <w:pPr>
        <w:ind w:left="300" w:right="899"/>
        <w:spacing w:after="0" w:line="226" w:lineRule="auto"/>
        <w:rPr>
          <w:sz w:val="20"/>
          <w:szCs w:val="20"/>
          <w:color w:val="auto"/>
        </w:rPr>
      </w:pPr>
      <w:r>
        <w:rPr>
          <w:rFonts w:ascii="Times New Roman" w:cs="Times New Roman" w:eastAsia="Times New Roman" w:hAnsi="Times New Roman"/>
          <w:sz w:val="18"/>
          <w:szCs w:val="18"/>
          <w:color w:val="auto"/>
        </w:rPr>
        <w:t>the University of California, Davis. We believe that Dr. Lee is qualified to serve on our Board because of her experience as an investor and member of the boards of companies in the life sciences industry.</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Troy Ignelzi </w:t>
      </w:r>
      <w:r>
        <w:rPr>
          <w:rFonts w:ascii="Times New Roman" w:cs="Times New Roman" w:eastAsia="Times New Roman" w:hAnsi="Times New Roman"/>
          <w:sz w:val="18"/>
          <w:szCs w:val="18"/>
          <w:color w:val="auto"/>
        </w:rPr>
        <w:t>has served as one of our independent directors since July 2023. Mr. Ignelzi has served as the</w:t>
      </w:r>
    </w:p>
    <w:p>
      <w:pPr>
        <w:spacing w:after="0" w:line="6" w:lineRule="exact"/>
        <w:rPr>
          <w:sz w:val="20"/>
          <w:szCs w:val="20"/>
          <w:color w:val="auto"/>
        </w:rPr>
      </w:pPr>
    </w:p>
    <w:p>
      <w:pPr>
        <w:ind w:left="300" w:right="639"/>
        <w:spacing w:after="0" w:line="220" w:lineRule="auto"/>
        <w:rPr>
          <w:sz w:val="20"/>
          <w:szCs w:val="20"/>
          <w:color w:val="auto"/>
        </w:rPr>
      </w:pPr>
      <w:r>
        <w:rPr>
          <w:rFonts w:ascii="Times New Roman" w:cs="Times New Roman" w:eastAsia="Times New Roman" w:hAnsi="Times New Roman"/>
          <w:sz w:val="17"/>
          <w:szCs w:val="17"/>
          <w:color w:val="auto"/>
        </w:rPr>
        <w:t>Chief Financial Officer of Rapport Therapeutics, Inc. since October 2023. Prior to that, Mr. Ignelzi served as the Chief Financial Officer of Karuna Therapeutics, Inc. from March 2019 to October 2023 until its sale to Bristol Myers Squibb. Prior to his position at Karuna Therapeutics, Mr. Ignelzi was the Chief Financial Officer of</w:t>
      </w:r>
    </w:p>
    <w:p>
      <w:pPr>
        <w:spacing w:after="0" w:line="2" w:lineRule="exact"/>
        <w:rPr>
          <w:sz w:val="20"/>
          <w:szCs w:val="20"/>
          <w:color w:val="auto"/>
        </w:rPr>
      </w:pP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scPharmaceuticals Inc. from March 2016 to February 2019, and provided consulting services to scPharmaceuticals Inc. in February and March 2016. Mr. Ignelzi previously served as Chief Financial Officer and as a member of the executive leadership teams at Juventas Therapeutics Inc., a privately held biotechnology company, from October</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2014 to February 2016. From October 2013 to October 2014, Mr. Ignelzi served as Senior Vice President— Operations and Business Development of Pharmalex GmbH. Prior to Pharmalex, Mr. Ignelzi was Vice President— Business Development at Esperion Therapeutics, Inc., a public pharmaceutical company, from January 2009 to</w:t>
      </w:r>
    </w:p>
    <w:p>
      <w:pPr>
        <w:spacing w:after="0" w:line="2" w:lineRule="exact"/>
        <w:rPr>
          <w:sz w:val="20"/>
          <w:szCs w:val="20"/>
          <w:color w:val="auto"/>
        </w:rPr>
      </w:pPr>
    </w:p>
    <w:p>
      <w:pPr>
        <w:ind w:left="300" w:right="659"/>
        <w:spacing w:after="0" w:line="220" w:lineRule="auto"/>
        <w:rPr>
          <w:sz w:val="20"/>
          <w:szCs w:val="20"/>
          <w:color w:val="auto"/>
        </w:rPr>
      </w:pPr>
      <w:r>
        <w:rPr>
          <w:rFonts w:ascii="Times New Roman" w:cs="Times New Roman" w:eastAsia="Times New Roman" w:hAnsi="Times New Roman"/>
          <w:sz w:val="17"/>
          <w:szCs w:val="17"/>
          <w:color w:val="auto"/>
        </w:rPr>
        <w:t>September 2013. Mr. Ignelzi served as Vice President, Business Development &amp; Strategic Planning at Insys Therapeutics, Inc., a specialty pharmaceutical company, from February 2007 to February 2009. Previously, Mr. Ignelzi had served as a specialty senior sales representative at Eli Lilly from February 2002 to August 2005. Mr.</w:t>
      </w:r>
    </w:p>
    <w:p>
      <w:pPr>
        <w:spacing w:after="0" w:line="2" w:lineRule="exact"/>
        <w:rPr>
          <w:sz w:val="20"/>
          <w:szCs w:val="20"/>
          <w:color w:val="auto"/>
        </w:rPr>
      </w:pPr>
    </w:p>
    <w:p>
      <w:pPr>
        <w:ind w:left="300" w:right="339"/>
        <w:spacing w:after="0" w:line="239" w:lineRule="auto"/>
        <w:rPr>
          <w:sz w:val="20"/>
          <w:szCs w:val="20"/>
          <w:color w:val="auto"/>
        </w:rPr>
      </w:pPr>
      <w:r>
        <w:rPr>
          <w:rFonts w:ascii="Times New Roman" w:cs="Times New Roman" w:eastAsia="Times New Roman" w:hAnsi="Times New Roman"/>
          <w:sz w:val="17"/>
          <w:szCs w:val="17"/>
          <w:color w:val="auto"/>
        </w:rPr>
        <w:t>Ignelzi currently serves as a member of the board of directors of Contineum Therapeutics, Inc. and previously served as a member of the board of directors of CinCor Pharma, Inc. and Vedanta Biosciences, Inc. Mr. Ignelzi has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956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1611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759"/>
        <w:spacing w:after="0" w:line="263" w:lineRule="auto"/>
        <w:rPr>
          <w:sz w:val="20"/>
          <w:szCs w:val="20"/>
          <w:color w:val="auto"/>
        </w:rPr>
      </w:pPr>
      <w:r>
        <w:rPr>
          <w:rFonts w:ascii="Times New Roman" w:cs="Times New Roman" w:eastAsia="Times New Roman" w:hAnsi="Times New Roman"/>
          <w:sz w:val="17"/>
          <w:szCs w:val="17"/>
          <w:color w:val="auto"/>
        </w:rPr>
        <w:t>B.S. in accounting from Ferris State University. We believe that Mr. Ignelzi is qualified to serve on our Board because of his experience as an executive and member of the boards of companies in the life sciences industry.</w:t>
      </w:r>
    </w:p>
    <w:p>
      <w:pPr>
        <w:spacing w:after="0" w:line="40" w:lineRule="exact"/>
        <w:rPr>
          <w:sz w:val="20"/>
          <w:szCs w:val="20"/>
          <w:color w:val="auto"/>
        </w:rPr>
      </w:pPr>
    </w:p>
    <w:p>
      <w:pPr>
        <w:ind w:left="300" w:right="319" w:firstLine="441"/>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Corinna zur Bonsen-Thomas </w:t>
      </w:r>
      <w:r>
        <w:rPr>
          <w:rFonts w:ascii="Times New Roman" w:cs="Times New Roman" w:eastAsia="Times New Roman" w:hAnsi="Times New Roman"/>
          <w:sz w:val="18"/>
          <w:szCs w:val="18"/>
          <w:color w:val="auto"/>
        </w:rPr>
        <w:t>served as our Chair between August 2022 and May 2023 and has served as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independent directors since June 2017. Since April 2020, Ms. zur Bonsen-Thomas has held the position of Managing Director and Chief Executive Officer of RetInSight GmbH, a company which she co-founded in</w:t>
      </w:r>
    </w:p>
    <w:p>
      <w:pPr>
        <w:spacing w:after="0" w:line="3"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April 2020 and specializes in ophthalmic imaging. Ms. zur Bonsen-Thomas was General Counsel for Smart Reporting GmbH from February 2017 to December 2022. From 1999 to 2015, she served as a member of the Supervisory Board of Baxter AG, an Austrian company. She has more than thirty years of international professional</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experience in the pharmaceutical, biopharmaceutical, medical and biotechnology industries. Ms. zur Bonsen-Thomas received her First Law State Examination from Ludwig Maximilian Universitaet and her Second Law State Examination from the Bavarian Ministry of Justice. We believe that Ms. zur Bonsen-Thomas is qualified to serve 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because of her extensive professional experience in the life sciences industry.</w:t>
      </w:r>
    </w:p>
    <w:p>
      <w:pPr>
        <w:spacing w:after="0" w:line="53" w:lineRule="exact"/>
        <w:rPr>
          <w:sz w:val="20"/>
          <w:szCs w:val="20"/>
          <w:color w:val="auto"/>
        </w:rPr>
      </w:pPr>
    </w:p>
    <w:p>
      <w:pPr>
        <w:jc w:val="both"/>
        <w:ind w:left="300" w:right="399" w:firstLine="441"/>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Camilla Soenderby </w:t>
      </w:r>
      <w:r>
        <w:rPr>
          <w:rFonts w:ascii="Times New Roman" w:cs="Times New Roman" w:eastAsia="Times New Roman" w:hAnsi="Times New Roman"/>
          <w:sz w:val="17"/>
          <w:szCs w:val="17"/>
          <w:color w:val="auto"/>
        </w:rPr>
        <w:t>has served as one of our independent directors since March 2024. She brings 25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international leadership experience from leading biopharma companies in Europe, the US, and Asia. Currently, Ms.</w:t>
      </w:r>
    </w:p>
    <w:p>
      <w:pPr>
        <w:spacing w:after="0" w:line="1" w:lineRule="exact"/>
        <w:rPr>
          <w:sz w:val="20"/>
          <w:szCs w:val="20"/>
          <w:color w:val="auto"/>
        </w:rPr>
      </w:pPr>
    </w:p>
    <w:p>
      <w:pPr>
        <w:jc w:val="both"/>
        <w:ind w:left="300" w:right="359"/>
        <w:spacing w:after="0" w:line="231" w:lineRule="auto"/>
        <w:rPr>
          <w:sz w:val="20"/>
          <w:szCs w:val="20"/>
          <w:color w:val="auto"/>
        </w:rPr>
      </w:pPr>
      <w:r>
        <w:rPr>
          <w:rFonts w:ascii="Times New Roman" w:cs="Times New Roman" w:eastAsia="Times New Roman" w:hAnsi="Times New Roman"/>
          <w:sz w:val="17"/>
          <w:szCs w:val="17"/>
          <w:color w:val="auto"/>
        </w:rPr>
        <w:t>Soenderby is a member of the Board of Directors for the investment company BB Biotech and the biotech company, F2G, and previously served on the Board of Directors of the biotechnology company Affibody. In addition, she is a member of Novo Holdings Advisory Group and industrial advisor for the private equity group EQT. Formally, Ms.</w:t>
      </w:r>
    </w:p>
    <w:p>
      <w:pPr>
        <w:sectPr>
          <w:pgSz w:w="11900" w:h="16850" w:orient="portrait"/>
          <w:cols w:equalWidth="0" w:num="1">
            <w:col w:w="9019"/>
          </w:cols>
          <w:pgMar w:left="1440" w:top="104" w:right="1440" w:bottom="0" w:gutter="0" w:footer="0" w:header="0"/>
        </w:sectPr>
      </w:pPr>
    </w:p>
    <w:bookmarkStart w:id="89" w:name="page90"/>
    <w:bookmarkEnd w:id="89"/>
    <w:p>
      <w:pPr>
        <w:spacing w:after="0" w:line="85" w:lineRule="exact"/>
        <w:rPr>
          <w:sz w:val="20"/>
          <w:szCs w:val="20"/>
          <w:color w:val="auto"/>
        </w:rPr>
      </w:pPr>
    </w:p>
    <w:p>
      <w:pPr>
        <w:ind w:left="300" w:right="439"/>
        <w:spacing w:after="0" w:line="189" w:lineRule="auto"/>
        <w:rPr>
          <w:sz w:val="20"/>
          <w:szCs w:val="20"/>
          <w:color w:val="auto"/>
        </w:rPr>
      </w:pPr>
      <w:r>
        <w:rPr>
          <w:rFonts w:ascii="Times New Roman" w:cs="Times New Roman" w:eastAsia="Times New Roman" w:hAnsi="Times New Roman"/>
          <w:sz w:val="16"/>
          <w:szCs w:val="16"/>
          <w:color w:val="auto"/>
        </w:rPr>
        <w:t>Soenderby was a corporate officer at Takeda leading global portfolio commercialization in her role as Chief Patient Value and Product Strategy Officer for Takeda Pharmaceutical Co Ltd. Ms. Soenderby led and oversaw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61055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16115" cy="610552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Product Strategy at Shire until its acquisition by Takeda. Prior to joining Shire, Ms. Soenderby was Region Head for</w:t>
      </w: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Roche Pharma with profit and loss responsibility for 11 countries in Europe. Prior to that, she worked as General Manager for Abbott (now AbbVie), first for Sweden and later for the United Kingdom. She also held several operational and strategic roles of increasing responsibility at Schering Plough in Asia Pacific, including General</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Manager for Taiwan. Ms. Soenderby began her career as a management consultant at McKinsey &amp; Company focusing on the healthcare industries. Ms. Soenderby holds a Master's degree from the University of Copenhagen. We believe that Ms. Soenderby is qualified to serve on our Board because of her extensive experience as an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and as a member of the boards of companies in the life sciences industry.</w:t>
      </w:r>
    </w:p>
    <w:p>
      <w:pPr>
        <w:spacing w:after="0" w:line="53" w:lineRule="exact"/>
        <w:rPr>
          <w:sz w:val="20"/>
          <w:szCs w:val="20"/>
          <w:color w:val="auto"/>
        </w:rPr>
      </w:pPr>
    </w:p>
    <w:p>
      <w:pPr>
        <w:ind w:left="300" w:right="399" w:firstLine="441"/>
        <w:spacing w:after="0" w:line="225" w:lineRule="auto"/>
        <w:rPr>
          <w:sz w:val="20"/>
          <w:szCs w:val="20"/>
          <w:color w:val="auto"/>
        </w:rPr>
      </w:pPr>
      <w:r>
        <w:rPr>
          <w:rFonts w:ascii="Times New Roman" w:cs="Times New Roman" w:eastAsia="Times New Roman" w:hAnsi="Times New Roman"/>
          <w:sz w:val="18"/>
          <w:szCs w:val="18"/>
          <w:b w:val="1"/>
          <w:bCs w:val="1"/>
          <w:color w:val="auto"/>
          <w:highlight w:val="yellow"/>
        </w:rPr>
        <w:t xml:space="preserve">Dominik </w:t>
      </w:r>
      <w:r>
        <w:rPr>
          <w:rFonts w:ascii="Times New Roman" w:cs="Times New Roman" w:eastAsia="Times New Roman" w:hAnsi="Times New Roman"/>
          <w:sz w:val="18"/>
          <w:szCs w:val="18"/>
          <w:b w:val="1"/>
          <w:bCs w:val="1"/>
          <w:color w:val="auto"/>
        </w:rPr>
        <w:t>Höchli</w:t>
      </w:r>
      <w:r>
        <w:rPr>
          <w:rFonts w:ascii="Times New Roman" w:cs="Times New Roman" w:eastAsia="Times New Roman" w:hAnsi="Times New Roman"/>
          <w:sz w:val="18"/>
          <w:szCs w:val="18"/>
          <w:b w:val="1"/>
          <w:bCs w:val="1"/>
          <w:color w:val="auto"/>
          <w:highlight w:val="yellow"/>
        </w:rPr>
        <w:t xml:space="preserve"> </w:t>
      </w:r>
      <w:r>
        <w:rPr>
          <w:rFonts w:ascii="Times New Roman" w:cs="Times New Roman" w:eastAsia="Times New Roman" w:hAnsi="Times New Roman"/>
          <w:sz w:val="18"/>
          <w:szCs w:val="18"/>
          <w:color w:val="auto"/>
        </w:rPr>
        <w:t>has served as one of our independent directors since April 2025. He is a member of both the</w:t>
      </w:r>
      <w:r>
        <w:rPr>
          <w:rFonts w:ascii="Times New Roman" w:cs="Times New Roman" w:eastAsia="Times New Roman" w:hAnsi="Times New Roman"/>
          <w:sz w:val="18"/>
          <w:szCs w:val="18"/>
          <w:b w:val="1"/>
          <w:bCs w:val="1"/>
          <w:color w:val="auto"/>
          <w:highlight w:val="yellow"/>
        </w:rPr>
        <w:t xml:space="preserve"> </w:t>
      </w:r>
      <w:r>
        <w:rPr>
          <w:rFonts w:ascii="Times New Roman" w:cs="Times New Roman" w:eastAsia="Times New Roman" w:hAnsi="Times New Roman"/>
          <w:sz w:val="18"/>
          <w:szCs w:val="18"/>
          <w:color w:val="auto"/>
        </w:rPr>
        <w:t>Clinical and Science Committee as well as the Commercial Committee. Dr. Höchli brings over two decades of</w:t>
      </w:r>
    </w:p>
    <w:p>
      <w:pPr>
        <w:ind w:left="300" w:right="419"/>
        <w:spacing w:after="0" w:line="208" w:lineRule="auto"/>
        <w:rPr>
          <w:sz w:val="20"/>
          <w:szCs w:val="20"/>
          <w:color w:val="auto"/>
        </w:rPr>
      </w:pPr>
      <w:r>
        <w:rPr>
          <w:rFonts w:ascii="Times New Roman" w:cs="Times New Roman" w:eastAsia="Times New Roman" w:hAnsi="Times New Roman"/>
          <w:sz w:val="18"/>
          <w:szCs w:val="18"/>
          <w:color w:val="auto"/>
        </w:rPr>
        <w:t>leadership experience in global biopharma, most notably a 20-year tenure at AbbVie/Abbott, where he served as Vice President of Global Marketing for Immunology and later as Head of Global Medical Affairs. In addition to his experience at AbbVie, Dr. Höchli served as Interim CEO of Catapult Therapeutics, a hematology-oncology</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company, from 2021 to 2024. He is also the founder of Abinode, a pharmaceutical strategy consulting firm, and currently serves on the Board of Directors at Molecular Partners AG, where he is a member of both the Audit Committee and the Research &amp; Development Committee. Dr. Höchli received his medical degree (M.D.) from the</w:t>
      </w:r>
    </w:p>
    <w:p>
      <w:pPr>
        <w:spacing w:after="0" w:line="2" w:lineRule="exact"/>
        <w:rPr>
          <w:sz w:val="20"/>
          <w:szCs w:val="20"/>
          <w:color w:val="auto"/>
        </w:rPr>
      </w:pPr>
    </w:p>
    <w:p>
      <w:pPr>
        <w:ind w:left="300" w:right="359"/>
        <w:spacing w:after="0" w:line="226" w:lineRule="auto"/>
        <w:rPr>
          <w:sz w:val="20"/>
          <w:szCs w:val="20"/>
          <w:color w:val="auto"/>
        </w:rPr>
      </w:pPr>
      <w:r>
        <w:rPr>
          <w:rFonts w:ascii="Times New Roman" w:cs="Times New Roman" w:eastAsia="Times New Roman" w:hAnsi="Times New Roman"/>
          <w:sz w:val="18"/>
          <w:szCs w:val="18"/>
          <w:color w:val="auto"/>
        </w:rPr>
        <w:t>University of Bern in Switzerland. We believe Dr. Höchli is qualified to serve on our Board because of his extensive experience as an executive and as a member of the boards of companies in the life sciences industry.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328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16115" cy="432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Chief Executive Officer</w:t>
      </w:r>
    </w:p>
    <w:p>
      <w:pPr>
        <w:spacing w:after="0" w:line="81" w:lineRule="exact"/>
        <w:rPr>
          <w:sz w:val="20"/>
          <w:szCs w:val="20"/>
          <w:color w:val="auto"/>
        </w:rPr>
      </w:pPr>
    </w:p>
    <w:p>
      <w:pPr>
        <w:ind w:left="300" w:right="839"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sets out the compensation awarded to our Chief Executive Officer in the applicable period:</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310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5260" w:type="dxa"/>
            <w:vAlign w:val="bottom"/>
          </w:tcPr>
          <w:p>
            <w:pPr>
              <w:spacing w:after="0"/>
              <w:rPr>
                <w:sz w:val="20"/>
                <w:szCs w:val="20"/>
                <w:color w:val="auto"/>
              </w:rPr>
            </w:pPr>
          </w:p>
        </w:tc>
        <w:tc>
          <w:tcPr>
            <w:tcW w:w="178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6"/>
        </w:trPr>
        <w:tc>
          <w:tcPr>
            <w:tcW w:w="5260" w:type="dxa"/>
            <w:vAlign w:val="bottom"/>
          </w:tcPr>
          <w:p>
            <w:pPr>
              <w:spacing w:after="0"/>
              <w:rPr>
                <w:sz w:val="17"/>
                <w:szCs w:val="17"/>
                <w:color w:val="auto"/>
              </w:rPr>
            </w:pPr>
          </w:p>
        </w:tc>
        <w:tc>
          <w:tcPr>
            <w:tcW w:w="17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 de Garidel—Chief Executive Officer from May 5, 2023 and</w:t>
            </w:r>
          </w:p>
        </w:tc>
        <w:tc>
          <w:tcPr>
            <w:tcW w:w="1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Chairman from May 5, 2023 until July 11, 2024</w:t>
            </w:r>
          </w:p>
        </w:tc>
        <w:tc>
          <w:tcPr>
            <w:tcW w:w="17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Fixed compensation </w:t>
            </w:r>
            <w:r>
              <w:rPr>
                <w:rFonts w:ascii="Times New Roman" w:cs="Times New Roman" w:eastAsia="Times New Roman" w:hAnsi="Times New Roman"/>
                <w:sz w:val="18"/>
                <w:szCs w:val="18"/>
                <w:color w:val="B4B4B4"/>
              </w:rPr>
              <w:t>...................................................................................</w:t>
            </w:r>
          </w:p>
        </w:tc>
        <w:tc>
          <w:tcPr>
            <w:tcW w:w="1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577,500</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600,600</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7"/>
              </w:rPr>
              <w:t xml:space="preserve">Variable annual compensation </w:t>
            </w:r>
            <w:r>
              <w:rPr>
                <w:rFonts w:ascii="Times New Roman" w:cs="Times New Roman" w:eastAsia="Times New Roman" w:hAnsi="Times New Roman"/>
                <w:sz w:val="18"/>
                <w:szCs w:val="18"/>
                <w:i w:val="1"/>
                <w:iCs w:val="1"/>
                <w:color w:val="auto"/>
                <w:w w:val="97"/>
                <w:vertAlign w:val="superscript"/>
              </w:rPr>
              <w:t>(1) (2)</w:t>
            </w:r>
            <w:r>
              <w:rPr>
                <w:rFonts w:ascii="Times New Roman" w:cs="Times New Roman" w:eastAsia="Times New Roman" w:hAnsi="Times New Roman"/>
                <w:sz w:val="18"/>
                <w:szCs w:val="18"/>
                <w:i w:val="1"/>
                <w:iCs w:val="1"/>
                <w:color w:val="auto"/>
                <w:w w:val="97"/>
              </w:rPr>
              <w:t xml:space="preserve"> </w:t>
            </w:r>
            <w:r>
              <w:rPr>
                <w:rFonts w:ascii="Times New Roman" w:cs="Times New Roman" w:eastAsia="Times New Roman" w:hAnsi="Times New Roman"/>
                <w:sz w:val="18"/>
                <w:szCs w:val="18"/>
                <w:color w:val="B4B4B4"/>
                <w:w w:val="97"/>
              </w:rPr>
              <w:t>.............................................................</w:t>
            </w:r>
          </w:p>
        </w:tc>
        <w:tc>
          <w:tcPr>
            <w:tcW w:w="1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300,300</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Variable multi-year compensation </w:t>
            </w:r>
            <w:r>
              <w:rPr>
                <w:rFonts w:ascii="Times New Roman" w:cs="Times New Roman" w:eastAsia="Times New Roman" w:hAnsi="Times New Roman"/>
                <w:sz w:val="18"/>
                <w:szCs w:val="18"/>
                <w:color w:val="B4B4B4"/>
                <w:w w:val="99"/>
              </w:rPr>
              <w:t>.............................................................</w:t>
            </w:r>
          </w:p>
        </w:tc>
        <w:tc>
          <w:tcPr>
            <w:tcW w:w="1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Exceptional variable compensation </w:t>
            </w:r>
            <w:r>
              <w:rPr>
                <w:rFonts w:ascii="Times New Roman" w:cs="Times New Roman" w:eastAsia="Times New Roman" w:hAnsi="Times New Roman"/>
                <w:sz w:val="18"/>
                <w:szCs w:val="18"/>
                <w:color w:val="B4B4B4"/>
                <w:w w:val="99"/>
              </w:rPr>
              <w:t>...........................................................</w:t>
            </w:r>
          </w:p>
        </w:tc>
        <w:tc>
          <w:tcPr>
            <w:tcW w:w="1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150,150</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Remuneration allocated due to mandate as director </w:t>
            </w:r>
            <w:r>
              <w:rPr>
                <w:rFonts w:ascii="Times New Roman" w:cs="Times New Roman" w:eastAsia="Times New Roman" w:hAnsi="Times New Roman"/>
                <w:sz w:val="18"/>
                <w:szCs w:val="18"/>
                <w:color w:val="B4B4B4"/>
                <w:w w:val="99"/>
              </w:rPr>
              <w:t>.................................</w:t>
            </w:r>
          </w:p>
        </w:tc>
        <w:tc>
          <w:tcPr>
            <w:tcW w:w="1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Benefits in kind </w:t>
            </w:r>
            <w:r>
              <w:rPr>
                <w:rFonts w:ascii="Times New Roman" w:cs="Times New Roman" w:eastAsia="Times New Roman" w:hAnsi="Times New Roman"/>
                <w:sz w:val="18"/>
                <w:szCs w:val="18"/>
                <w:color w:val="B4B4B4"/>
                <w:w w:val="99"/>
              </w:rPr>
              <w:t>...........................................................................................</w:t>
            </w:r>
          </w:p>
        </w:tc>
        <w:tc>
          <w:tcPr>
            <w:tcW w:w="1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53,442</w:t>
            </w: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97,264</w:t>
            </w:r>
          </w:p>
        </w:tc>
      </w:tr>
      <w:tr>
        <w:trPr>
          <w:trHeight w:val="304"/>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b w:val="1"/>
                <w:bCs w:val="1"/>
                <w:color w:val="B4B4B4"/>
              </w:rPr>
              <w:t>..........................................................................................................</w:t>
            </w:r>
          </w:p>
        </w:tc>
        <w:tc>
          <w:tcPr>
            <w:tcW w:w="1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630,942</w:t>
            </w: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1,148,314</w:t>
            </w:r>
          </w:p>
        </w:tc>
      </w:tr>
      <w:tr>
        <w:trPr>
          <w:trHeight w:val="20"/>
        </w:trPr>
        <w:tc>
          <w:tcPr>
            <w:tcW w:w="5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700" w:hanging="408"/>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compensation paid for the financial year corresponds to the amount due for the previous year.</w:t>
      </w:r>
    </w:p>
    <w:p>
      <w:pPr>
        <w:ind w:left="680" w:hanging="388"/>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annual compensation for 2024 has be granted under an equity plan in 2025.</w:t>
      </w:r>
    </w:p>
    <w:p>
      <w:pPr>
        <w:spacing w:after="0" w:line="97" w:lineRule="exact"/>
        <w:rPr>
          <w:sz w:val="20"/>
          <w:szCs w:val="20"/>
          <w:color w:val="auto"/>
        </w:rPr>
      </w:pPr>
    </w:p>
    <w:p>
      <w:pPr>
        <w:ind w:left="300" w:right="419" w:firstLine="441"/>
        <w:spacing w:after="0" w:line="263" w:lineRule="auto"/>
        <w:rPr>
          <w:sz w:val="20"/>
          <w:szCs w:val="20"/>
          <w:color w:val="auto"/>
        </w:rPr>
      </w:pPr>
      <w:r>
        <w:rPr>
          <w:rFonts w:ascii="Times New Roman" w:cs="Times New Roman" w:eastAsia="Times New Roman" w:hAnsi="Times New Roman"/>
          <w:sz w:val="17"/>
          <w:szCs w:val="17"/>
          <w:color w:val="auto"/>
        </w:rPr>
        <w:t xml:space="preserve">The aggregate compensation paid and benefits in-kind granted by us to our current executive officers and directors, including share-based compensation </w:t>
      </w:r>
      <w:r>
        <w:rPr>
          <w:rFonts w:ascii="Times New Roman" w:cs="Times New Roman" w:eastAsia="Times New Roman" w:hAnsi="Times New Roman"/>
          <w:sz w:val="17"/>
          <w:szCs w:val="17"/>
          <w:color w:val="auto"/>
          <w:highlight w:val="white"/>
        </w:rPr>
        <w:t>and vestings, for the years ended December 31, 2025 and 2024 were</w:t>
      </w:r>
    </w:p>
    <w:p>
      <w:pPr>
        <w:sectPr>
          <w:pgSz w:w="11900" w:h="16923" w:orient="portrait"/>
          <w:cols w:equalWidth="0" w:num="1">
            <w:col w:w="9019"/>
          </w:cols>
          <w:pgMar w:left="1440" w:top="108" w:right="1440" w:bottom="0" w:gutter="0" w:footer="0" w:header="0"/>
        </w:sectPr>
      </w:pPr>
    </w:p>
    <w:bookmarkStart w:id="90" w:name="page91"/>
    <w:bookmarkEnd w:id="90"/>
    <w:p>
      <w:pPr>
        <w:ind w:left="300" w:right="679"/>
        <w:spacing w:after="0" w:line="222" w:lineRule="auto"/>
        <w:rPr>
          <w:sz w:val="20"/>
          <w:szCs w:val="20"/>
          <w:color w:val="auto"/>
        </w:rPr>
      </w:pPr>
      <w:r>
        <w:rPr>
          <w:rFonts w:ascii="Times New Roman" w:cs="Times New Roman" w:eastAsia="Times New Roman" w:hAnsi="Times New Roman"/>
          <w:sz w:val="18"/>
          <w:szCs w:val="18"/>
          <w:color w:val="auto"/>
        </w:rPr>
        <w:t xml:space="preserve">€24.8 million </w:t>
      </w:r>
      <w:r>
        <w:rPr>
          <w:rFonts w:ascii="Times New Roman" w:cs="Times New Roman" w:eastAsia="Times New Roman" w:hAnsi="Times New Roman"/>
          <w:sz w:val="18"/>
          <w:szCs w:val="18"/>
          <w:color w:val="auto"/>
          <w:highlight w:val="white"/>
        </w:rPr>
        <w:t>and €19.1 million, respectively.</w:t>
      </w:r>
      <w:r>
        <w:rPr>
          <w:rFonts w:ascii="Times New Roman" w:cs="Times New Roman" w:eastAsia="Times New Roman" w:hAnsi="Times New Roman"/>
          <w:sz w:val="18"/>
          <w:szCs w:val="18"/>
          <w:color w:val="auto"/>
        </w:rPr>
        <w:t xml:space="preserve"> For both years, we did not allocate any amounts to be set aside or accrued to provide pension, retirement or similar benefits to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4733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6115" cy="4733925"/>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4" w:lineRule="exact"/>
        <w:rPr>
          <w:sz w:val="20"/>
          <w:szCs w:val="20"/>
          <w:color w:val="auto"/>
        </w:rPr>
      </w:pPr>
    </w:p>
    <w:p>
      <w:pPr>
        <w:ind w:left="300" w:right="339"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sets out the compensation awarded to our directors other than our Chief Executive Officer during the year ended December 31, 2025:</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 xml:space="preserve">Gross Fees Earned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320" w:type="dxa"/>
            <w:vAlign w:val="bottom"/>
          </w:tcPr>
          <w:p>
            <w:pPr>
              <w:spacing w:after="0"/>
              <w:rPr>
                <w:sz w:val="17"/>
                <w:szCs w:val="17"/>
                <w:color w:val="auto"/>
              </w:rPr>
            </w:pPr>
          </w:p>
        </w:tc>
      </w:tr>
      <w:tr>
        <w:trPr>
          <w:trHeight w:val="272"/>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SylvieGrégoire</w:t>
            </w:r>
            <w:r>
              <w:rPr>
                <w:rFonts w:ascii="Times New Roman" w:cs="Times New Roman" w:eastAsia="Times New Roman" w:hAnsi="Times New Roman"/>
                <w:sz w:val="23"/>
                <w:szCs w:val="23"/>
                <w:color w:val="000000"/>
                <w:vertAlign w:val="superscript"/>
              </w:rPr>
              <w:t>(1)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143,750</w:t>
            </w:r>
          </w:p>
        </w:tc>
      </w:tr>
      <w:tr>
        <w:trPr>
          <w:trHeight w:val="248"/>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June Lee</w:t>
            </w:r>
            <w:r>
              <w:rPr>
                <w:rFonts w:ascii="Times New Roman" w:cs="Times New Roman" w:eastAsia="Times New Roman" w:hAnsi="Times New Roman"/>
                <w:sz w:val="18"/>
                <w:szCs w:val="18"/>
                <w:color w:val="B4B4B4"/>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r>
      <w:tr>
        <w:trPr>
          <w:trHeight w:val="256"/>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99"/>
              </w:rPr>
              <w:t xml:space="preserve">Troy Ignelzi </w:t>
            </w:r>
            <w:r>
              <w:rPr>
                <w:rFonts w:ascii="Times New Roman" w:cs="Times New Roman" w:eastAsia="Times New Roman" w:hAnsi="Times New Roman"/>
                <w:sz w:val="18"/>
                <w:szCs w:val="18"/>
                <w:color w:val="B4B4B4"/>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128,750</w:t>
            </w:r>
          </w:p>
        </w:tc>
      </w:tr>
      <w:tr>
        <w:trPr>
          <w:trHeight w:val="257"/>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99"/>
              </w:rPr>
              <w:t xml:space="preserve">Corinna zur Bonsen-Thomas </w:t>
            </w:r>
            <w:r>
              <w:rPr>
                <w:rFonts w:ascii="Times New Roman" w:cs="Times New Roman" w:eastAsia="Times New Roman" w:hAnsi="Times New Roman"/>
                <w:sz w:val="18"/>
                <w:szCs w:val="18"/>
                <w:color w:val="B4B4B4"/>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65"/>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99"/>
              </w:rPr>
              <w:t>Sofinnova Partners (permanent representative to the Board: Kinam Hong)</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7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99"/>
              </w:rPr>
              <w:t xml:space="preserve">Camilla Soenderby </w:t>
            </w:r>
            <w:r>
              <w:rPr>
                <w:rFonts w:ascii="Times New Roman" w:cs="Times New Roman" w:eastAsia="Times New Roman" w:hAnsi="Times New Roman"/>
                <w:sz w:val="18"/>
                <w:szCs w:val="18"/>
                <w:color w:val="B4B4B4"/>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118,750</w:t>
            </w:r>
          </w:p>
        </w:tc>
      </w:tr>
      <w:tr>
        <w:trPr>
          <w:trHeight w:val="261"/>
        </w:trPr>
        <w:tc>
          <w:tcPr>
            <w:tcW w:w="6280" w:type="dxa"/>
            <w:vAlign w:val="bottom"/>
            <w:gridSpan w:val="2"/>
          </w:tcPr>
          <w:p>
            <w:pPr>
              <w:jc w:val="right"/>
              <w:ind w:right="370"/>
              <w:spacing w:after="0" w:line="261" w:lineRule="exact"/>
              <w:rPr>
                <w:sz w:val="20"/>
                <w:szCs w:val="20"/>
                <w:color w:val="auto"/>
              </w:rPr>
            </w:pPr>
            <w:r>
              <w:rPr>
                <w:rFonts w:ascii="Times New Roman" w:cs="Times New Roman" w:eastAsia="Times New Roman" w:hAnsi="Times New Roman"/>
                <w:sz w:val="18"/>
                <w:szCs w:val="18"/>
                <w:color w:val="auto"/>
                <w:w w:val="99"/>
              </w:rPr>
              <w:t>Dominik Höchli</w:t>
            </w:r>
            <w:r>
              <w:rPr>
                <w:rFonts w:ascii="Times New Roman" w:cs="Times New Roman" w:eastAsia="Times New Roman" w:hAnsi="Times New Roman"/>
                <w:sz w:val="23"/>
                <w:szCs w:val="23"/>
                <w:color w:val="auto"/>
                <w:w w:val="99"/>
                <w:vertAlign w:val="superscript"/>
              </w:rPr>
              <w:t>(3)</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86,250</w:t>
            </w:r>
          </w:p>
        </w:tc>
      </w:tr>
      <w:tr>
        <w:trPr>
          <w:trHeight w:val="252"/>
        </w:trPr>
        <w:tc>
          <w:tcPr>
            <w:tcW w:w="6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 xml:space="preserve">Total </w:t>
            </w:r>
            <w:r>
              <w:rPr>
                <w:rFonts w:ascii="Times New Roman" w:cs="Times New Roman" w:eastAsia="Times New Roman" w:hAnsi="Times New Roman"/>
                <w:sz w:val="18"/>
                <w:szCs w:val="18"/>
                <w:b w:val="1"/>
                <w:bCs w:val="1"/>
                <w:color w:val="B4B4B4"/>
                <w:w w:val="9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720,000</w:t>
            </w:r>
          </w:p>
        </w:tc>
      </w:tr>
      <w:tr>
        <w:trPr>
          <w:trHeight w:val="405"/>
        </w:trPr>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1"/>
              </w:rPr>
              <w:t>(1)</w:t>
            </w:r>
          </w:p>
        </w:tc>
        <w:tc>
          <w:tcPr>
            <w:tcW w:w="61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Sylvie Gregoire was appointed chair of the Board in June 2025.</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8"/>
        </w:trPr>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1"/>
              </w:rPr>
              <w:t>(2)</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Sofinnova Partners resigned from the Board effective March 19, 2026.</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51"/>
        </w:trPr>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1"/>
              </w:rPr>
              <w:t>(3)</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Dominik Höchli was appointed to the Board in June 2025.</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699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6115" cy="569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679" w:firstLine="441"/>
        <w:spacing w:after="0" w:line="236" w:lineRule="auto"/>
        <w:rPr>
          <w:sz w:val="20"/>
          <w:szCs w:val="20"/>
          <w:color w:val="auto"/>
        </w:rPr>
      </w:pPr>
      <w:r>
        <w:rPr>
          <w:rFonts w:ascii="Times New Roman" w:cs="Times New Roman" w:eastAsia="Times New Roman" w:hAnsi="Times New Roman"/>
          <w:sz w:val="17"/>
          <w:szCs w:val="17"/>
          <w:color w:val="auto"/>
        </w:rPr>
        <w:t>At the general meeting of shareholders held on June 6, 2025, our shareholders approved a package of attendance fees and the compensation policy applicable to the chairperson of the Board and the Chief Executive</w:t>
      </w:r>
    </w:p>
    <w:p>
      <w:pPr>
        <w:ind w:left="300"/>
        <w:spacing w:after="0"/>
        <w:rPr>
          <w:sz w:val="20"/>
          <w:szCs w:val="20"/>
          <w:color w:val="auto"/>
        </w:rPr>
      </w:pPr>
      <w:r>
        <w:rPr>
          <w:rFonts w:ascii="Times New Roman" w:cs="Times New Roman" w:eastAsia="Times New Roman" w:hAnsi="Times New Roman"/>
          <w:sz w:val="18"/>
          <w:szCs w:val="18"/>
          <w:color w:val="auto"/>
        </w:rPr>
        <w:t>Officer.</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sets forth the AGAs allocated to the chairperson and chief executive officer as of</w:t>
      </w:r>
    </w:p>
    <w:p>
      <w:pPr>
        <w:ind w:left="30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3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Chairperson &amp; CEO</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date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AGAs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AGAs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Subscription price</w:t>
            </w:r>
          </w:p>
        </w:tc>
        <w:tc>
          <w:tcPr>
            <w:tcW w:w="14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Acquisition period</w:t>
            </w:r>
          </w:p>
        </w:tc>
        <w:tc>
          <w:tcPr>
            <w:tcW w:w="0" w:type="dxa"/>
            <w:vAlign w:val="bottom"/>
          </w:tcPr>
          <w:p>
            <w:pPr>
              <w:spacing w:after="0"/>
              <w:rPr>
                <w:sz w:val="1"/>
                <w:szCs w:val="1"/>
                <w:color w:val="auto"/>
              </w:rPr>
            </w:pPr>
          </w:p>
        </w:tc>
      </w:tr>
      <w:tr>
        <w:trPr>
          <w:trHeight w:val="190"/>
        </w:trPr>
        <w:tc>
          <w:tcPr>
            <w:tcW w:w="14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Marc de Garidel </w:t>
            </w:r>
            <w:r>
              <w:rPr>
                <w:rFonts w:ascii="Times New Roman" w:cs="Times New Roman" w:eastAsia="Times New Roman" w:hAnsi="Times New Roman"/>
                <w:sz w:val="14"/>
                <w:szCs w:val="14"/>
                <w:color w:val="B4B4B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July-11-2023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2023-1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1,382,796</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 xml:space="preserve">Minimum of 1 year </w:t>
            </w:r>
            <w:r>
              <w:rPr>
                <w:rFonts w:ascii="Times New Roman" w:cs="Times New Roman" w:eastAsia="Times New Roman" w:hAnsi="Times New Roman"/>
                <w:sz w:val="18"/>
                <w:szCs w:val="18"/>
                <w:color w:val="auto"/>
                <w:w w:val="99"/>
                <w:vertAlign w:val="superscript"/>
              </w:rPr>
              <w:t>(1)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February-01-2024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2024-1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 xml:space="preserve">Minimum of 2 years </w:t>
            </w:r>
            <w:r>
              <w:rPr>
                <w:rFonts w:ascii="Times New Roman" w:cs="Times New Roman" w:eastAsia="Times New Roman" w:hAnsi="Times New Roman"/>
                <w:sz w:val="18"/>
                <w:szCs w:val="18"/>
                <w:color w:val="auto"/>
                <w:w w:val="99"/>
                <w:vertAlign w:val="superscript"/>
              </w:rPr>
              <w:t>(2)</w:t>
            </w:r>
          </w:p>
        </w:tc>
        <w:tc>
          <w:tcPr>
            <w:tcW w:w="0" w:type="dxa"/>
            <w:vAlign w:val="bottom"/>
          </w:tcPr>
          <w:p>
            <w:pPr>
              <w:spacing w:after="0"/>
              <w:rPr>
                <w:sz w:val="1"/>
                <w:szCs w:val="1"/>
                <w:color w:val="auto"/>
              </w:rPr>
            </w:pPr>
          </w:p>
        </w:tc>
      </w:tr>
      <w:tr>
        <w:trPr>
          <w:trHeight w:val="219"/>
        </w:trPr>
        <w:tc>
          <w:tcPr>
            <w:tcW w:w="14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February-06-2025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2025-1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936,000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 xml:space="preserve">Minimum of 2 years </w:t>
            </w:r>
            <w:r>
              <w:rPr>
                <w:rFonts w:ascii="Times New Roman" w:cs="Times New Roman" w:eastAsia="Times New Roman" w:hAnsi="Times New Roman"/>
                <w:sz w:val="18"/>
                <w:szCs w:val="18"/>
                <w:color w:val="auto"/>
                <w:w w:val="99"/>
                <w:vertAlign w:val="superscript"/>
              </w:rPr>
              <w:t>(3)</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February-06-2025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2025-2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47,052</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 years</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August-01-2025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2025-7</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 xml:space="preserve">Minimum of 2 years </w:t>
            </w:r>
            <w:r>
              <w:rPr>
                <w:rFonts w:ascii="Times New Roman" w:cs="Times New Roman" w:eastAsia="Times New Roman" w:hAnsi="Times New Roman"/>
                <w:sz w:val="18"/>
                <w:szCs w:val="18"/>
                <w:color w:val="auto"/>
                <w:w w:val="99"/>
                <w:vertAlign w:val="superscript"/>
              </w:rPr>
              <w:t>(2)</w:t>
            </w:r>
          </w:p>
        </w:tc>
        <w:tc>
          <w:tcPr>
            <w:tcW w:w="0" w:type="dxa"/>
            <w:vAlign w:val="bottom"/>
          </w:tcPr>
          <w:p>
            <w:pPr>
              <w:spacing w:after="0"/>
              <w:rPr>
                <w:sz w:val="1"/>
                <w:szCs w:val="1"/>
                <w:color w:val="auto"/>
              </w:rPr>
            </w:pPr>
          </w:p>
        </w:tc>
      </w:tr>
      <w:tr>
        <w:trPr>
          <w:trHeight w:val="226"/>
        </w:trPr>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Sylvie Grégoire </w:t>
            </w:r>
            <w:r>
              <w:rPr>
                <w:rFonts w:ascii="Times New Roman" w:cs="Times New Roman" w:eastAsia="Times New Roman" w:hAnsi="Times New Roman"/>
                <w:sz w:val="14"/>
                <w:szCs w:val="14"/>
                <w:color w:val="B4B4B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July-11-2024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2024-5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 xml:space="preserve">Minimum of 2 years </w:t>
            </w:r>
            <w:r>
              <w:rPr>
                <w:rFonts w:ascii="Times New Roman" w:cs="Times New Roman" w:eastAsia="Times New Roman" w:hAnsi="Times New Roman"/>
                <w:sz w:val="18"/>
                <w:szCs w:val="18"/>
                <w:color w:val="auto"/>
                <w:w w:val="99"/>
                <w:vertAlign w:val="superscript"/>
              </w:rPr>
              <w:t>(2)</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February-06-2025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Free Shares 2025-4</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30,500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0" w:type="dxa"/>
            <w:vAlign w:val="bottom"/>
          </w:tcPr>
          <w:p>
            <w:pPr>
              <w:jc w:val="center"/>
              <w:ind w:left="8"/>
              <w:spacing w:after="0" w:line="206" w:lineRule="exact"/>
              <w:rPr>
                <w:sz w:val="20"/>
                <w:szCs w:val="20"/>
                <w:color w:val="auto"/>
              </w:rPr>
            </w:pPr>
            <w:r>
              <w:rPr>
                <w:rFonts w:ascii="Times New Roman" w:cs="Times New Roman" w:eastAsia="Times New Roman" w:hAnsi="Times New Roman"/>
                <w:sz w:val="14"/>
                <w:szCs w:val="14"/>
                <w:color w:val="auto"/>
                <w:w w:val="99"/>
              </w:rPr>
              <w:t xml:space="preserve">Minimum of 2 years </w:t>
            </w:r>
            <w:r>
              <w:rPr>
                <w:rFonts w:ascii="Times New Roman" w:cs="Times New Roman" w:eastAsia="Times New Roman" w:hAnsi="Times New Roman"/>
                <w:sz w:val="18"/>
                <w:szCs w:val="18"/>
                <w:color w:val="auto"/>
                <w:w w:val="99"/>
                <w:vertAlign w:val="superscript"/>
              </w:rPr>
              <w:t>(2)</w:t>
            </w:r>
          </w:p>
        </w:tc>
        <w:tc>
          <w:tcPr>
            <w:tcW w:w="0" w:type="dxa"/>
            <w:vAlign w:val="bottom"/>
          </w:tcPr>
          <w:p>
            <w:pPr>
              <w:spacing w:after="0"/>
              <w:rPr>
                <w:sz w:val="1"/>
                <w:szCs w:val="1"/>
                <w:color w:val="auto"/>
              </w:rPr>
            </w:pPr>
          </w:p>
        </w:tc>
      </w:tr>
      <w:tr>
        <w:trPr>
          <w:trHeight w:val="188"/>
        </w:trPr>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1,807,796</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3623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6115" cy="336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071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6115" cy="7071360"/>
                    </a:xfrm>
                    <a:prstGeom prst="rect">
                      <a:avLst/>
                    </a:prstGeom>
                    <a:noFill/>
                  </pic:spPr>
                </pic:pic>
              </a:graphicData>
            </a:graphic>
          </wp:anchor>
        </w:drawing>
      </w:r>
    </w:p>
    <w:p>
      <w:pPr>
        <w:sectPr>
          <w:pgSz w:w="11900" w:h="16891"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40" w:hanging="449"/>
        <w:spacing w:after="0"/>
        <w:tabs>
          <w:tab w:leader="none" w:pos="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Periods shall be as follows:</w:t>
      </w:r>
    </w:p>
    <w:p>
      <w:pPr>
        <w:spacing w:after="0" w:line="76" w:lineRule="exact"/>
        <w:rPr>
          <w:rFonts w:ascii="Times New Roman" w:cs="Times New Roman" w:eastAsia="Times New Roman" w:hAnsi="Times New Roman"/>
          <w:sz w:val="18"/>
          <w:szCs w:val="18"/>
          <w:color w:val="auto"/>
        </w:rPr>
      </w:pPr>
    </w:p>
    <w:p>
      <w:pPr>
        <w:ind w:left="1280" w:right="459" w:hanging="328"/>
        <w:spacing w:after="0" w:line="250"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212,738 Free Shares 2023-1: the Acquisition Period shall end on the first (1st) anniversary of the allocation date;</w:t>
      </w:r>
    </w:p>
    <w:p>
      <w:pPr>
        <w:spacing w:after="0" w:line="41" w:lineRule="exact"/>
        <w:rPr>
          <w:rFonts w:ascii="Times New Roman" w:cs="Times New Roman" w:eastAsia="Times New Roman" w:hAnsi="Times New Roman"/>
          <w:sz w:val="18"/>
          <w:szCs w:val="18"/>
          <w:color w:val="auto"/>
        </w:rPr>
      </w:pPr>
    </w:p>
    <w:p>
      <w:pPr>
        <w:ind w:left="1280" w:right="419" w:hanging="328"/>
        <w:spacing w:after="0" w:line="220"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638,214 Free Shares 2023-1: the Free Shares 2023-1 shall progressively be definitively acquired on a monthly basis over a period of three (3) years starting after the first (1st) anniversary of the allocation date (i.e. 17,728 Free Shares 2023-1 per month except for the last month of the three-year period where 17,734 Free Shares 2023-1 shall be acquired). The duration of the Acquisition Period of these Free Shares 2023-1 shall be calculated accordingly;</w:t>
      </w:r>
    </w:p>
    <w:p>
      <w:pPr>
        <w:spacing w:after="0" w:line="63" w:lineRule="exact"/>
        <w:rPr>
          <w:rFonts w:ascii="Times New Roman" w:cs="Times New Roman" w:eastAsia="Times New Roman" w:hAnsi="Times New Roman"/>
          <w:sz w:val="18"/>
          <w:szCs w:val="18"/>
          <w:color w:val="auto"/>
        </w:rPr>
      </w:pPr>
    </w:p>
    <w:p>
      <w:pPr>
        <w:ind w:left="1280" w:right="619" w:hanging="328"/>
        <w:spacing w:after="0" w:line="226"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212,738 Free Shares 2023-1: the Acquisition Period shall end on the latest date between (i) the first (1st) anniversary of the allocation date, and (ii) the date on which a specific performance condition is fulfilled (condition 1);</w:t>
      </w:r>
    </w:p>
    <w:p>
      <w:pPr>
        <w:spacing w:after="0" w:line="63" w:lineRule="exact"/>
        <w:rPr>
          <w:rFonts w:ascii="Times New Roman" w:cs="Times New Roman" w:eastAsia="Times New Roman" w:hAnsi="Times New Roman"/>
          <w:sz w:val="18"/>
          <w:szCs w:val="18"/>
          <w:color w:val="auto"/>
        </w:rPr>
      </w:pPr>
    </w:p>
    <w:p>
      <w:pPr>
        <w:ind w:left="1280" w:right="619" w:hanging="328"/>
        <w:spacing w:after="0" w:line="226"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106,369 Free Shares 2023-1: the Acquisition Period shall end on the latest date between (i) the first (1st) anniversary of the allocation date, and (ii) the date on which a specific performance condition is fulfilled (condition 2);</w:t>
      </w:r>
    </w:p>
    <w:p>
      <w:pPr>
        <w:spacing w:after="0" w:line="63" w:lineRule="exact"/>
        <w:rPr>
          <w:rFonts w:ascii="Times New Roman" w:cs="Times New Roman" w:eastAsia="Times New Roman" w:hAnsi="Times New Roman"/>
          <w:sz w:val="18"/>
          <w:szCs w:val="18"/>
          <w:color w:val="auto"/>
        </w:rPr>
      </w:pPr>
    </w:p>
    <w:p>
      <w:pPr>
        <w:ind w:left="1280" w:right="619" w:hanging="328"/>
        <w:spacing w:after="0" w:line="226"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106,369 Free Shares 2023-1: the Acquisition Period shall end on the latest date between (i) the first (1st) anniversary of the allocation date, and (ii) the date on which a specific performance condition is fulfilled (condition 3);</w:t>
      </w:r>
    </w:p>
    <w:p>
      <w:pPr>
        <w:spacing w:after="0" w:line="63" w:lineRule="exact"/>
        <w:rPr>
          <w:rFonts w:ascii="Times New Roman" w:cs="Times New Roman" w:eastAsia="Times New Roman" w:hAnsi="Times New Roman"/>
          <w:sz w:val="18"/>
          <w:szCs w:val="18"/>
          <w:color w:val="auto"/>
        </w:rPr>
      </w:pPr>
    </w:p>
    <w:p>
      <w:pPr>
        <w:ind w:left="1280" w:right="459" w:hanging="328"/>
        <w:spacing w:after="0" w:line="216" w:lineRule="auto"/>
        <w:tabs>
          <w:tab w:leader="none" w:pos="12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106,368 Free Shares 2023-1: the Acquisition Period shall end on the first (1st) anniversary of the allocation date subject to the completion, prior to such date, of a specific performance condition (condition 4).</w:t>
      </w:r>
    </w:p>
    <w:p>
      <w:pPr>
        <w:spacing w:after="0" w:line="1" w:lineRule="exact"/>
        <w:rPr>
          <w:rFonts w:ascii="Times New Roman" w:cs="Times New Roman" w:eastAsia="Times New Roman" w:hAnsi="Times New Roman"/>
          <w:sz w:val="18"/>
          <w:szCs w:val="18"/>
          <w:color w:val="auto"/>
        </w:rPr>
      </w:pPr>
    </w:p>
    <w:p>
      <w:pPr>
        <w:ind w:left="780" w:hanging="488"/>
        <w:spacing w:after="0" w:line="219"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Periods shall be as follows:</w:t>
      </w:r>
    </w:p>
    <w:p>
      <w:pPr>
        <w:ind w:left="1320" w:hanging="380"/>
        <w:spacing w:after="0" w:line="234" w:lineRule="auto"/>
        <w:tabs>
          <w:tab w:leader="none" w:pos="1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50% of the Free Shares (rounded down to the closest unit): the Acquisition Period shall end on the</w:t>
      </w:r>
    </w:p>
    <w:p>
      <w:pPr>
        <w:ind w:left="1260"/>
        <w:spacing w:after="0" w:line="219" w:lineRule="auto"/>
        <w:rPr>
          <w:sz w:val="20"/>
          <w:szCs w:val="20"/>
          <w:color w:val="auto"/>
        </w:rPr>
      </w:pPr>
      <w:r>
        <w:rPr>
          <w:rFonts w:ascii="Times New Roman" w:cs="Times New Roman" w:eastAsia="Times New Roman" w:hAnsi="Times New Roman"/>
          <w:sz w:val="18"/>
          <w:szCs w:val="18"/>
          <w:color w:val="auto"/>
        </w:rPr>
        <w:t>second (2nd) anniversary of the allocation date;</w:t>
      </w:r>
    </w:p>
    <w:p>
      <w:pPr>
        <w:spacing w:after="0" w:line="1" w:lineRule="exact"/>
        <w:rPr>
          <w:sz w:val="20"/>
          <w:szCs w:val="20"/>
          <w:color w:val="auto"/>
        </w:rPr>
      </w:pPr>
    </w:p>
    <w:p>
      <w:pPr>
        <w:ind w:left="1260" w:right="319" w:hanging="320"/>
        <w:spacing w:after="0" w:line="234" w:lineRule="auto"/>
        <w:tabs>
          <w:tab w:leader="none" w:pos="132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25% of the Free Shares (rounded down to the closest unit): the Acquisition Period shall end on the third (3rd) anniversary of the allocation date;</w:t>
      </w:r>
    </w:p>
    <w:p>
      <w:pPr>
        <w:spacing w:after="0" w:line="1" w:lineRule="exact"/>
        <w:rPr>
          <w:rFonts w:ascii="Times New Roman" w:cs="Times New Roman" w:eastAsia="Times New Roman" w:hAnsi="Times New Roman"/>
          <w:sz w:val="18"/>
          <w:szCs w:val="18"/>
          <w:color w:val="auto"/>
        </w:rPr>
      </w:pPr>
    </w:p>
    <w:p>
      <w:pPr>
        <w:ind w:left="1260" w:right="399" w:hanging="320"/>
        <w:spacing w:after="0" w:line="219" w:lineRule="auto"/>
        <w:tabs>
          <w:tab w:leader="none" w:pos="132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remainder of the Free Shares: the Acquisition Period shall end on the fourth (4th) anniversary of the allocation date.</w:t>
      </w:r>
    </w:p>
    <w:p>
      <w:pPr>
        <w:ind w:left="780" w:hanging="488"/>
        <w:spacing w:after="0" w:line="219" w:lineRule="auto"/>
        <w:tabs>
          <w:tab w:leader="none" w:pos="7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Periods shall be as follows:</w:t>
      </w:r>
    </w:p>
    <w:p>
      <w:pPr>
        <w:ind w:left="1260" w:right="679" w:hanging="320"/>
        <w:spacing w:after="0" w:line="234" w:lineRule="auto"/>
        <w:tabs>
          <w:tab w:leader="none" w:pos="132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230,500 of the Free Shares 2025-1 (rounded down to the closest unit): the Acquisition Period shall end on the second (2nd) anniversary of the allocation date;</w:t>
      </w:r>
    </w:p>
    <w:p>
      <w:pPr>
        <w:spacing w:after="0" w:line="1" w:lineRule="exact"/>
        <w:rPr>
          <w:rFonts w:ascii="Times New Roman" w:cs="Times New Roman" w:eastAsia="Times New Roman" w:hAnsi="Times New Roman"/>
          <w:sz w:val="18"/>
          <w:szCs w:val="18"/>
          <w:color w:val="auto"/>
        </w:rPr>
      </w:pPr>
    </w:p>
    <w:p>
      <w:pPr>
        <w:ind w:left="1260" w:right="699" w:hanging="320"/>
        <w:spacing w:after="0" w:line="226" w:lineRule="auto"/>
        <w:tabs>
          <w:tab w:leader="none" w:pos="132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115,250 of the Free Shares 2025-1 (rounded down to the closest unit): the Acquisition Period shall end on the third (3rd) anniversary of the allocation date;</w:t>
      </w:r>
    </w:p>
    <w:p>
      <w:pPr>
        <w:spacing w:after="0" w:line="1" w:lineRule="exact"/>
        <w:rPr>
          <w:rFonts w:ascii="Times New Roman" w:cs="Times New Roman" w:eastAsia="Times New Roman" w:hAnsi="Times New Roman"/>
          <w:sz w:val="18"/>
          <w:szCs w:val="18"/>
          <w:color w:val="auto"/>
        </w:rPr>
      </w:pPr>
    </w:p>
    <w:p>
      <w:pPr>
        <w:ind w:left="1260" w:right="1139" w:hanging="320"/>
        <w:spacing w:after="0" w:line="226" w:lineRule="auto"/>
        <w:tabs>
          <w:tab w:leader="none" w:pos="132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115,250 of the Free Shares 2025-1: the Acquisition Period shall end on the fourth (4th) anniversary of the allocation date.</w:t>
      </w:r>
    </w:p>
    <w:p>
      <w:pPr>
        <w:spacing w:after="0" w:line="1" w:lineRule="exact"/>
        <w:rPr>
          <w:rFonts w:ascii="Times New Roman" w:cs="Times New Roman" w:eastAsia="Times New Roman" w:hAnsi="Times New Roman"/>
          <w:sz w:val="18"/>
          <w:szCs w:val="18"/>
          <w:color w:val="auto"/>
        </w:rPr>
      </w:pPr>
    </w:p>
    <w:p>
      <w:pPr>
        <w:ind w:left="1260" w:right="539" w:hanging="320"/>
        <w:spacing w:after="0" w:line="271" w:lineRule="auto"/>
        <w:tabs>
          <w:tab w:leader="none" w:pos="132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475,000 of the Free Shares 2025-1: the shares will be definitively acquired on the latest date between (i) February 6, 2027 and (ii) the date on which a specific performance condition is fulfilled.</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Provisions or Allocations to Pay Pensions, Retirement or Other Benefits for Directors and Management</w:t>
      </w:r>
    </w:p>
    <w:p>
      <w:pPr>
        <w:spacing w:after="0" w:line="81"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For the fiscal year ended December 31, 2025, none of the amounts set aside or accrued to provide pension, retirement or similar benefits to our employees was attributable to our administrative, supervisory or management</w:t>
      </w:r>
    </w:p>
    <w:p>
      <w:pPr>
        <w:ind w:left="300"/>
        <w:spacing w:after="0" w:line="203" w:lineRule="auto"/>
        <w:rPr>
          <w:sz w:val="20"/>
          <w:szCs w:val="20"/>
          <w:color w:val="auto"/>
        </w:rPr>
      </w:pPr>
      <w:r>
        <w:rPr>
          <w:rFonts w:ascii="Times New Roman" w:cs="Times New Roman" w:eastAsia="Times New Roman" w:hAnsi="Times New Roman"/>
          <w:sz w:val="18"/>
          <w:szCs w:val="18"/>
          <w:color w:val="auto"/>
        </w:rPr>
        <w:t>bodies. We have not set aside any provisions to pay pensions, retirement and other benefits for corporate directors.</w:t>
      </w:r>
    </w:p>
    <w:p>
      <w:pPr>
        <w:ind w:left="300"/>
        <w:spacing w:after="0"/>
        <w:rPr>
          <w:sz w:val="20"/>
          <w:szCs w:val="20"/>
          <w:color w:val="auto"/>
        </w:rPr>
      </w:pPr>
      <w:r>
        <w:rPr>
          <w:rFonts w:ascii="Times New Roman" w:cs="Times New Roman" w:eastAsia="Times New Roman" w:hAnsi="Times New Roman"/>
          <w:sz w:val="18"/>
          <w:szCs w:val="18"/>
          <w:color w:val="auto"/>
        </w:rPr>
        <w:t>The directors’ compensation does not include any profit-sharing plans.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except for our Chief</w:t>
      </w:r>
    </w:p>
    <w:p>
      <w:pPr>
        <w:spacing w:after="0" w:line="2" w:lineRule="exact"/>
        <w:rPr>
          <w:sz w:val="20"/>
          <w:szCs w:val="20"/>
          <w:color w:val="auto"/>
        </w:rPr>
      </w:pPr>
    </w:p>
    <w:p>
      <w:pPr>
        <w:ind w:left="300" w:right="559"/>
        <w:spacing w:after="0" w:line="226" w:lineRule="auto"/>
        <w:rPr>
          <w:sz w:val="20"/>
          <w:szCs w:val="20"/>
          <w:color w:val="auto"/>
        </w:rPr>
      </w:pPr>
      <w:r>
        <w:rPr>
          <w:rFonts w:ascii="Times New Roman" w:cs="Times New Roman" w:eastAsia="Times New Roman" w:hAnsi="Times New Roman"/>
          <w:sz w:val="18"/>
          <w:szCs w:val="18"/>
          <w:color w:val="auto"/>
        </w:rPr>
        <w:t>Executive Officer, who is a corporate officer (</w:t>
      </w:r>
      <w:r>
        <w:rPr>
          <w:rFonts w:ascii="Times New Roman" w:cs="Times New Roman" w:eastAsia="Times New Roman" w:hAnsi="Times New Roman"/>
          <w:sz w:val="18"/>
          <w:szCs w:val="18"/>
          <w:i w:val="1"/>
          <w:iCs w:val="1"/>
          <w:color w:val="auto"/>
        </w:rPr>
        <w:t>mandataire social</w:t>
      </w:r>
      <w:r>
        <w:rPr>
          <w:rFonts w:ascii="Times New Roman" w:cs="Times New Roman" w:eastAsia="Times New Roman" w:hAnsi="Times New Roman"/>
          <w:sz w:val="18"/>
          <w:szCs w:val="18"/>
          <w:color w:val="auto"/>
        </w:rPr>
        <w:t xml:space="preserve"> ) with whom we have entered into a management contract. We have also entered into a management contract with Ms. Sylvie Grégoire.</w:t>
      </w:r>
    </w:p>
    <w:p>
      <w:pPr>
        <w:sectPr>
          <w:pgSz w:w="11900" w:h="16891" w:orient="portrait"/>
          <w:cols w:equalWidth="0" w:num="1">
            <w:col w:w="9019"/>
          </w:cols>
          <w:pgMar w:left="1440" w:top="1440" w:right="1440" w:bottom="0" w:gutter="0" w:footer="0" w:header="0"/>
          <w:type w:val="continuous"/>
        </w:sectPr>
      </w:pPr>
    </w:p>
    <w:bookmarkStart w:id="92" w:name="page93"/>
    <w:bookmarkEnd w:id="92"/>
    <w:p>
      <w:pPr>
        <w:ind w:left="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990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6115" cy="1990725"/>
                    </a:xfrm>
                    <a:prstGeom prst="rect">
                      <a:avLst/>
                    </a:prstGeom>
                    <a:noFill/>
                  </pic:spPr>
                </pic:pic>
              </a:graphicData>
            </a:graphic>
          </wp:anchor>
        </w:drawing>
        <w:t>Our Chief Executive Officer has been appointed for a term lasting until the end of the Board meeting</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following the general meeting of shareholders held to approve the financial statements for the year ending December 31, 2026. He was also appointed as Chairman of the Board for a term lasting until the end of the Board meeting following the general meeting of shareholders held to approve the financial statements for the year ending December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31, 2024; however, Mr. de Garidel resigned from his office as Chairman of the Board on July 11, 2024. In case of termination of the Chief Executive Officer as a result of (i) non-renewal, (ii) revocation except for gross negligence or willful misconduct and/or (iii) resignation justified by invalidity or health issues or Mr. de Garidel’s definitive</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retirement (a “Qualifying Departure”), Mr. de Garidel shall be entitled to a severance payment equal to 12 months of the higher of either (i) the monthly average fixed remuneration and variable remuneration received by Mr.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4429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16115" cy="844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19"/>
        <w:spacing w:after="0" w:line="236" w:lineRule="auto"/>
        <w:rPr>
          <w:sz w:val="20"/>
          <w:szCs w:val="20"/>
          <w:color w:val="auto"/>
        </w:rPr>
      </w:pPr>
      <w:r>
        <w:rPr>
          <w:rFonts w:ascii="Times New Roman" w:cs="Times New Roman" w:eastAsia="Times New Roman" w:hAnsi="Times New Roman"/>
          <w:sz w:val="17"/>
          <w:szCs w:val="17"/>
          <w:color w:val="auto"/>
        </w:rPr>
        <w:t>Garidel during the 12-month period preceding the effective date of the Qualifying Departure, or (ii) the monthly average fixed remuneration received by Mr. de Garidel during the 12-month period preceding the effective date of</w:t>
      </w: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the Qualifying Departure plus 1/12th of the variable remuneration for the financial year immediately preceding the date of the Qualifying Departure, irrespective of the date of payment of that variable remuneration.</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Dr. Grégoire was appointed, effective on July 11, 2024, as Chairperson of the Board. We entered into a</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management contract with Ms. Sylvie Grégoire to set forth the terms and conditions of her office. For the duration of the contract and a period of twelve (12) months maximum from the effective date of the termination of her functions as Chairperson, Dr. Grégoire is bound by non-compete and non-solicitation undertakings. It is specified</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that the compensation for the undertakings set forth above is included in the compensation paid to Dr. Grégoire during the term of her office as Chairperson and that no additional compensation shall be paid to Dr. Grégoire in connection therewith (including after the term of her office as Chairperson). The corporate office of Dr. Grégoire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terminates in accordance with the applicable law and the provisions of the by-laws of the Company.</w:t>
      </w:r>
    </w:p>
    <w:p>
      <w:pPr>
        <w:spacing w:after="0" w:line="57"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Each of our executive officers has agreed to maintain the confidentiality of any confidential information, both during and after the employment/management agreement expires or is earlier terminated. In addition, they are</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subject to loyalty and confidentiality obligations and certain of them are bound by a non-solicitation covenant that prohibits such executive officer from soliciting our customers, or soliciting or hiring our executive employees and those of our employees working in the same team as our executive officer, during his or her employment/office and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one year after the termination of his or her employment/office.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Free Shares (AGA)</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On February 6, 2025, Mr. de Garidel, Mr. Didier Blondel, and Mr. Fabio Cataldi were allocated 1,846,000 free</w:t>
      </w:r>
    </w:p>
    <w:p>
      <w:pPr>
        <w:spacing w:after="0" w:line="14"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shares (AGA) in the aggregate, the vesting of which is subject to a presence condition. Subject to remaining employed with us, each such officer or employee’s free shares (AGA) will be vested as follows: (i) 50% at the end of a two-year period from the allocation date, (ii) 25% at the end of a three-year period from the allocation date and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(iii) 25% at the end of a four-year period from the allocation date.</w:t>
      </w:r>
    </w:p>
    <w:p>
      <w:pPr>
        <w:spacing w:after="0" w:line="57"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On February 6, 2025, Mr. de Garidel, Mr. Didier Blondel, and Mr. Fabio Cataldi were further allocated 70,139 free shares (AGA) in the aggregate, the vesting of which is subject to a presence condition. Subject to remaining</w:t>
      </w:r>
    </w:p>
    <w:p>
      <w:pPr>
        <w:ind w:left="300" w:right="519"/>
        <w:spacing w:after="0" w:line="226" w:lineRule="auto"/>
        <w:rPr>
          <w:sz w:val="20"/>
          <w:szCs w:val="20"/>
          <w:color w:val="auto"/>
        </w:rPr>
      </w:pPr>
      <w:r>
        <w:rPr>
          <w:rFonts w:ascii="Times New Roman" w:cs="Times New Roman" w:eastAsia="Times New Roman" w:hAnsi="Times New Roman"/>
          <w:sz w:val="18"/>
          <w:szCs w:val="18"/>
          <w:color w:val="auto"/>
        </w:rPr>
        <w:t>employed with us, each such officer or employee’s free shares (AGA) will be fully vested at the end of a two-year period from the allocation date.</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February 6, 2025, Dr. Grégoire was allocated 30,500 free shares (AGA), the vesting of which is subject to</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a presence condition. Subject to remaining Chairman of the Board, free shares (AGA) will be vested as follows: (i) 50% at the end of a two-year period from the allocation date, (ii) 25% at the end of a three-year period from the allocation date and (iii) 25% at the end of a four-year period from the allocation date.</w:t>
      </w:r>
    </w:p>
    <w:p>
      <w:pPr>
        <w:spacing w:after="0" w:line="64" w:lineRule="exact"/>
        <w:rPr>
          <w:sz w:val="20"/>
          <w:szCs w:val="20"/>
          <w:color w:val="auto"/>
        </w:rPr>
      </w:pPr>
    </w:p>
    <w:p>
      <w:pPr>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On August 1, 2025, Mr. de Garidel, Mr. Didier Blondel, and Mr. Fabio Cataldi were allocated 280,000 free shares (AGA) in the aggregate, the vesting of which is subject to a presence condition. Subject to remaining employed with us, each such officer or employee’s free shares (AGA) will be vested as follows: (i) 50% at the end</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of a two-year period from the allocation date, (ii) 25% at the end of a three-year period from the allocation date and (iii) 25% at the end of a four-year period from the allocation date.</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We believe our ability to grant equity incentives is a valuable and necessary compensation tool that allows us to attract and retain the best personnel for positions of substantial responsibility, provides additional incentives to</w:t>
      </w: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employees and promotes the success of our business. Due to French corporate law and tax considerations, we have historically granted several different equity incentive instruments to our executive officers, Board members and employees, including founder's share warrants (BCE), share warrants (BSA) and free shares (AGA).</w:t>
      </w:r>
    </w:p>
    <w:p>
      <w:pPr>
        <w:spacing w:after="0" w:line="64" w:lineRule="exact"/>
        <w:rPr>
          <w:sz w:val="20"/>
          <w:szCs w:val="20"/>
          <w:color w:val="auto"/>
        </w:rPr>
      </w:pPr>
    </w:p>
    <w:p>
      <w:pPr>
        <w:ind w:left="300" w:right="519" w:firstLine="441"/>
        <w:spacing w:after="0" w:line="229" w:lineRule="auto"/>
        <w:rPr>
          <w:sz w:val="20"/>
          <w:szCs w:val="20"/>
          <w:color w:val="auto"/>
        </w:rPr>
      </w:pPr>
      <w:r>
        <w:rPr>
          <w:rFonts w:ascii="Times New Roman" w:cs="Times New Roman" w:eastAsia="Times New Roman" w:hAnsi="Times New Roman"/>
          <w:sz w:val="17"/>
          <w:szCs w:val="17"/>
          <w:color w:val="auto"/>
        </w:rPr>
        <w:t>Our Board's authority to grant these equity incentive instruments and the aggregate amount authorized to be granted under these instruments must be approved by a two-thirds majority of the votes held by our shareholders present, represented or voting by authorized means, at the relevant extraordinary shareholders’ meeting. Once</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approved by our shareholders, our Board can grant share warrants (BSA) for up to 18 months, and stock options and/or free shares (AGA) for up to 38 months from the date of the applicable shareholders’ approval. The authority of our Board to grant equity incentives may be extended or increased only by extraordinary shareholders’ meetings.</w:t>
      </w:r>
    </w:p>
    <w:p>
      <w:pPr>
        <w:spacing w:after="0" w:line="2"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As a result, we typically request that our shareholders authorize new pools of equity incentive instruments at every annual shareholders’ meeting.</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Founder's Share Warrants (BCE)</w:t>
      </w:r>
    </w:p>
    <w:p>
      <w:pPr>
        <w:spacing w:after="0" w:line="121" w:lineRule="exact"/>
        <w:rPr>
          <w:sz w:val="20"/>
          <w:szCs w:val="20"/>
          <w:color w:val="auto"/>
        </w:rPr>
      </w:pPr>
    </w:p>
    <w:p>
      <w:pPr>
        <w:ind w:left="300" w:right="379" w:firstLine="441"/>
        <w:spacing w:after="0" w:line="279" w:lineRule="auto"/>
        <w:rPr>
          <w:sz w:val="20"/>
          <w:szCs w:val="20"/>
          <w:color w:val="auto"/>
        </w:rPr>
      </w:pPr>
      <w:r>
        <w:rPr>
          <w:rFonts w:ascii="Times New Roman" w:cs="Times New Roman" w:eastAsia="Times New Roman" w:hAnsi="Times New Roman"/>
          <w:sz w:val="17"/>
          <w:szCs w:val="17"/>
          <w:color w:val="auto"/>
        </w:rPr>
        <w:t>Founder’s share warrants (BCE) have traditionally been granted to certain of our employees who were French tax residents because the warrants carry favorable tax and social security treatment for French tax residents. Similar</w:t>
      </w:r>
    </w:p>
    <w:p>
      <w:pPr>
        <w:sectPr>
          <w:pgSz w:w="11900" w:h="16838" w:orient="portrait"/>
          <w:cols w:equalWidth="0" w:num="1">
            <w:col w:w="9019"/>
          </w:cols>
          <w:pgMar w:left="1440" w:top="162" w:right="1440" w:bottom="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19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16115" cy="619125"/>
                    </a:xfrm>
                    <a:prstGeom prst="rect">
                      <a:avLst/>
                    </a:prstGeom>
                    <a:noFill/>
                  </pic:spPr>
                </pic:pic>
              </a:graphicData>
            </a:graphic>
          </wp:anchor>
        </w:drawing>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661"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319"/>
        <w:spacing w:after="0" w:line="236" w:lineRule="auto"/>
        <w:rPr>
          <w:sz w:val="20"/>
          <w:szCs w:val="20"/>
          <w:color w:val="auto"/>
        </w:rPr>
      </w:pPr>
      <w:r>
        <w:rPr>
          <w:rFonts w:ascii="Times New Roman" w:cs="Times New Roman" w:eastAsia="Times New Roman" w:hAnsi="Times New Roman"/>
          <w:sz w:val="17"/>
          <w:szCs w:val="17"/>
          <w:color w:val="auto"/>
        </w:rPr>
        <w:t>to options, founder’s share warrants (BCE) entitle a holder to exercise the warrant for the underlying vested shares at an exercise price per share determined by our Board and at least equal to the fair market value of an ordinary share</w:t>
      </w: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on the date of grant. However, unlike options, the exercise price per share is fixed as of the date of implementation of the plans pursuant to which the warrants may be granted, rather than as of the date of grant of the individual warrants.</w:t>
      </w:r>
    </w:p>
    <w:p>
      <w:pPr>
        <w:spacing w:after="0" w:line="64"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Our shareholders, or pursuant to delegations granted by our shareholders, our Board, determines the recipients of the warrants, the dates of grant, the number and exercise price of the founder’s share warrants (BCE) to be granted, the number of shares issuable upon exercise and certain other terms and conditions of the founder’s share</w:t>
      </w:r>
    </w:p>
    <w:p>
      <w:pPr>
        <w:ind w:left="300"/>
        <w:spacing w:after="0"/>
        <w:rPr>
          <w:sz w:val="20"/>
          <w:szCs w:val="20"/>
          <w:color w:val="auto"/>
        </w:rPr>
      </w:pPr>
      <w:r>
        <w:rPr>
          <w:rFonts w:ascii="Times New Roman" w:cs="Times New Roman" w:eastAsia="Times New Roman" w:hAnsi="Times New Roman"/>
          <w:sz w:val="18"/>
          <w:szCs w:val="18"/>
          <w:color w:val="auto"/>
        </w:rPr>
        <w:t>warrants (BCE), including the period of their exercisability and their vesting schedule.</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February 28, 2026, we had several types of founder’s share warrants (BCE) oustanding as follows: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BCE-</w:t>
            </w:r>
          </w:p>
        </w:tc>
        <w:tc>
          <w:tcPr>
            <w:tcW w:w="13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BCE-</w:t>
            </w:r>
          </w:p>
        </w:tc>
        <w:tc>
          <w:tcPr>
            <w:tcW w:w="13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BCE-</w:t>
            </w:r>
          </w:p>
        </w:tc>
        <w:tc>
          <w:tcPr>
            <w:tcW w:w="13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BCE-</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BCE-2018-4</w:t>
            </w:r>
          </w:p>
        </w:tc>
      </w:tr>
      <w:tr>
        <w:trPr>
          <w:trHeight w:val="190"/>
        </w:trPr>
        <w:tc>
          <w:tcPr>
            <w:tcW w:w="188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2017-1</w:t>
            </w:r>
          </w:p>
        </w:tc>
        <w:tc>
          <w:tcPr>
            <w:tcW w:w="13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2017-2</w:t>
            </w:r>
          </w:p>
        </w:tc>
        <w:tc>
          <w:tcPr>
            <w:tcW w:w="13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2017-4</w:t>
            </w:r>
          </w:p>
        </w:tc>
        <w:tc>
          <w:tcPr>
            <w:tcW w:w="13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2017-5</w:t>
            </w:r>
          </w:p>
        </w:tc>
        <w:tc>
          <w:tcPr>
            <w:tcW w:w="1220" w:type="dxa"/>
            <w:vAlign w:val="bottom"/>
          </w:tcPr>
          <w:p>
            <w:pPr>
              <w:spacing w:after="0"/>
              <w:rPr>
                <w:sz w:val="16"/>
                <w:szCs w:val="16"/>
                <w:color w:val="auto"/>
              </w:rPr>
            </w:pPr>
          </w:p>
        </w:tc>
      </w:tr>
      <w:tr>
        <w:trPr>
          <w:trHeight w:val="486"/>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23/01/2027</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20/11/2027</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20/11/2027</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20/11/2027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14/05/2028</w:t>
            </w: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Subscription or purchase</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 per share (€)</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6.39</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11.14</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11.14</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conditions</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Achievement of</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Achievement of</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Achievement of</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Achievement of</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Achievement of</w:t>
            </w:r>
          </w:p>
        </w:tc>
      </w:tr>
      <w:tr>
        <w:trPr>
          <w:trHeight w:val="162"/>
        </w:trPr>
        <w:tc>
          <w:tcPr>
            <w:tcW w:w="1880" w:type="dxa"/>
            <w:vAlign w:val="bottom"/>
          </w:tcPr>
          <w:p>
            <w:pPr>
              <w:spacing w:after="0"/>
              <w:rPr>
                <w:sz w:val="14"/>
                <w:szCs w:val="14"/>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objectives</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objectives Note (2)</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objectives Note (3)</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objectives Note (4)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objectives Note (5)</w:t>
            </w:r>
          </w:p>
        </w:tc>
      </w:tr>
      <w:tr>
        <w:trPr>
          <w:trHeight w:val="188"/>
        </w:trPr>
        <w:tc>
          <w:tcPr>
            <w:tcW w:w="188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Note (1)</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23,843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Beneficiaries </w:t>
            </w:r>
            <w:r>
              <w:rPr>
                <w:rFonts w:ascii="Times New Roman" w:cs="Times New Roman" w:eastAsia="Times New Roman" w:hAnsi="Times New Roman"/>
                <w:sz w:val="14"/>
                <w:szCs w:val="14"/>
                <w:color w:val="auto"/>
              </w:rPr>
              <w:t>(remaining</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number of shares that can be</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subscribed)</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112,500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16,844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w:t>
            </w: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Cumulative number of</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37,500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26,687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cancelled or lapsed BCEs</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4"/>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BCEs outstanding as of</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112,500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16,844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28/02/2026</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4"/>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BCEs exercisable at</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112,500</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33,687</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16,844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w:t>
            </w:r>
          </w:p>
        </w:tc>
      </w:tr>
      <w:tr>
        <w:trPr>
          <w:trHeight w:val="190"/>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28/02/2026*</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3" w:lineRule="exact"/>
        <w:rPr>
          <w:sz w:val="20"/>
          <w:szCs w:val="20"/>
          <w:color w:val="auto"/>
        </w:rPr>
      </w:pPr>
    </w:p>
    <w:p>
      <w:pPr>
        <w:jc w:val="both"/>
        <w:ind w:left="300" w:right="699" w:hanging="8"/>
        <w:spacing w:after="0" w:line="263" w:lineRule="auto"/>
        <w:tabs>
          <w:tab w:leader="none" w:pos="516"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number of shares to which the exercise of the BSAs and BCEs entitles the holder has been multiplied by 100 for all BSAs and BCEs issued prior to the division by 100 of the nominal value of the shares, decided by our general meeting on February 20, 2015. According the exercise conditions provided in the notes below and assuming that performance objectives have been achieved.</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(1)  33,687 BCE-2017-1 are exercisable subject to a service condition, which is fully fulfilled on the date hereof, 16,844 BCE-2017-1 are</w:t>
      </w:r>
    </w:p>
    <w:p>
      <w:pPr>
        <w:spacing w:after="0" w:line="42" w:lineRule="exact"/>
        <w:rPr>
          <w:sz w:val="20"/>
          <w:szCs w:val="20"/>
          <w:color w:val="auto"/>
        </w:rPr>
      </w:pPr>
    </w:p>
    <w:p>
      <w:pPr>
        <w:ind w:left="300" w:right="1019"/>
        <w:spacing w:after="0" w:line="261" w:lineRule="auto"/>
        <w:rPr>
          <w:sz w:val="20"/>
          <w:szCs w:val="20"/>
          <w:color w:val="auto"/>
        </w:rPr>
      </w:pPr>
      <w:r>
        <w:rPr>
          <w:rFonts w:ascii="Times New Roman" w:cs="Times New Roman" w:eastAsia="Times New Roman" w:hAnsi="Times New Roman"/>
          <w:sz w:val="14"/>
          <w:szCs w:val="14"/>
          <w:color w:val="auto"/>
        </w:rPr>
        <w:t>exercisable exclusively in the event of achievement of the qualitative objectives (non-market conditions) set by the Board, and 16,843 BCE-2017-1 are exercisable exclusively in the event of achievement of the quantitative targets (market conditions) set by the Board.</w:t>
      </w:r>
    </w:p>
    <w:p>
      <w:pPr>
        <w:spacing w:after="0" w:line="1" w:lineRule="exact"/>
        <w:rPr>
          <w:sz w:val="20"/>
          <w:szCs w:val="20"/>
          <w:color w:val="auto"/>
        </w:rPr>
      </w:pPr>
    </w:p>
    <w:p>
      <w:pPr>
        <w:ind w:left="300" w:right="439" w:firstLine="102"/>
        <w:spacing w:after="0" w:line="301" w:lineRule="auto"/>
        <w:tabs>
          <w:tab w:leader="none" w:pos="68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75,000 BCE-2017-2 are exercisable subject to a service condition, which is fully fulfilled on the date hereof: and 75,000 BCE-2017-2 are exercisable exclusively in the event of the achievement of qualitative objectives (non-market conditions) set by the Board.</w:t>
      </w:r>
    </w:p>
    <w:p>
      <w:pPr>
        <w:spacing w:after="0" w:line="1" w:lineRule="exact"/>
        <w:rPr>
          <w:rFonts w:ascii="Times New Roman" w:cs="Times New Roman" w:eastAsia="Times New Roman" w:hAnsi="Times New Roman"/>
          <w:sz w:val="14"/>
          <w:szCs w:val="14"/>
          <w:color w:val="auto"/>
        </w:rPr>
      </w:pPr>
    </w:p>
    <w:p>
      <w:pPr>
        <w:ind w:left="300" w:right="439" w:firstLine="102"/>
        <w:spacing w:after="0" w:line="301" w:lineRule="auto"/>
        <w:tabs>
          <w:tab w:leader="none" w:pos="68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33,687 BCE-2017-4 are exercisable subject to a service condition, which is fully fulfilled on the date hereof, and 33,687 BCE-2017-4 are exercisable exclusively in the event of the achievement of qualitative objectives (non-market conditions) set by the Board.</w:t>
      </w:r>
    </w:p>
    <w:p>
      <w:pPr>
        <w:spacing w:after="0" w:line="1" w:lineRule="exact"/>
        <w:rPr>
          <w:rFonts w:ascii="Times New Roman" w:cs="Times New Roman" w:eastAsia="Times New Roman" w:hAnsi="Times New Roman"/>
          <w:sz w:val="14"/>
          <w:szCs w:val="14"/>
          <w:color w:val="auto"/>
        </w:rPr>
      </w:pPr>
    </w:p>
    <w:p>
      <w:pPr>
        <w:ind w:left="300" w:right="439" w:firstLine="102"/>
        <w:spacing w:after="0" w:line="301" w:lineRule="auto"/>
        <w:tabs>
          <w:tab w:leader="none" w:pos="68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16,843 BCE-2017-5 are exercisable subject to a service condition, which is fully fulfilled on the date hereof, and 16,844 BCE-2017-5 are exercisable exclusively in the event of the achievement of qualitative objectives (non-market conditions) set by the Board.</w:t>
      </w:r>
    </w:p>
    <w:p>
      <w:pPr>
        <w:spacing w:after="0" w:line="1" w:lineRule="exact"/>
        <w:rPr>
          <w:rFonts w:ascii="Times New Roman" w:cs="Times New Roman" w:eastAsia="Times New Roman" w:hAnsi="Times New Roman"/>
          <w:sz w:val="14"/>
          <w:szCs w:val="14"/>
          <w:color w:val="auto"/>
        </w:rPr>
      </w:pPr>
    </w:p>
    <w:p>
      <w:pPr>
        <w:ind w:left="300" w:right="579" w:firstLine="102"/>
        <w:spacing w:after="0" w:line="342" w:lineRule="auto"/>
        <w:tabs>
          <w:tab w:leader="none" w:pos="68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8,422 BCE-2018-4 are exercisable subject to a service condition, which is fully fulfilled on the date hereof, and 8,421 BCE-2018-4 are exercisable exclusively in the event of the achievement of qualitative objectives (non-market conditions) set by the Board.</w:t>
      </w:r>
    </w:p>
    <w:p>
      <w:pPr>
        <w:spacing w:after="0" w:line="153"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General note: all of our BCE plans provide for specific cases of acceleration resulting in the exercise of said BCEs in the event of the occurrence of specific events and in particular in the event of a change of control of us.</w:t>
      </w:r>
    </w:p>
    <w:p>
      <w:pPr>
        <w:sectPr>
          <w:pgSz w:w="11900" w:h="16838" w:orient="portrait"/>
          <w:cols w:equalWidth="0" w:num="1">
            <w:col w:w="9019"/>
          </w:cols>
          <w:pgMar w:left="1440" w:top="661" w:right="1440" w:bottom="9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59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16115" cy="659130"/>
                    </a:xfrm>
                    <a:prstGeom prst="rect">
                      <a:avLst/>
                    </a:prstGeom>
                    <a:noFill/>
                  </pic:spPr>
                </pic:pic>
              </a:graphicData>
            </a:graphic>
          </wp:anchor>
        </w:drawing>
      </w:r>
    </w:p>
    <w:p>
      <w:pPr>
        <w:sectPr>
          <w:pgSz w:w="11900" w:h="16838" w:orient="portrait"/>
          <w:cols w:equalWidth="0" w:num="1">
            <w:col w:w="9019"/>
          </w:cols>
          <w:pgMar w:left="1440" w:top="661" w:right="1440" w:bottom="987" w:gutter="0" w:footer="0" w:header="0"/>
          <w:type w:val="continuous"/>
        </w:sectPr>
      </w:pPr>
    </w:p>
    <w:bookmarkStart w:id="94" w:name="page95"/>
    <w:bookmarkEnd w:id="94"/>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402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16115" cy="840295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Warrants (BSA)</w:t>
      </w:r>
    </w:p>
    <w:p>
      <w:pPr>
        <w:spacing w:after="0" w:line="121" w:lineRule="exact"/>
        <w:rPr>
          <w:sz w:val="20"/>
          <w:szCs w:val="20"/>
          <w:color w:val="auto"/>
        </w:rPr>
      </w:pPr>
    </w:p>
    <w:p>
      <w:pPr>
        <w:ind w:left="300" w:right="799" w:firstLine="441"/>
        <w:spacing w:after="0" w:line="236" w:lineRule="auto"/>
        <w:rPr>
          <w:sz w:val="20"/>
          <w:szCs w:val="20"/>
          <w:color w:val="auto"/>
        </w:rPr>
      </w:pPr>
      <w:r>
        <w:rPr>
          <w:rFonts w:ascii="Times New Roman" w:cs="Times New Roman" w:eastAsia="Times New Roman" w:hAnsi="Times New Roman"/>
          <w:sz w:val="17"/>
          <w:szCs w:val="17"/>
          <w:color w:val="auto"/>
        </w:rPr>
        <w:t>Share warrants (BSA) have historically been granted to our non-employee directors and consultants that regularly work in partnership with us. Similar to options, share warrants (BSA) entitle a holder to exercise the</w:t>
      </w:r>
    </w:p>
    <w:p>
      <w:pPr>
        <w:jc w:val="both"/>
        <w:ind w:left="300" w:right="379"/>
        <w:spacing w:after="0" w:line="220" w:lineRule="auto"/>
        <w:rPr>
          <w:sz w:val="20"/>
          <w:szCs w:val="20"/>
          <w:color w:val="auto"/>
        </w:rPr>
      </w:pPr>
      <w:r>
        <w:rPr>
          <w:rFonts w:ascii="Times New Roman" w:cs="Times New Roman" w:eastAsia="Times New Roman" w:hAnsi="Times New Roman"/>
          <w:sz w:val="17"/>
          <w:szCs w:val="17"/>
          <w:color w:val="auto"/>
        </w:rPr>
        <w:t>warrant for the underlying vested shares at an exercise price per share determined by our Board and at least equal to the fair market value of an ordinary share on the date of grant. However, unlike options, the exercise price per share is fixed as of the date of implementation of the plans pursuant to which the warrants may be granted, rather than as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date of grant of the individual warrants.</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February 28, 2026, we had several types of share warrants (BSA) outstanding as follows:</w:t>
      </w:r>
    </w:p>
    <w:p>
      <w:pPr>
        <w:spacing w:after="0" w:line="200" w:lineRule="exact"/>
        <w:rPr>
          <w:sz w:val="20"/>
          <w:szCs w:val="20"/>
          <w:color w:val="auto"/>
        </w:rPr>
      </w:pPr>
    </w:p>
    <w:p>
      <w:pPr>
        <w:spacing w:after="0" w:line="338"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BSA-2018- 1</w:t>
            </w:r>
          </w:p>
        </w:tc>
        <w:tc>
          <w:tcPr>
            <w:tcW w:w="7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BSA 2024-1</w:t>
            </w:r>
          </w:p>
        </w:tc>
        <w:tc>
          <w:tcPr>
            <w:tcW w:w="7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BSA 2024-2</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BSA-2025-1</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BSA-2025-2</w:t>
            </w: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BSA 2025-3</w:t>
            </w: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w w:val="93"/>
              </w:rPr>
              <w:t>BSA 2026-1</w:t>
            </w: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 of general meeting</w:t>
            </w:r>
          </w:p>
        </w:tc>
        <w:tc>
          <w:tcPr>
            <w:tcW w:w="7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23/06/2017</w:t>
            </w: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5/6/2023</w:t>
            </w:r>
          </w:p>
        </w:tc>
        <w:tc>
          <w:tcPr>
            <w:tcW w:w="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5/6/2023</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30/05/2024</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30/05/2024</w:t>
            </w:r>
          </w:p>
        </w:tc>
        <w:tc>
          <w:tcPr>
            <w:tcW w:w="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30/05/2024</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06/06/2025</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 of Board meeting</w:t>
            </w:r>
          </w:p>
        </w:tc>
        <w:tc>
          <w:tcPr>
            <w:tcW w:w="7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22/01/2018</w:t>
            </w: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28/3/2024</w:t>
            </w:r>
          </w:p>
        </w:tc>
        <w:tc>
          <w:tcPr>
            <w:tcW w:w="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28/3/2024</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8/1/2025</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8/1/2025</w:t>
            </w:r>
          </w:p>
        </w:tc>
        <w:tc>
          <w:tcPr>
            <w:tcW w:w="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01/05/2025</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05/02/2026</w:t>
            </w:r>
          </w:p>
        </w:tc>
      </w:tr>
      <w:tr>
        <w:trPr>
          <w:trHeight w:val="155"/>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Date of decision of the Chief Executive</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Officer</w:t>
            </w: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4/4/2024</w:t>
            </w:r>
          </w:p>
        </w:tc>
        <w:tc>
          <w:tcPr>
            <w:tcW w:w="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4/4/2024</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13/01/2025</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13/01/2025</w:t>
            </w:r>
          </w:p>
        </w:tc>
        <w:tc>
          <w:tcPr>
            <w:tcW w:w="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01/05/2025</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12/02/2026</w:t>
            </w:r>
          </w:p>
        </w:tc>
      </w:tr>
      <w:tr>
        <w:trPr>
          <w:trHeight w:val="157"/>
        </w:trPr>
        <w:tc>
          <w:tcPr>
            <w:tcW w:w="2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number of shares that may be subscribed or</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1880" w:type="dxa"/>
            <w:vAlign w:val="bottom"/>
          </w:tcPr>
          <w:p>
            <w:pPr>
              <w:spacing w:after="0"/>
              <w:rPr>
                <w:sz w:val="20"/>
                <w:szCs w:val="20"/>
                <w:color w:val="auto"/>
              </w:rPr>
            </w:pPr>
            <w:r>
              <w:rPr>
                <w:rFonts w:ascii="Times New Roman" w:cs="Times New Roman" w:eastAsia="Times New Roman" w:hAnsi="Times New Roman"/>
                <w:sz w:val="11"/>
                <w:szCs w:val="11"/>
                <w:color w:val="auto"/>
              </w:rPr>
              <w:t>purchased (</w:t>
            </w:r>
            <w:r>
              <w:rPr>
                <w:rFonts w:ascii="Times New Roman" w:cs="Times New Roman" w:eastAsia="Times New Roman" w:hAnsi="Times New Roman"/>
                <w:sz w:val="7"/>
                <w:szCs w:val="7"/>
                <w:color w:val="auto"/>
              </w:rPr>
              <w:t>*</w:t>
            </w:r>
            <w:r>
              <w:rPr>
                <w:rFonts w:ascii="Times New Roman" w:cs="Times New Roman" w:eastAsia="Times New Roman" w:hAnsi="Times New Roman"/>
                <w:sz w:val="11"/>
                <w:szCs w:val="11"/>
                <w:color w:val="auto"/>
              </w:rPr>
              <w:t>) :</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Corinna zur Bonsen-Thomas </w:t>
            </w:r>
            <w:r>
              <w:rPr>
                <w:rFonts w:ascii="Times New Roman" w:cs="Times New Roman" w:eastAsia="Times New Roman" w:hAnsi="Times New Roman"/>
                <w:sz w:val="11"/>
                <w:szCs w:val="11"/>
                <w:b w:val="1"/>
                <w:bCs w:val="1"/>
                <w:color w:val="B4B4B4"/>
                <w:w w:val="98"/>
              </w:rPr>
              <w:t>..................</w:t>
            </w:r>
          </w:p>
        </w:tc>
        <w:tc>
          <w:tcPr>
            <w:tcW w:w="7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19,455</w:t>
            </w:r>
          </w:p>
        </w:tc>
        <w:tc>
          <w:tcPr>
            <w:tcW w:w="76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June Lee </w:t>
            </w:r>
            <w:r>
              <w:rPr>
                <w:rFonts w:ascii="Times New Roman" w:cs="Times New Roman" w:eastAsia="Times New Roman" w:hAnsi="Times New Roman"/>
                <w:sz w:val="11"/>
                <w:szCs w:val="11"/>
                <w:b w:val="1"/>
                <w:bCs w:val="1"/>
                <w:color w:val="B4B4B4"/>
                <w:w w:val="98"/>
              </w:rPr>
              <w:t>....................................................</w:t>
            </w: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19,455</w:t>
            </w:r>
          </w:p>
        </w:tc>
        <w:tc>
          <w:tcPr>
            <w:tcW w:w="7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7,414</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9"/>
              </w:rPr>
              <w:t>Troy Ignelzi</w:t>
            </w:r>
            <w:r>
              <w:rPr>
                <w:rFonts w:ascii="Times New Roman" w:cs="Times New Roman" w:eastAsia="Times New Roman" w:hAnsi="Times New Roman"/>
                <w:sz w:val="11"/>
                <w:szCs w:val="11"/>
                <w:b w:val="1"/>
                <w:bCs w:val="1"/>
                <w:color w:val="B4B4B4"/>
                <w:w w:val="99"/>
              </w:rPr>
              <w:t>...............................................</w:t>
            </w: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19,455</w:t>
            </w:r>
          </w:p>
        </w:tc>
        <w:tc>
          <w:tcPr>
            <w:tcW w:w="7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Camilla Soenderby </w:t>
            </w:r>
            <w:r>
              <w:rPr>
                <w:rFonts w:ascii="Times New Roman" w:cs="Times New Roman" w:eastAsia="Times New Roman" w:hAnsi="Times New Roman"/>
                <w:sz w:val="11"/>
                <w:szCs w:val="11"/>
                <w:b w:val="1"/>
                <w:bCs w:val="1"/>
                <w:color w:val="B4B4B4"/>
                <w:w w:val="98"/>
              </w:rPr>
              <w: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19455</w:t>
            </w: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7,661</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9"/>
              </w:rPr>
              <w:t xml:space="preserve">Dominik Höchli </w:t>
            </w:r>
            <w:r>
              <w:rPr>
                <w:rFonts w:ascii="Times New Roman" w:cs="Times New Roman" w:eastAsia="Times New Roman" w:hAnsi="Times New Roman"/>
                <w:sz w:val="11"/>
                <w:szCs w:val="11"/>
                <w:b w:val="1"/>
                <w:bCs w:val="1"/>
                <w:color w:val="B4B4B4"/>
                <w:w w:val="99"/>
              </w:rPr>
              <w: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39,370</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2,471</w:t>
            </w: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Others </w:t>
            </w:r>
            <w:r>
              <w:rPr>
                <w:rFonts w:ascii="Times New Roman" w:cs="Times New Roman" w:eastAsia="Times New Roman" w:hAnsi="Times New Roman"/>
                <w:sz w:val="11"/>
                <w:szCs w:val="11"/>
                <w:b w:val="1"/>
                <w:bCs w:val="1"/>
                <w:color w:val="B4B4B4"/>
                <w:w w:val="98"/>
              </w:rPr>
              <w:t>........................................................</w:t>
            </w:r>
          </w:p>
        </w:tc>
        <w:tc>
          <w:tcPr>
            <w:tcW w:w="7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49,200</w:t>
            </w:r>
          </w:p>
        </w:tc>
        <w:tc>
          <w:tcPr>
            <w:tcW w:w="7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w:t>
            </w:r>
          </w:p>
        </w:tc>
        <w:tc>
          <w:tcPr>
            <w:tcW w:w="7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5,931</w:t>
            </w:r>
          </w:p>
        </w:tc>
      </w:tr>
    </w:tbl>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The number of shares to which the exercise of the BSAs and BCEs entitles the holder has been multiplied by 100 for all BSAs and BCEs</w:t>
      </w:r>
    </w:p>
    <w:p>
      <w:pPr>
        <w:spacing w:after="0" w:line="4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4"/>
          <w:szCs w:val="14"/>
          <w:color w:val="auto"/>
        </w:rPr>
        <w:t>issued prior to the division by 100 of the nominal value of the shares, decided by our general meeting on February 20, 2015. Consequently, BSA 2014-3, BSA 2014-4 and BSA 2014-5 have a warrant to share ratio of 1:100.</w:t>
      </w: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BSA-2018-1</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BSA 2024-1</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BSA 2024-2</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BSA-2025-1</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BSA-2025-2</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BSA-2025-3</w:t>
            </w:r>
          </w:p>
        </w:tc>
        <w:tc>
          <w:tcPr>
            <w:tcW w:w="8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BSA-2026-1</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Starting date for exercising</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22/01/2018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1/1/2025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1/4/2025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1/1/2026</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1/1/2026</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5/1/2026</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2/1/2027</w:t>
            </w:r>
          </w:p>
        </w:tc>
      </w:tr>
      <w:tr>
        <w:trPr>
          <w:trHeight w:val="142"/>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options </w:t>
            </w:r>
            <w:r>
              <w:rPr>
                <w:rFonts w:ascii="Times New Roman" w:cs="Times New Roman" w:eastAsia="Times New Roman" w:hAnsi="Times New Roman"/>
                <w:sz w:val="11"/>
                <w:szCs w:val="11"/>
                <w:b w:val="1"/>
                <w:bCs w:val="1"/>
                <w:color w:val="B4B4B4"/>
              </w:rPr>
              <w: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Expiry date. </w:t>
            </w:r>
            <w:r>
              <w:rPr>
                <w:rFonts w:ascii="Times New Roman" w:cs="Times New Roman" w:eastAsia="Times New Roman" w:hAnsi="Times New Roman"/>
                <w:sz w:val="11"/>
                <w:szCs w:val="11"/>
                <w:b w:val="1"/>
                <w:bCs w:val="1"/>
                <w:color w:val="B4B4B4"/>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22/01/2028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4/4/2034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4/4/2034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13/01/2035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13/01/2035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5/1/2036</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2/12/2036</w:t>
            </w:r>
          </w:p>
        </w:tc>
      </w:tr>
      <w:tr>
        <w:trPr>
          <w:trHeight w:val="438"/>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Subscription or purchase price</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0.9</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w:t>
            </w:r>
          </w:p>
        </w:tc>
      </w:tr>
      <w:tr>
        <w:trPr>
          <w:trHeight w:val="142"/>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color w:val="B4B4B4"/>
              </w:rPr>
              <w: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Exercise price per share (€)</w:t>
            </w:r>
            <w:r>
              <w:rPr>
                <w:rFonts w:ascii="Times New Roman" w:cs="Times New Roman" w:eastAsia="Times New Roman" w:hAnsi="Times New Roman"/>
                <w:sz w:val="11"/>
                <w:szCs w:val="11"/>
                <w:b w:val="1"/>
                <w:bCs w:val="1"/>
                <w:color w:val="B4B4B4"/>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99.63</w:t>
            </w:r>
          </w:p>
        </w:tc>
      </w:tr>
      <w:tr>
        <w:trPr>
          <w:trHeight w:val="175"/>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Terms of exercise </w:t>
            </w:r>
            <w:r>
              <w:rPr>
                <w:rFonts w:ascii="Times New Roman" w:cs="Times New Roman" w:eastAsia="Times New Roman" w:hAnsi="Times New Roman"/>
                <w:sz w:val="11"/>
                <w:szCs w:val="11"/>
                <w:b w:val="1"/>
                <w:bCs w:val="1"/>
                <w:color w:val="B4B4B4"/>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Note (1)</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Note (2)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Note (3)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Note (4)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Note (5)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Note (6)</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Note (7)</w:t>
            </w:r>
          </w:p>
        </w:tc>
      </w:tr>
      <w:tr>
        <w:trPr>
          <w:trHeight w:val="175"/>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 of shares subscribed</w:t>
            </w:r>
            <w:r>
              <w:rPr>
                <w:rFonts w:ascii="Times New Roman" w:cs="Times New Roman" w:eastAsia="Times New Roman" w:hAnsi="Times New Roman"/>
                <w:sz w:val="11"/>
                <w:szCs w:val="11"/>
                <w:b w:val="1"/>
                <w:bCs w:val="1"/>
                <w:color w:val="B4B4B4"/>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Cumulative number of BSA</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cancelled or lapsed </w:t>
            </w:r>
            <w:r>
              <w:rPr>
                <w:rFonts w:ascii="Times New Roman" w:cs="Times New Roman" w:eastAsia="Times New Roman" w:hAnsi="Times New Roman"/>
                <w:sz w:val="11"/>
                <w:szCs w:val="11"/>
                <w:b w:val="1"/>
                <w:bCs w:val="1"/>
                <w:color w:val="B4B4B4"/>
              </w:rPr>
              <w: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BSAs as of February 28, 2026 </w:t>
            </w:r>
            <w:r>
              <w:rPr>
                <w:rFonts w:ascii="Times New Roman" w:cs="Times New Roman" w:eastAsia="Times New Roman" w:hAnsi="Times New Roman"/>
                <w:sz w:val="11"/>
                <w:szCs w:val="11"/>
                <w:b w:val="1"/>
                <w:bCs w:val="1"/>
                <w:color w:val="B4B4B4"/>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53,502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19,455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25,000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39,370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23,477</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BSA potentially exercisable as</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24,318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25000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6,250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1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of February 28 2026,* </w:t>
            </w:r>
            <w:r>
              <w:rPr>
                <w:rFonts w:ascii="Times New Roman" w:cs="Times New Roman" w:eastAsia="Times New Roman" w:hAnsi="Times New Roman"/>
                <w:sz w:val="11"/>
                <w:szCs w:val="11"/>
                <w:b w:val="1"/>
                <w:bCs w:val="1"/>
                <w:color w:val="B4B4B4"/>
              </w:rPr>
              <w: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bl>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The number of shares to which the exercise of the BSAs and BCEs entitles the holder has been multiplied by 100 for all BSAs and BCEs</w:t>
      </w:r>
    </w:p>
    <w:p>
      <w:pPr>
        <w:spacing w:after="0" w:line="42" w:lineRule="exact"/>
        <w:rPr>
          <w:sz w:val="20"/>
          <w:szCs w:val="20"/>
          <w:color w:val="auto"/>
        </w:rPr>
      </w:pPr>
    </w:p>
    <w:p>
      <w:pPr>
        <w:jc w:val="both"/>
        <w:ind w:left="300" w:right="579"/>
        <w:spacing w:after="0" w:line="271" w:lineRule="auto"/>
        <w:rPr>
          <w:sz w:val="20"/>
          <w:szCs w:val="20"/>
          <w:color w:val="auto"/>
        </w:rPr>
      </w:pPr>
      <w:r>
        <w:rPr>
          <w:rFonts w:ascii="Times New Roman" w:cs="Times New Roman" w:eastAsia="Times New Roman" w:hAnsi="Times New Roman"/>
          <w:sz w:val="14"/>
          <w:szCs w:val="14"/>
          <w:color w:val="auto"/>
        </w:rPr>
        <w:t>issued prior to the division by 100 of the nominal value of the shares, decided by our general meeting on February 20, 2015. According to the exercise conditions provided in the notes below and assuming that the objectives have been achieved.</w:t>
      </w:r>
    </w:p>
    <w:p>
      <w:pPr>
        <w:spacing w:after="0" w:line="1" w:lineRule="exact"/>
        <w:rPr>
          <w:sz w:val="20"/>
          <w:szCs w:val="20"/>
          <w:color w:val="auto"/>
        </w:rPr>
      </w:pPr>
    </w:p>
    <w:p>
      <w:pPr>
        <w:ind w:left="620" w:hanging="218"/>
        <w:spacing w:after="0"/>
        <w:tabs>
          <w:tab w:leader="none" w:pos="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 fully vested on the date hereof.</w:t>
      </w:r>
    </w:p>
    <w:p>
      <w:pPr>
        <w:spacing w:after="0" w:line="28"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17"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1"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1"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1"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1" w:lineRule="exact"/>
        <w:rPr>
          <w:rFonts w:ascii="Times New Roman" w:cs="Times New Roman" w:eastAsia="Times New Roman" w:hAnsi="Times New Roman"/>
          <w:sz w:val="14"/>
          <w:szCs w:val="14"/>
          <w:color w:val="auto"/>
        </w:rPr>
      </w:pPr>
    </w:p>
    <w:p>
      <w:pPr>
        <w:ind w:left="600" w:hanging="198"/>
        <w:spacing w:after="0"/>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Progressive vesting in time.</w:t>
      </w:r>
    </w:p>
    <w:p>
      <w:pPr>
        <w:spacing w:after="0" w:line="205"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General note: all of our BSA plans provide for specific cases of acceleration resulting in the exercise of said BSAs in the event of the occurrence of specific events and in particular in the event of a change of control of us.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Free Shares (AGA)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0307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16115" cy="203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firstLine="441"/>
        <w:spacing w:after="0" w:line="237" w:lineRule="auto"/>
        <w:rPr>
          <w:sz w:val="20"/>
          <w:szCs w:val="20"/>
          <w:color w:val="auto"/>
        </w:rPr>
      </w:pPr>
      <w:r>
        <w:rPr>
          <w:rFonts w:ascii="Times New Roman" w:cs="Times New Roman" w:eastAsia="Times New Roman" w:hAnsi="Times New Roman"/>
          <w:sz w:val="18"/>
          <w:szCs w:val="18"/>
          <w:color w:val="auto"/>
        </w:rPr>
        <w:t>Free ordinary shares (AGA) are employee equity incentive instruments pursuant to which the beneficiaries are granted, for free, the possibility to receive our ordinary shares under certain conditions.</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February 28, 2026, we had issued free shares (AGA)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14"/>
          <w:szCs w:val="14"/>
          <w:b w:val="1"/>
          <w:bCs w:val="1"/>
          <w:color w:val="auto"/>
        </w:rPr>
        <w:t>General Meeting date</w:t>
      </w:r>
      <w:r>
        <w:rPr>
          <w:sz w:val="20"/>
          <w:szCs w:val="20"/>
          <w:color w:val="auto"/>
        </w:rPr>
        <w:tab/>
      </w:r>
      <w:r>
        <w:rPr>
          <w:rFonts w:ascii="Times New Roman" w:cs="Times New Roman" w:eastAsia="Times New Roman" w:hAnsi="Times New Roman"/>
          <w:sz w:val="14"/>
          <w:szCs w:val="14"/>
          <w:color w:val="auto"/>
        </w:rPr>
        <w:t>June 5, 2023</w:t>
      </w:r>
    </w:p>
    <w:p>
      <w:pPr>
        <w:spacing w:after="0" w:line="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decision </w:t>
      </w:r>
      <w:r>
        <w:rPr>
          <w:rFonts w:ascii="Times New Roman" w:cs="Times New Roman" w:eastAsia="Times New Roman" w:hAnsi="Times New Roman"/>
          <w:sz w:val="14"/>
          <w:szCs w:val="14"/>
          <w:color w:val="auto"/>
        </w:rPr>
        <w:t>July 11, 2023</w:t>
      </w:r>
    </w:p>
    <w:p>
      <w:pPr>
        <w:spacing w:after="0" w:line="55"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1,382,796</w:t>
            </w:r>
          </w:p>
        </w:tc>
      </w:tr>
    </w:tbl>
    <w:p>
      <w:pPr>
        <w:sectPr>
          <w:pgSz w:w="11900" w:h="16908" w:orient="portrait"/>
          <w:cols w:equalWidth="0" w:num="1">
            <w:col w:w="9019"/>
          </w:cols>
          <w:pgMar w:left="1440" w:top="360" w:right="1440" w:bottom="0" w:gutter="0" w:footer="0" w:header="0"/>
        </w:sectPr>
      </w:pPr>
    </w:p>
    <w:bookmarkStart w:id="95" w:name="page96"/>
    <w:bookmarkEnd w:id="95"/>
    <w:p>
      <w:pPr>
        <w:spacing w:after="0" w:line="7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60" w:type="dxa"/>
            <w:vAlign w:val="bottom"/>
          </w:tcPr>
          <w:p>
            <w:pPr>
              <w:spacing w:after="0"/>
              <w:rPr>
                <w:sz w:val="13"/>
                <w:szCs w:val="13"/>
                <w:color w:val="auto"/>
              </w:rPr>
            </w:pPr>
          </w:p>
        </w:tc>
        <w:tc>
          <w:tcPr>
            <w:tcW w:w="57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Free ordinary share plan AGA 2023-1</w:t>
            </w:r>
          </w:p>
        </w:tc>
        <w:tc>
          <w:tcPr>
            <w:tcW w:w="0" w:type="dxa"/>
            <w:vAlign w:val="bottom"/>
          </w:tcPr>
          <w:p>
            <w:pPr>
              <w:spacing w:after="0"/>
              <w:rPr>
                <w:sz w:val="1"/>
                <w:szCs w:val="1"/>
                <w:color w:val="auto"/>
              </w:rPr>
            </w:pPr>
          </w:p>
        </w:tc>
      </w:tr>
      <w:tr>
        <w:trPr>
          <w:trHeight w:val="54"/>
        </w:trPr>
        <w:tc>
          <w:tcPr>
            <w:tcW w:w="1700" w:type="dxa"/>
            <w:vAlign w:val="bottom"/>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Plan name</w:t>
            </w:r>
          </w:p>
        </w:tc>
        <w:tc>
          <w:tcPr>
            <w:tcW w:w="660" w:type="dxa"/>
            <w:vAlign w:val="bottom"/>
          </w:tcPr>
          <w:p>
            <w:pPr>
              <w:spacing w:after="0"/>
              <w:rPr>
                <w:sz w:val="4"/>
                <w:szCs w:val="4"/>
                <w:color w:val="auto"/>
              </w:rPr>
            </w:pPr>
          </w:p>
        </w:tc>
        <w:tc>
          <w:tcPr>
            <w:tcW w:w="5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1,382,796</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212,738 Free Shares 2023-1 shall vest on July 11, 2024;</w:t>
            </w:r>
          </w:p>
        </w:tc>
        <w:tc>
          <w:tcPr>
            <w:tcW w:w="0" w:type="dxa"/>
            <w:vAlign w:val="bottom"/>
          </w:tcPr>
          <w:p>
            <w:pPr>
              <w:spacing w:after="0"/>
              <w:rPr>
                <w:sz w:val="1"/>
                <w:szCs w:val="1"/>
                <w:color w:val="auto"/>
              </w:rPr>
            </w:pPr>
          </w:p>
        </w:tc>
      </w:tr>
      <w:tr>
        <w:trPr>
          <w:trHeight w:val="275"/>
        </w:trPr>
        <w:tc>
          <w:tcPr>
            <w:tcW w:w="170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638,214 Free Shares 2023-1 shall progressively be definitively acquired on a monthly basis over a</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period of three (3) years starting after July 11, 2024 (i.e. 17,728 Free Shares 2023-1 per month</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except for the last month of the three-year period where 17,734 Free Shares 2023-1 shall be</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acquired). The duration of the acquisition period of these Free Shares 2023-1 shall be calculated</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accordingly;</w:t>
            </w: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212,738 Free Shares 2023-1 shall vest on the latest date between (i) July 11, 2024, and (ii) the</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receipt by the Company of a Marketing Authorization for one of its products in a first</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indication in the United States of America prior to June 30, 2026;</w:t>
            </w: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106,369 Free Shares 2023-1 shall vest on the latest date between (i) July 11, 2024, and (ii) the</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the successful completion of the initial public offering of the Company’s shares (or</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depositary receipts representing any such shares) on the NASDAQ stock exchange in New York</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allowing the Company to raise an amount of gross proceeds at least equal to one hundred million</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($100,000,000) on or before June 30, 2024;</w:t>
            </w: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106,369 Free Shares 2023-1 shall vest on the latest date between (i) July 11, 2024, and (ii) the</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on which that the market capitalization of the Company remains superior or equal to one</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billion euros (€1,000,000,000) for a consecutive period of at least three (3) months prior to</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106,368 Free Shares 2023-1 shall vest on July 11, 2024 subject to the completion, prior to such</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a M&amp;A transaction in which the valuation of the Company is at least equal to one billion</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euros (€1,000,000,000) on a fully diluted basis.</w:t>
            </w:r>
          </w:p>
        </w:tc>
        <w:tc>
          <w:tcPr>
            <w:tcW w:w="0" w:type="dxa"/>
            <w:vAlign w:val="bottom"/>
          </w:tcPr>
          <w:p>
            <w:pPr>
              <w:spacing w:after="0"/>
              <w:rPr>
                <w:sz w:val="1"/>
                <w:szCs w:val="1"/>
                <w:color w:val="auto"/>
              </w:rPr>
            </w:pPr>
          </w:p>
        </w:tc>
      </w:tr>
      <w:tr>
        <w:trPr>
          <w:trHeight w:val="27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All ordinary shares vesting before July 11, 2025 shall be subject to a lock-up period ending on July 11, 2025.</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Ordinary shares vesting after July 11, 2025 are not subject to a lock-up period.</w:t>
            </w:r>
          </w:p>
        </w:tc>
        <w:tc>
          <w:tcPr>
            <w:tcW w:w="0" w:type="dxa"/>
            <w:vAlign w:val="bottom"/>
          </w:tcPr>
          <w:p>
            <w:pPr>
              <w:spacing w:after="0"/>
              <w:rPr>
                <w:sz w:val="1"/>
                <w:szCs w:val="1"/>
                <w:color w:val="auto"/>
              </w:rPr>
            </w:pP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638,211</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531,848</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-5504815</wp:posOffset>
            </wp:positionV>
            <wp:extent cx="7016115" cy="7031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6115" cy="703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4023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16115" cy="340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212,737</w:t>
            </w:r>
          </w:p>
        </w:tc>
      </w:tr>
    </w:tbl>
    <w:p>
      <w:pPr>
        <w:jc w:val="center"/>
        <w:ind w:right="5739"/>
        <w:spacing w:after="0"/>
        <w:rPr>
          <w:sz w:val="20"/>
          <w:szCs w:val="20"/>
          <w:color w:val="auto"/>
        </w:rPr>
      </w:pPr>
      <w:r>
        <w:rPr>
          <w:rFonts w:ascii="Times New Roman" w:cs="Times New Roman" w:eastAsia="Times New Roman" w:hAnsi="Times New Roman"/>
          <w:sz w:val="14"/>
          <w:szCs w:val="14"/>
          <w:b w:val="1"/>
          <w:bCs w:val="1"/>
          <w:color w:val="auto"/>
        </w:rPr>
        <w:t>lapsed as of February 28,</w:t>
      </w:r>
    </w:p>
    <w:p>
      <w:pPr>
        <w:spacing w:after="0" w:line="15" w:lineRule="exact"/>
        <w:rPr>
          <w:sz w:val="20"/>
          <w:szCs w:val="20"/>
          <w:color w:val="auto"/>
        </w:rPr>
      </w:pPr>
    </w:p>
    <w:p>
      <w:pPr>
        <w:jc w:val="center"/>
        <w:ind w:right="5739"/>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40" w:lineRule="exact"/>
        <w:rPr>
          <w:sz w:val="20"/>
          <w:szCs w:val="20"/>
          <w:color w:val="auto"/>
        </w:rPr>
      </w:pPr>
    </w:p>
    <w:p>
      <w:pPr>
        <w:ind w:left="2580" w:right="359" w:hanging="1660"/>
        <w:spacing w:after="0" w:line="281" w:lineRule="auto"/>
        <w:tabs>
          <w:tab w:leader="none" w:pos="2560" w:val="left"/>
        </w:tabs>
        <w:rPr>
          <w:sz w:val="20"/>
          <w:szCs w:val="20"/>
          <w:color w:val="auto"/>
        </w:rPr>
      </w:pPr>
      <w:r>
        <w:rPr>
          <w:rFonts w:ascii="Times New Roman" w:cs="Times New Roman" w:eastAsia="Times New Roman" w:hAnsi="Times New Roman"/>
          <w:sz w:val="14"/>
          <w:szCs w:val="14"/>
          <w:b w:val="1"/>
          <w:bCs w:val="1"/>
          <w:color w:val="auto"/>
        </w:rPr>
        <w:t>Employment conditions</w:t>
      </w:r>
      <w:r>
        <w:rPr>
          <w:sz w:val="20"/>
          <w:szCs w:val="20"/>
          <w:color w:val="auto"/>
        </w:rPr>
        <w:tab/>
      </w:r>
      <w:r>
        <w:rPr>
          <w:rFonts w:ascii="Times New Roman" w:cs="Times New Roman" w:eastAsia="Times New Roman" w:hAnsi="Times New Roman"/>
          <w:sz w:val="14"/>
          <w:szCs w:val="14"/>
          <w:color w:val="auto"/>
        </w:rPr>
        <w:t>For all of the ordinary shares, the vesting is subject to the beneficiary of the plan retaining, on an ongoing basis, the status of corporate officer or employee of the Company and/or one of its direct and/or indirect subsidiaries, as applicable.</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July 11, 2023</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100,000</w:t>
            </w:r>
          </w:p>
        </w:tc>
        <w:tc>
          <w:tcPr>
            <w:tcW w:w="404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040" w:type="dxa"/>
            <w:vAlign w:val="bottom"/>
          </w:tcPr>
          <w:p>
            <w:pPr>
              <w:spacing w:after="0"/>
              <w:rPr>
                <w:sz w:val="19"/>
                <w:szCs w:val="19"/>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04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04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04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100,000</w:t>
            </w:r>
          </w:p>
        </w:tc>
        <w:tc>
          <w:tcPr>
            <w:tcW w:w="4040" w:type="dxa"/>
            <w:vAlign w:val="bottom"/>
          </w:tcPr>
          <w:p>
            <w:pPr>
              <w:spacing w:after="0"/>
              <w:rPr>
                <w:sz w:val="18"/>
                <w:szCs w:val="18"/>
                <w:color w:val="auto"/>
              </w:rPr>
            </w:pPr>
          </w:p>
        </w:tc>
      </w:tr>
      <w:tr>
        <w:trPr>
          <w:trHeight w:val="30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July 11, 2024; and</w:t>
            </w:r>
          </w:p>
        </w:tc>
      </w:tr>
    </w:tbl>
    <w:p>
      <w:pPr>
        <w:sectPr>
          <w:pgSz w:w="11900" w:h="16916" w:orient="portrait"/>
          <w:cols w:equalWidth="0" w:num="1">
            <w:col w:w="9019"/>
          </w:cols>
          <w:pgMar w:left="1440" w:top="100" w:right="1440" w:bottom="0" w:gutter="0" w:footer="0" w:header="0"/>
        </w:sectPr>
      </w:pPr>
    </w:p>
    <w:bookmarkStart w:id="96" w:name="page97"/>
    <w:bookmarkEnd w:id="96"/>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22"/>
                <w:szCs w:val="22"/>
                <w:color w:val="auto"/>
              </w:rPr>
              <w:t>•</w:t>
            </w:r>
          </w:p>
        </w:tc>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9"/>
              </w:rPr>
              <w:t>75% of the ordinary shares</w:t>
            </w:r>
            <w:r>
              <w:rPr>
                <w:rFonts w:ascii="Times New Roman" w:cs="Times New Roman" w:eastAsia="Times New Roman" w:hAnsi="Times New Roman"/>
                <w:sz w:val="14"/>
                <w:szCs w:val="14"/>
                <w:b w:val="1"/>
                <w:bCs w:val="1"/>
                <w:color w:val="auto"/>
                <w:w w:val="79"/>
              </w:rPr>
              <w:t>Free</w:t>
            </w:r>
            <w:r>
              <w:rPr>
                <w:rFonts w:ascii="Times New Roman" w:cs="Times New Roman" w:eastAsia="Times New Roman" w:hAnsi="Times New Roman"/>
                <w:sz w:val="14"/>
                <w:szCs w:val="14"/>
                <w:color w:val="auto"/>
                <w:w w:val="79"/>
              </w:rPr>
              <w:t>allocated</w:t>
            </w:r>
            <w:r>
              <w:rPr>
                <w:rFonts w:ascii="Times New Roman" w:cs="Times New Roman" w:eastAsia="Times New Roman" w:hAnsi="Times New Roman"/>
                <w:sz w:val="14"/>
                <w:szCs w:val="14"/>
                <w:b w:val="1"/>
                <w:bCs w:val="1"/>
                <w:color w:val="auto"/>
                <w:w w:val="79"/>
              </w:rPr>
              <w:t>ordinary</w:t>
            </w:r>
            <w:r>
              <w:rPr>
                <w:rFonts w:ascii="Times New Roman" w:cs="Times New Roman" w:eastAsia="Times New Roman" w:hAnsi="Times New Roman"/>
                <w:sz w:val="14"/>
                <w:szCs w:val="14"/>
                <w:color w:val="auto"/>
                <w:w w:val="79"/>
              </w:rPr>
              <w:t>shall</w:t>
            </w:r>
            <w:r>
              <w:rPr>
                <w:rFonts w:ascii="Times New Roman" w:cs="Times New Roman" w:eastAsia="Times New Roman" w:hAnsi="Times New Roman"/>
                <w:sz w:val="14"/>
                <w:szCs w:val="14"/>
                <w:b w:val="1"/>
                <w:bCs w:val="1"/>
                <w:color w:val="auto"/>
                <w:w w:val="79"/>
              </w:rPr>
              <w:t>shar</w:t>
            </w:r>
            <w:r>
              <w:rPr>
                <w:rFonts w:ascii="Times New Roman" w:cs="Times New Roman" w:eastAsia="Times New Roman" w:hAnsi="Times New Roman"/>
                <w:sz w:val="14"/>
                <w:szCs w:val="14"/>
                <w:color w:val="auto"/>
                <w:w w:val="79"/>
              </w:rPr>
              <w:t>vest</w:t>
            </w:r>
            <w:r>
              <w:rPr>
                <w:rFonts w:ascii="Times New Roman" w:cs="Times New Roman" w:eastAsia="Times New Roman" w:hAnsi="Times New Roman"/>
                <w:sz w:val="14"/>
                <w:szCs w:val="14"/>
                <w:b w:val="1"/>
                <w:bCs w:val="1"/>
                <w:color w:val="auto"/>
                <w:w w:val="79"/>
              </w:rPr>
              <w:t>pla</w:t>
            </w:r>
            <w:r>
              <w:rPr>
                <w:rFonts w:ascii="Times New Roman" w:cs="Times New Roman" w:eastAsia="Times New Roman" w:hAnsi="Times New Roman"/>
                <w:sz w:val="14"/>
                <w:szCs w:val="14"/>
                <w:color w:val="auto"/>
                <w:w w:val="79"/>
              </w:rPr>
              <w:t>o</w:t>
            </w:r>
            <w:r>
              <w:rPr>
                <w:rFonts w:ascii="Times New Roman" w:cs="Times New Roman" w:eastAsia="Times New Roman" w:hAnsi="Times New Roman"/>
                <w:sz w:val="14"/>
                <w:szCs w:val="14"/>
                <w:b w:val="1"/>
                <w:bCs w:val="1"/>
                <w:color w:val="auto"/>
                <w:w w:val="79"/>
              </w:rPr>
              <w:t>n</w:t>
            </w:r>
            <w:r>
              <w:rPr>
                <w:rFonts w:ascii="Times New Roman" w:cs="Times New Roman" w:eastAsia="Times New Roman" w:hAnsi="Times New Roman"/>
                <w:sz w:val="14"/>
                <w:szCs w:val="14"/>
                <w:color w:val="auto"/>
                <w:w w:val="79"/>
              </w:rPr>
              <w:t xml:space="preserve"> the</w:t>
            </w:r>
            <w:r>
              <w:rPr>
                <w:rFonts w:ascii="Times New Roman" w:cs="Times New Roman" w:eastAsia="Times New Roman" w:hAnsi="Times New Roman"/>
                <w:sz w:val="14"/>
                <w:szCs w:val="14"/>
                <w:b w:val="1"/>
                <w:bCs w:val="1"/>
                <w:color w:val="auto"/>
                <w:w w:val="79"/>
              </w:rPr>
              <w:t>AGA</w:t>
            </w:r>
            <w:r>
              <w:rPr>
                <w:rFonts w:ascii="Times New Roman" w:cs="Times New Roman" w:eastAsia="Times New Roman" w:hAnsi="Times New Roman"/>
                <w:sz w:val="14"/>
                <w:szCs w:val="14"/>
                <w:color w:val="auto"/>
                <w:w w:val="79"/>
              </w:rPr>
              <w:t>latest</w:t>
            </w:r>
            <w:r>
              <w:rPr>
                <w:rFonts w:ascii="Times New Roman" w:cs="Times New Roman" w:eastAsia="Times New Roman" w:hAnsi="Times New Roman"/>
                <w:sz w:val="14"/>
                <w:szCs w:val="14"/>
                <w:b w:val="1"/>
                <w:bCs w:val="1"/>
                <w:color w:val="auto"/>
                <w:w w:val="79"/>
              </w:rPr>
              <w:t>2023</w:t>
            </w:r>
            <w:r>
              <w:rPr>
                <w:rFonts w:ascii="Times New Roman" w:cs="Times New Roman" w:eastAsia="Times New Roman" w:hAnsi="Times New Roman"/>
                <w:sz w:val="14"/>
                <w:szCs w:val="14"/>
                <w:color w:val="auto"/>
                <w:w w:val="79"/>
              </w:rPr>
              <w:t>date</w:t>
            </w:r>
            <w:r>
              <w:rPr>
                <w:rFonts w:ascii="Times New Roman" w:cs="Times New Roman" w:eastAsia="Times New Roman" w:hAnsi="Times New Roman"/>
                <w:sz w:val="14"/>
                <w:szCs w:val="14"/>
                <w:b w:val="1"/>
                <w:bCs w:val="1"/>
                <w:color w:val="auto"/>
                <w:w w:val="79"/>
              </w:rPr>
              <w:t>-2</w:t>
            </w:r>
            <w:r>
              <w:rPr>
                <w:rFonts w:ascii="Times New Roman" w:cs="Times New Roman" w:eastAsia="Times New Roman" w:hAnsi="Times New Roman"/>
                <w:sz w:val="14"/>
                <w:szCs w:val="14"/>
                <w:color w:val="auto"/>
                <w:w w:val="79"/>
              </w:rPr>
              <w:t xml:space="preserve"> between (i) July 11, 2024, and</w:t>
            </w:r>
          </w:p>
        </w:tc>
      </w:tr>
      <w:tr>
        <w:trPr>
          <w:trHeight w:val="188"/>
        </w:trPr>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(ii) the date of receipt by the Company, prior to the June 30, 2025, of positive induction data</w:t>
            </w:r>
          </w:p>
        </w:tc>
      </w:tr>
      <w:tr>
        <w:trPr>
          <w:trHeight w:val="270"/>
        </w:trPr>
        <w:tc>
          <w:tcPr>
            <w:tcW w:w="1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(positive primary endpoint and favorable safety as solely assessed by the Board of Directors) for</w:t>
            </w:r>
          </w:p>
        </w:tc>
      </w:tr>
      <w:tr>
        <w:trPr>
          <w:trHeight w:val="270"/>
        </w:trPr>
        <w:tc>
          <w:tcPr>
            <w:tcW w:w="1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its phase 3 clinical trials for obefazimod in the field of ulcerative colitis allowing continuation of</w:t>
            </w:r>
          </w:p>
        </w:tc>
      </w:tr>
      <w:tr>
        <w:trPr>
          <w:trHeight w:val="270"/>
        </w:trPr>
        <w:tc>
          <w:tcPr>
            <w:tcW w:w="1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phase 3 trials towards NDA submission to the FDA.</w:t>
            </w:r>
          </w:p>
        </w:tc>
      </w:tr>
      <w:tr>
        <w:trPr>
          <w:trHeight w:val="27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All ordinary shares vesting before July 11, 2025 shall be subject to a lock-up period ending on July 11, 2025.</w:t>
            </w:r>
          </w:p>
        </w:tc>
      </w:tr>
      <w:tr>
        <w:trPr>
          <w:trHeight w:val="188"/>
        </w:trPr>
        <w:tc>
          <w:tcPr>
            <w:tcW w:w="1700" w:type="dxa"/>
            <w:vAlign w:val="bottom"/>
          </w:tcPr>
          <w:p>
            <w:pPr>
              <w:spacing w:after="0"/>
              <w:rPr>
                <w:sz w:val="16"/>
                <w:szCs w:val="16"/>
                <w:color w:val="auto"/>
              </w:rPr>
            </w:pP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Ordinary shares vesting after July 11, 2025 are not subject to a lock-up period.</w:t>
            </w: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4"/>
                <w:szCs w:val="14"/>
                <w:color w:val="auto"/>
              </w:rPr>
              <w:t>25,000</w:t>
            </w:r>
          </w:p>
        </w:tc>
        <w:tc>
          <w:tcPr>
            <w:tcW w:w="5740" w:type="dxa"/>
            <w:vAlign w:val="bottom"/>
          </w:tcPr>
          <w:p>
            <w:pPr>
              <w:spacing w:after="0"/>
              <w:rPr>
                <w:sz w:val="17"/>
                <w:szCs w:val="17"/>
                <w:color w:val="auto"/>
              </w:rPr>
            </w:pP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40" w:type="dxa"/>
            <w:vAlign w:val="bottom"/>
          </w:tcPr>
          <w:p>
            <w:pPr>
              <w:spacing w:after="0"/>
              <w:rPr>
                <w:sz w:val="18"/>
                <w:szCs w:val="18"/>
                <w:color w:val="auto"/>
              </w:rPr>
            </w:pP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4"/>
                <w:szCs w:val="14"/>
                <w:color w:val="auto"/>
              </w:rPr>
              <w:t>75,000</w:t>
            </w:r>
          </w:p>
        </w:tc>
        <w:tc>
          <w:tcPr>
            <w:tcW w:w="5740" w:type="dxa"/>
            <w:vAlign w:val="bottom"/>
          </w:tcPr>
          <w:p>
            <w:pPr>
              <w:spacing w:after="0"/>
              <w:rPr>
                <w:sz w:val="18"/>
                <w:szCs w:val="18"/>
                <w:color w:val="auto"/>
              </w:rPr>
            </w:pP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None</w:t>
            </w:r>
          </w:p>
        </w:tc>
        <w:tc>
          <w:tcPr>
            <w:tcW w:w="5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-2332990</wp:posOffset>
            </wp:positionV>
            <wp:extent cx="7016115" cy="56597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16115" cy="565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7739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16115" cy="477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20" w:type="dxa"/>
            <w:vAlign w:val="bottom"/>
          </w:tcPr>
          <w:p>
            <w:pPr>
              <w:spacing w:after="0"/>
              <w:rPr>
                <w:sz w:val="16"/>
                <w:szCs w:val="16"/>
                <w:color w:val="auto"/>
              </w:rPr>
            </w:pPr>
          </w:p>
        </w:tc>
        <w:tc>
          <w:tcPr>
            <w:tcW w:w="55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Free ordinary share plan AGA 2023-3</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28, 2023</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731,500</w:t>
            </w:r>
          </w:p>
        </w:tc>
        <w:tc>
          <w:tcPr>
            <w:tcW w:w="552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9"/>
                <w:szCs w:val="19"/>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20,000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711,500</w:t>
            </w:r>
          </w:p>
        </w:tc>
        <w:tc>
          <w:tcPr>
            <w:tcW w:w="5520" w:type="dxa"/>
            <w:vAlign w:val="bottom"/>
          </w:tcPr>
          <w:p>
            <w:pPr>
              <w:spacing w:after="0"/>
              <w:rPr>
                <w:sz w:val="18"/>
                <w:szCs w:val="18"/>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50% of the ordinary shares allocated shall vest on September 28, 2025;</w:t>
            </w:r>
          </w:p>
        </w:tc>
      </w:tr>
      <w:tr>
        <w:trPr>
          <w:trHeight w:val="175"/>
        </w:trPr>
        <w:tc>
          <w:tcPr>
            <w:tcW w:w="1720" w:type="dxa"/>
            <w:vAlign w:val="bottom"/>
          </w:tcPr>
          <w:p>
            <w:pPr>
              <w:spacing w:after="0"/>
              <w:rPr>
                <w:sz w:val="15"/>
                <w:szCs w:val="15"/>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28, 2026; and</w:t>
            </w:r>
          </w:p>
        </w:tc>
      </w:tr>
      <w:tr>
        <w:trPr>
          <w:trHeight w:val="188"/>
        </w:trPr>
        <w:tc>
          <w:tcPr>
            <w:tcW w:w="172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28, 2027.</w:t>
            </w:r>
          </w:p>
        </w:tc>
      </w:tr>
      <w:tr>
        <w:trPr>
          <w:trHeight w:val="23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251,125</w:t>
            </w:r>
          </w:p>
        </w:tc>
        <w:tc>
          <w:tcPr>
            <w:tcW w:w="552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200,000</w:t>
            </w:r>
          </w:p>
        </w:tc>
        <w:tc>
          <w:tcPr>
            <w:tcW w:w="5520" w:type="dxa"/>
            <w:vAlign w:val="bottom"/>
          </w:tcPr>
          <w:p>
            <w:pPr>
              <w:spacing w:after="0"/>
              <w:rPr>
                <w:sz w:val="18"/>
                <w:szCs w:val="18"/>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280,375</w:t>
            </w:r>
          </w:p>
        </w:tc>
        <w:tc>
          <w:tcPr>
            <w:tcW w:w="552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7"/>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6"/>
        </w:trPr>
        <w:tc>
          <w:tcPr>
            <w:tcW w:w="1720" w:type="dxa"/>
            <w:vAlign w:val="bottom"/>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20" w:type="dxa"/>
            <w:vAlign w:val="bottom"/>
          </w:tcPr>
          <w:p>
            <w:pPr>
              <w:spacing w:after="0"/>
              <w:rPr>
                <w:sz w:val="16"/>
                <w:szCs w:val="16"/>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ectPr>
          <w:pgSz w:w="11900" w:h="16838" w:orient="portrait"/>
          <w:cols w:equalWidth="0" w:num="1">
            <w:col w:w="9019"/>
          </w:cols>
          <w:pgMar w:left="1440" w:top="125" w:right="1440" w:bottom="376"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881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16115"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145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16115" cy="61455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20" w:type="dxa"/>
            <w:vAlign w:val="bottom"/>
          </w:tcPr>
          <w:p>
            <w:pPr>
              <w:spacing w:after="0"/>
              <w:rPr>
                <w:sz w:val="16"/>
                <w:szCs w:val="16"/>
                <w:color w:val="auto"/>
              </w:rPr>
            </w:pPr>
          </w:p>
        </w:tc>
        <w:tc>
          <w:tcPr>
            <w:tcW w:w="57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Free ordinary share plan AGA 2023-4</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28, 2023</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254,250</w:t>
            </w:r>
          </w:p>
        </w:tc>
        <w:tc>
          <w:tcPr>
            <w:tcW w:w="5720" w:type="dxa"/>
            <w:vAlign w:val="bottom"/>
          </w:tcPr>
          <w:p>
            <w:pPr>
              <w:spacing w:after="0"/>
              <w:rPr>
                <w:sz w:val="17"/>
                <w:szCs w:val="17"/>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spacing w:after="0"/>
              <w:rPr>
                <w:sz w:val="16"/>
                <w:szCs w:val="16"/>
                <w:color w:val="auto"/>
              </w:rPr>
            </w:pPr>
          </w:p>
        </w:tc>
        <w:tc>
          <w:tcPr>
            <w:tcW w:w="5720" w:type="dxa"/>
            <w:vAlign w:val="bottom"/>
          </w:tcPr>
          <w:p>
            <w:pPr>
              <w:spacing w:after="0"/>
              <w:rPr>
                <w:sz w:val="16"/>
                <w:szCs w:val="16"/>
                <w:color w:val="auto"/>
              </w:rPr>
            </w:pPr>
          </w:p>
        </w:tc>
      </w:tr>
      <w:tr>
        <w:trPr>
          <w:trHeight w:val="23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20" w:type="dxa"/>
            <w:vAlign w:val="bottom"/>
          </w:tcPr>
          <w:p>
            <w:pPr>
              <w:spacing w:after="0"/>
              <w:rPr>
                <w:sz w:val="19"/>
                <w:szCs w:val="19"/>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60,000</w:t>
            </w:r>
          </w:p>
        </w:tc>
        <w:tc>
          <w:tcPr>
            <w:tcW w:w="57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7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194,250</w:t>
            </w:r>
          </w:p>
        </w:tc>
        <w:tc>
          <w:tcPr>
            <w:tcW w:w="5720" w:type="dxa"/>
            <w:vAlign w:val="bottom"/>
          </w:tcPr>
          <w:p>
            <w:pPr>
              <w:spacing w:after="0"/>
              <w:rPr>
                <w:sz w:val="18"/>
                <w:szCs w:val="18"/>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50% of the ordinary shares allocated shall vest on September 28, 2025;</w:t>
            </w:r>
          </w:p>
        </w:tc>
      </w:tr>
      <w:tr>
        <w:trPr>
          <w:trHeight w:val="175"/>
        </w:trPr>
        <w:tc>
          <w:tcPr>
            <w:tcW w:w="1720" w:type="dxa"/>
            <w:vAlign w:val="bottom"/>
          </w:tcPr>
          <w:p>
            <w:pPr>
              <w:spacing w:after="0"/>
              <w:rPr>
                <w:sz w:val="15"/>
                <w:szCs w:val="15"/>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28, 2026; and</w:t>
            </w:r>
          </w:p>
        </w:tc>
      </w:tr>
      <w:tr>
        <w:trPr>
          <w:trHeight w:val="188"/>
        </w:trPr>
        <w:tc>
          <w:tcPr>
            <w:tcW w:w="172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28, 2027.</w:t>
            </w:r>
          </w:p>
        </w:tc>
      </w:tr>
      <w:tr>
        <w:trPr>
          <w:trHeight w:val="176"/>
        </w:trPr>
        <w:tc>
          <w:tcPr>
            <w:tcW w:w="1720" w:type="dxa"/>
            <w:vAlign w:val="bottom"/>
          </w:tcPr>
          <w:p>
            <w:pPr>
              <w:spacing w:after="0"/>
              <w:rPr>
                <w:sz w:val="15"/>
                <w:szCs w:val="15"/>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acquisition of the Free Shares 2023-4 is subject to the successful completion of the initial public offering</w:t>
            </w:r>
          </w:p>
        </w:tc>
      </w:tr>
      <w:tr>
        <w:trPr>
          <w:trHeight w:val="175"/>
        </w:trPr>
        <w:tc>
          <w:tcPr>
            <w:tcW w:w="1720" w:type="dxa"/>
            <w:vAlign w:val="bottom"/>
          </w:tcPr>
          <w:p>
            <w:pPr>
              <w:spacing w:after="0"/>
              <w:rPr>
                <w:sz w:val="15"/>
                <w:szCs w:val="15"/>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of the Company’s shares (or depositary receipts representing any such shares) on the NASDAQ stock</w:t>
            </w:r>
          </w:p>
        </w:tc>
      </w:tr>
      <w:tr>
        <w:trPr>
          <w:trHeight w:val="188"/>
        </w:trPr>
        <w:tc>
          <w:tcPr>
            <w:tcW w:w="1720" w:type="dxa"/>
            <w:vAlign w:val="bottom"/>
          </w:tcPr>
          <w:p>
            <w:pPr>
              <w:spacing w:after="0"/>
              <w:rPr>
                <w:sz w:val="16"/>
                <w:szCs w:val="16"/>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exchange in New York allowing the Company to raise an amount of gross proceeds at least equal to two</w:t>
            </w:r>
          </w:p>
        </w:tc>
      </w:tr>
      <w:tr>
        <w:trPr>
          <w:trHeight w:val="189"/>
        </w:trPr>
        <w:tc>
          <w:tcPr>
            <w:tcW w:w="1720" w:type="dxa"/>
            <w:vAlign w:val="bottom"/>
          </w:tcPr>
          <w:p>
            <w:pPr>
              <w:spacing w:after="0"/>
              <w:rPr>
                <w:sz w:val="16"/>
                <w:szCs w:val="16"/>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hundred million dollars ($200,000,000) on or before the first anniversary of the allocation date.</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108,500</w:t>
            </w:r>
          </w:p>
        </w:tc>
        <w:tc>
          <w:tcPr>
            <w:tcW w:w="572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7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89,750</w:t>
            </w:r>
          </w:p>
        </w:tc>
        <w:tc>
          <w:tcPr>
            <w:tcW w:w="572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7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56,000</w:t>
            </w:r>
          </w:p>
        </w:tc>
        <w:tc>
          <w:tcPr>
            <w:tcW w:w="572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720" w:type="dxa"/>
            <w:vAlign w:val="bottom"/>
          </w:tcPr>
          <w:p>
            <w:pPr>
              <w:spacing w:after="0"/>
              <w:rPr>
                <w:sz w:val="16"/>
                <w:szCs w:val="16"/>
                <w:color w:val="auto"/>
              </w:rPr>
            </w:pPr>
          </w:p>
        </w:tc>
      </w:tr>
      <w:tr>
        <w:trPr>
          <w:trHeight w:val="217"/>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6"/>
        </w:trPr>
        <w:tc>
          <w:tcPr>
            <w:tcW w:w="1720" w:type="dxa"/>
            <w:vAlign w:val="bottom"/>
          </w:tcPr>
          <w:p>
            <w:pPr>
              <w:spacing w:after="0"/>
              <w:rPr>
                <w:sz w:val="15"/>
                <w:szCs w:val="15"/>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20" w:type="dxa"/>
            <w:vAlign w:val="bottom"/>
          </w:tcPr>
          <w:p>
            <w:pPr>
              <w:spacing w:after="0"/>
              <w:rPr>
                <w:sz w:val="16"/>
                <w:szCs w:val="16"/>
                <w:color w:val="auto"/>
              </w:rPr>
            </w:pPr>
          </w:p>
        </w:tc>
        <w:tc>
          <w:tcPr>
            <w:tcW w:w="6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ectPr>
          <w:pgSz w:w="11900" w:h="16838" w:orient="portrait"/>
          <w:cols w:equalWidth="0" w:num="1">
            <w:col w:w="9019"/>
          </w:cols>
          <w:pgMar w:left="1440" w:top="1440" w:right="1440" w:bottom="1440" w:gutter="0" w:footer="0" w:header="0"/>
          <w:type w:val="continuous"/>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9165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16115" cy="291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517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16115" cy="751713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20" w:type="dxa"/>
            <w:vAlign w:val="bottom"/>
          </w:tcPr>
          <w:p>
            <w:pPr>
              <w:spacing w:after="0"/>
              <w:rPr>
                <w:sz w:val="16"/>
                <w:szCs w:val="16"/>
                <w:color w:val="auto"/>
              </w:rPr>
            </w:pPr>
          </w:p>
        </w:tc>
        <w:tc>
          <w:tcPr>
            <w:tcW w:w="55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Free ordinary share plan AGA 2023-5</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1, 2023</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132,750</w:t>
            </w:r>
          </w:p>
        </w:tc>
        <w:tc>
          <w:tcPr>
            <w:tcW w:w="552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9"/>
                <w:szCs w:val="19"/>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2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132,750</w:t>
            </w:r>
          </w:p>
        </w:tc>
        <w:tc>
          <w:tcPr>
            <w:tcW w:w="5520" w:type="dxa"/>
            <w:vAlign w:val="bottom"/>
          </w:tcPr>
          <w:p>
            <w:pPr>
              <w:spacing w:after="0"/>
              <w:rPr>
                <w:sz w:val="18"/>
                <w:szCs w:val="18"/>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50% of the ordinary shares allocated shall vest on December 1, 2025;</w:t>
            </w:r>
          </w:p>
        </w:tc>
      </w:tr>
      <w:tr>
        <w:trPr>
          <w:trHeight w:val="176"/>
        </w:trPr>
        <w:tc>
          <w:tcPr>
            <w:tcW w:w="1720" w:type="dxa"/>
            <w:vAlign w:val="bottom"/>
          </w:tcPr>
          <w:p>
            <w:pPr>
              <w:spacing w:after="0"/>
              <w:rPr>
                <w:sz w:val="15"/>
                <w:szCs w:val="15"/>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December 1, 2026; and</w:t>
            </w:r>
          </w:p>
        </w:tc>
      </w:tr>
      <w:tr>
        <w:trPr>
          <w:trHeight w:val="188"/>
        </w:trPr>
        <w:tc>
          <w:tcPr>
            <w:tcW w:w="172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December 1, 2027.</w:t>
            </w:r>
          </w:p>
        </w:tc>
      </w:tr>
      <w:tr>
        <w:trPr>
          <w:trHeight w:val="23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27,625</w:t>
            </w:r>
          </w:p>
        </w:tc>
        <w:tc>
          <w:tcPr>
            <w:tcW w:w="552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27,625</w:t>
            </w:r>
          </w:p>
        </w:tc>
        <w:tc>
          <w:tcPr>
            <w:tcW w:w="552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77,500</w:t>
            </w:r>
          </w:p>
        </w:tc>
        <w:tc>
          <w:tcPr>
            <w:tcW w:w="552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17"/>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5"/>
        </w:trPr>
        <w:tc>
          <w:tcPr>
            <w:tcW w:w="1720" w:type="dxa"/>
            <w:vAlign w:val="bottom"/>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20" w:type="dxa"/>
            <w:vAlign w:val="bottom"/>
          </w:tcPr>
          <w:p>
            <w:pPr>
              <w:spacing w:after="0"/>
              <w:rPr>
                <w:sz w:val="16"/>
                <w:szCs w:val="16"/>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02"/>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February 1, 2024</w:t>
            </w: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1,549,125</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6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400,000</w:t>
            </w: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120,000</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1,029,125</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of the ordinary shares allocated shall vest on February 1, 2026;</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1, 2027; and</w:t>
            </w:r>
          </w:p>
        </w:tc>
        <w:tc>
          <w:tcPr>
            <w:tcW w:w="0" w:type="dxa"/>
            <w:vAlign w:val="bottom"/>
          </w:tcPr>
          <w:p>
            <w:pPr>
              <w:spacing w:after="0"/>
              <w:rPr>
                <w:sz w:val="1"/>
                <w:szCs w:val="1"/>
                <w:color w:val="auto"/>
              </w:rPr>
            </w:pPr>
          </w:p>
        </w:tc>
      </w:tr>
      <w:tr>
        <w:trPr>
          <w:trHeight w:val="202"/>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1,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610,752</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610,478</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Free ordinary shares</w:t>
      </w:r>
    </w:p>
    <w:p>
      <w:pPr>
        <w:sectPr>
          <w:pgSz w:w="11900" w:h="16838" w:orient="portrait"/>
          <w:cols w:equalWidth="0" w:num="1">
            <w:col w:w="9019"/>
          </w:cols>
          <w:pgMar w:left="1440" w:top="1440" w:right="1440" w:bottom="0" w:gutter="0" w:footer="0" w:header="0"/>
          <w:type w:val="continuous"/>
        </w:sectPr>
      </w:pPr>
    </w:p>
    <w:bookmarkStart w:id="99" w:name="page100"/>
    <w:bookmarkEnd w:id="99"/>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lapsed as of February 28,</w:t>
      </w:r>
    </w:p>
    <w:p>
      <w:pPr>
        <w:jc w:val="center"/>
        <w:ind w:left="440"/>
        <w:spacing w:after="0" w:line="201" w:lineRule="auto"/>
        <w:rPr>
          <w:sz w:val="20"/>
          <w:szCs w:val="20"/>
          <w:color w:val="auto"/>
        </w:rPr>
      </w:pPr>
      <w:r>
        <w:rPr>
          <w:rFonts w:ascii="Times New Roman" w:cs="Times New Roman" w:eastAsia="Times New Roman" w:hAnsi="Times New Roman"/>
          <w:sz w:val="7"/>
          <w:szCs w:val="7"/>
          <w:b w:val="1"/>
          <w:bCs w:val="1"/>
          <w:color w:val="auto"/>
        </w:rPr>
        <w:t>Plan name</w:t>
      </w: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0" w:lineRule="exact"/>
        <w:rPr>
          <w:sz w:val="20"/>
          <w:szCs w:val="20"/>
          <w:color w:val="auto"/>
        </w:rPr>
      </w:pP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Employment conditions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20" w:type="dxa"/>
            <w:vAlign w:val="bottom"/>
            <w:vMerge w:val="restart"/>
          </w:tcPr>
          <w:p>
            <w:pPr>
              <w:jc w:val="right"/>
              <w:ind w:right="688"/>
              <w:spacing w:after="0"/>
              <w:rPr>
                <w:sz w:val="20"/>
                <w:szCs w:val="20"/>
                <w:color w:val="auto"/>
              </w:rPr>
            </w:pPr>
            <w:r>
              <w:rPr>
                <w:rFonts w:ascii="Times New Roman" w:cs="Times New Roman" w:eastAsia="Times New Roman" w:hAnsi="Times New Roman"/>
                <w:sz w:val="14"/>
                <w:szCs w:val="14"/>
                <w:color w:val="auto"/>
                <w:w w:val="96"/>
              </w:rPr>
              <w:t>327,625</w:t>
            </w:r>
          </w:p>
        </w:tc>
        <w:tc>
          <w:tcPr>
            <w:tcW w:w="31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Free ordinary share plan AGA 2024-1</w:t>
            </w:r>
          </w:p>
        </w:tc>
        <w:tc>
          <w:tcPr>
            <w:tcW w:w="0" w:type="dxa"/>
            <w:vAlign w:val="bottom"/>
          </w:tcPr>
          <w:p>
            <w:pPr>
              <w:spacing w:after="0"/>
              <w:rPr>
                <w:sz w:val="1"/>
                <w:szCs w:val="1"/>
                <w:color w:val="auto"/>
              </w:rPr>
            </w:pPr>
          </w:p>
        </w:tc>
      </w:tr>
      <w:tr>
        <w:trPr>
          <w:trHeight w:val="54"/>
        </w:trPr>
        <w:tc>
          <w:tcPr>
            <w:tcW w:w="1220" w:type="dxa"/>
            <w:vAlign w:val="bottom"/>
            <w:vMerge w:val="continue"/>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-172720</wp:posOffset>
            </wp:positionV>
            <wp:extent cx="7016115" cy="1544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16115" cy="1544955"/>
                    </a:xfrm>
                    <a:prstGeom prst="rect">
                      <a:avLst/>
                    </a:prstGeom>
                    <a:noFill/>
                  </pic:spPr>
                </pic:pic>
              </a:graphicData>
            </a:graphic>
          </wp:anchor>
        </w:drawing>
      </w:r>
    </w:p>
    <w:p>
      <w:pPr>
        <w:spacing w:after="0" w:line="21" w:lineRule="exact"/>
        <w:rPr>
          <w:sz w:val="20"/>
          <w:szCs w:val="20"/>
          <w:color w:val="auto"/>
        </w:rPr>
      </w:pPr>
    </w:p>
    <w:p>
      <w:pPr>
        <w:ind w:right="799"/>
        <w:spacing w:after="0" w:line="281" w:lineRule="auto"/>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 basis, the status of corporate officer or employee of the Company and/or one of its direct and/or indirect subsidiaries, as applicable.</w:t>
      </w:r>
    </w:p>
    <w:p>
      <w:pPr>
        <w:spacing w:after="0" w:line="200" w:lineRule="exact"/>
        <w:rPr>
          <w:sz w:val="20"/>
          <w:szCs w:val="20"/>
          <w:color w:val="auto"/>
        </w:rPr>
      </w:pPr>
    </w:p>
    <w:p>
      <w:pPr>
        <w:sectPr>
          <w:pgSz w:w="11900" w:h="16838" w:orient="portrait"/>
          <w:cols w:equalWidth="0" w:num="2">
            <w:col w:w="1980" w:space="160"/>
            <w:col w:w="6879"/>
          </w:cols>
          <w:pgMar w:left="1440" w:top="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8887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16115" cy="888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2024-2</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March 28, 2024</w:t>
            </w: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22,500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22,500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March 28, 2026;</w:t>
            </w:r>
          </w:p>
        </w:tc>
        <w:tc>
          <w:tcPr>
            <w:tcW w:w="0" w:type="dxa"/>
            <w:vAlign w:val="bottom"/>
          </w:tcPr>
          <w:p>
            <w:pPr>
              <w:spacing w:after="0"/>
              <w:rPr>
                <w:sz w:val="1"/>
                <w:szCs w:val="1"/>
                <w:color w:val="auto"/>
              </w:rPr>
            </w:pPr>
          </w:p>
        </w:tc>
      </w:tr>
      <w:tr>
        <w:trPr>
          <w:trHeight w:val="188"/>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March 28, 2027; and</w:t>
            </w: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March 28,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22,500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 w:right="1440" w:bottom="1440"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93287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16115" cy="932878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2024-3</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June 5, 2023</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23, 2024</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38,500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38,500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May 23, 2026;</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May 23, 2027;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May 23,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25,500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2024-4</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July 11, 2024</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93,000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93,000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July 11, 2026;</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July 11, 2027;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July 11,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93,000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4"/>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104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16115" cy="11049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01" w:name="page102"/>
    <w:bookmarkEnd w:id="101"/>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2024-5</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July 11, 2024</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July 11, 2026;</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July 11, 2027;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July 11,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9571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16115" cy="795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4765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1611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May 30, 2024</w:t>
            </w:r>
          </w:p>
        </w:tc>
      </w:tr>
    </w:tbl>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decision </w:t>
      </w:r>
      <w:r>
        <w:rPr>
          <w:rFonts w:ascii="Times New Roman" w:cs="Times New Roman" w:eastAsia="Times New Roman" w:hAnsi="Times New Roman"/>
          <w:sz w:val="14"/>
          <w:szCs w:val="14"/>
          <w:color w:val="auto"/>
        </w:rPr>
        <w:t>July 11, 2024</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1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00" w:type="dxa"/>
            <w:vAlign w:val="bottom"/>
          </w:tcPr>
          <w:p>
            <w:pPr>
              <w:spacing w:after="0"/>
              <w:rPr>
                <w:sz w:val="15"/>
                <w:szCs w:val="15"/>
                <w:color w:val="auto"/>
              </w:rPr>
            </w:pPr>
          </w:p>
        </w:tc>
      </w:tr>
      <w:tr>
        <w:trPr>
          <w:trHeight w:val="176"/>
        </w:trPr>
        <w:tc>
          <w:tcPr>
            <w:tcW w:w="1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00" w:type="dxa"/>
            <w:vAlign w:val="bottom"/>
          </w:tcPr>
          <w:p>
            <w:pPr>
              <w:spacing w:after="0"/>
              <w:rPr>
                <w:sz w:val="15"/>
                <w:szCs w:val="15"/>
                <w:color w:val="auto"/>
              </w:rPr>
            </w:pPr>
          </w:p>
        </w:tc>
      </w:tr>
      <w:tr>
        <w:trPr>
          <w:trHeight w:val="190"/>
        </w:trPr>
        <w:tc>
          <w:tcPr>
            <w:tcW w:w="1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8"/>
              </w:rPr>
              <w:t>20,000</w:t>
            </w:r>
          </w:p>
        </w:tc>
      </w:tr>
      <w:tr>
        <w:trPr>
          <w:trHeight w:val="216"/>
        </w:trPr>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8"/>
              </w:rPr>
              <w:t>20,000</w:t>
            </w:r>
          </w:p>
        </w:tc>
      </w:tr>
    </w:tbl>
    <w:p>
      <w:pPr>
        <w:sectPr>
          <w:pgSz w:w="11900" w:h="16838" w:orient="portrait"/>
          <w:cols w:equalWidth="0" w:num="1">
            <w:col w:w="9019"/>
          </w:cols>
          <w:pgMar w:left="1440" w:top="911" w:right="1440" w:bottom="0" w:gutter="0" w:footer="0" w:header="0"/>
        </w:sectPr>
      </w:pPr>
    </w:p>
    <w:bookmarkStart w:id="102" w:name="page103"/>
    <w:bookmarkEnd w:id="102"/>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50% of the ordinary shares allocated shall vest on July 11, 2025; and</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620" w:type="dxa"/>
            <w:vAlign w:val="bottom"/>
            <w:vMerge w:val="restart"/>
          </w:tcPr>
          <w:p>
            <w:pPr>
              <w:ind w:left="3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420"/>
              <w:spacing w:after="0" w:line="68" w:lineRule="exact"/>
              <w:rPr>
                <w:sz w:val="20"/>
                <w:szCs w:val="20"/>
                <w:color w:val="auto"/>
              </w:rPr>
            </w:pPr>
            <w:r>
              <w:rPr>
                <w:rFonts w:ascii="Times New Roman" w:cs="Times New Roman" w:eastAsia="Times New Roman" w:hAnsi="Times New Roman"/>
                <w:sz w:val="7"/>
                <w:szCs w:val="7"/>
                <w:b w:val="1"/>
                <w:bCs w:val="1"/>
                <w:color w:val="auto"/>
              </w:rPr>
              <w:t>Free ordinary share plan AGA 2024-6</w:t>
            </w:r>
          </w:p>
        </w:tc>
        <w:tc>
          <w:tcPr>
            <w:tcW w:w="0" w:type="dxa"/>
            <w:vAlign w:val="bottom"/>
          </w:tcPr>
          <w:p>
            <w:pPr>
              <w:spacing w:after="0"/>
              <w:rPr>
                <w:sz w:val="1"/>
                <w:szCs w:val="1"/>
                <w:color w:val="auto"/>
              </w:rPr>
            </w:pPr>
          </w:p>
        </w:tc>
      </w:tr>
      <w:tr>
        <w:trPr>
          <w:trHeight w:val="85"/>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vMerge w:val="continue"/>
          </w:tcPr>
          <w:p>
            <w:pPr>
              <w:spacing w:after="0"/>
              <w:rPr>
                <w:sz w:val="7"/>
                <w:szCs w:val="7"/>
                <w:color w:val="auto"/>
              </w:rPr>
            </w:pPr>
          </w:p>
        </w:tc>
        <w:tc>
          <w:tcPr>
            <w:tcW w:w="5560" w:type="dxa"/>
            <w:vAlign w:val="bottom"/>
          </w:tcPr>
          <w:p>
            <w:pPr>
              <w:ind w:left="80"/>
              <w:spacing w:after="0" w:line="85" w:lineRule="exact"/>
              <w:rPr>
                <w:sz w:val="20"/>
                <w:szCs w:val="20"/>
                <w:color w:val="auto"/>
              </w:rPr>
            </w:pPr>
            <w:r>
              <w:rPr>
                <w:rFonts w:ascii="Times New Roman" w:cs="Times New Roman" w:eastAsia="Times New Roman" w:hAnsi="Times New Roman"/>
                <w:sz w:val="9"/>
                <w:szCs w:val="9"/>
                <w:color w:val="auto"/>
              </w:rPr>
              <w:t>50% of the ordinary shares allocated shall vest on the latest date between July 11, 2025 and the</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 on which the performance condition is fulfilled</w:t>
            </w:r>
          </w:p>
        </w:tc>
        <w:tc>
          <w:tcPr>
            <w:tcW w:w="0" w:type="dxa"/>
            <w:vAlign w:val="bottom"/>
          </w:tcPr>
          <w:p>
            <w:pPr>
              <w:spacing w:after="0"/>
              <w:rPr>
                <w:sz w:val="1"/>
                <w:szCs w:val="1"/>
                <w:color w:val="auto"/>
              </w:rPr>
            </w:pPr>
          </w:p>
        </w:tc>
      </w:tr>
      <w:tr>
        <w:trPr>
          <w:trHeight w:val="203"/>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Each ordinary share vesting before July 11, 2026 shall be subject to a lock-up period ending on July 11,</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2026. Ordinary shares vesting after July 11, 2026 are not subject to a lock-up period.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Performance condition to be fulfilled relates to the publication of a scientific article on obefazimod's</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mechanism of action authored by the beneficiary in a reputable journal prior to July 11, 2027. No</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employment condition.</w:t>
            </w:r>
          </w:p>
        </w:tc>
        <w:tc>
          <w:tcPr>
            <w:tcW w:w="0" w:type="dxa"/>
            <w:vAlign w:val="bottom"/>
          </w:tcPr>
          <w:p>
            <w:pPr>
              <w:spacing w:after="0"/>
              <w:rPr>
                <w:sz w:val="1"/>
                <w:szCs w:val="1"/>
                <w:color w:val="auto"/>
              </w:rPr>
            </w:pPr>
          </w:p>
        </w:tc>
      </w:tr>
      <w:tr>
        <w:trPr>
          <w:trHeight w:val="54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20" w:type="dxa"/>
            <w:vAlign w:val="bottom"/>
          </w:tcPr>
          <w:p>
            <w:pPr>
              <w:spacing w:after="0"/>
              <w:rPr>
                <w:sz w:val="24"/>
                <w:szCs w:val="24"/>
                <w:color w:val="auto"/>
              </w:rPr>
            </w:pPr>
          </w:p>
        </w:tc>
        <w:tc>
          <w:tcPr>
            <w:tcW w:w="55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Free ordinary share plan AGA 2024-7</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5, 2024</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198,000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150,000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48,000</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50% of the ordinary shares allocated shall vest on September 5, 2026;</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5, 2027;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 of the ordinary shares allocated shall vest on September 5, 2028.</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198,000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4"/>
        </w:trPr>
        <w:tc>
          <w:tcPr>
            <w:tcW w:w="1720" w:type="dxa"/>
            <w:vAlign w:val="bottom"/>
            <w:vMerge w:val="continue"/>
          </w:tcPr>
          <w:p>
            <w:pPr>
              <w:spacing w:after="0"/>
              <w:rPr>
                <w:sz w:val="15"/>
                <w:szCs w:val="15"/>
                <w:color w:val="auto"/>
              </w:rPr>
            </w:pP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-5650865</wp:posOffset>
            </wp:positionV>
            <wp:extent cx="7016115" cy="65855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16115" cy="658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84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16115" cy="384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February 6, 2025</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4,319,500</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936,000</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480,000</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430,000</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2,473,500</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of the ordinary shares allocated shall vest on February 6, 2027;</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2028;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2029.</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4,102,000</w:t>
            </w: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4"/>
          <w:szCs w:val="14"/>
          <w:b w:val="1"/>
          <w:bCs w:val="1"/>
          <w:color w:val="auto"/>
        </w:rPr>
        <w:t>Free ordinary shares</w:t>
      </w:r>
    </w:p>
    <w:p>
      <w:pPr>
        <w:spacing w:after="0" w:line="2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4"/>
          <w:szCs w:val="14"/>
          <w:b w:val="1"/>
          <w:bCs w:val="1"/>
          <w:color w:val="auto"/>
        </w:rPr>
        <w:t>lapsed as of February 28,</w:t>
      </w:r>
    </w:p>
    <w:p>
      <w:pPr>
        <w:sectPr>
          <w:pgSz w:w="11900" w:h="16838" w:orient="portrait"/>
          <w:cols w:equalWidth="0" w:num="1">
            <w:col w:w="9019"/>
          </w:cols>
          <w:pgMar w:left="1440" w:top="86" w:right="1440" w:bottom="0" w:gutter="0" w:footer="0" w:header="0"/>
        </w:sectPr>
      </w:pPr>
    </w:p>
    <w:bookmarkStart w:id="103" w:name="page104"/>
    <w:bookmarkEnd w:id="103"/>
    <w:tbl>
      <w:tblPr>
        <w:tblLayout w:type="fixed"/>
        <w:tblInd w:w="36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217,500</w:t>
            </w:r>
          </w:p>
        </w:tc>
        <w:tc>
          <w:tcPr>
            <w:tcW w:w="43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Free ordinary share plan AGA 2025-1</w:t>
            </w:r>
          </w:p>
        </w:tc>
        <w:tc>
          <w:tcPr>
            <w:tcW w:w="0" w:type="dxa"/>
            <w:vAlign w:val="bottom"/>
          </w:tcPr>
          <w:p>
            <w:pPr>
              <w:spacing w:after="0"/>
              <w:rPr>
                <w:sz w:val="1"/>
                <w:szCs w:val="1"/>
                <w:color w:val="auto"/>
              </w:rPr>
            </w:pPr>
          </w:p>
        </w:tc>
      </w:tr>
      <w:tr>
        <w:trPr>
          <w:trHeight w:val="68"/>
        </w:trPr>
        <w:tc>
          <w:tcPr>
            <w:tcW w:w="172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Plan name</w:t>
            </w:r>
          </w:p>
        </w:tc>
        <w:tc>
          <w:tcPr>
            <w:tcW w:w="1820" w:type="dxa"/>
            <w:vAlign w:val="bottom"/>
          </w:tcPr>
          <w:p>
            <w:pPr>
              <w:spacing w:after="0"/>
              <w:rPr>
                <w:sz w:val="5"/>
                <w:szCs w:val="5"/>
                <w:color w:val="auto"/>
              </w:rPr>
            </w:pPr>
          </w:p>
        </w:tc>
        <w:tc>
          <w:tcPr>
            <w:tcW w:w="4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3"/>
                <w:szCs w:val="13"/>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8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Free ordinary share plan AGA 2025-2</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February 6, 2025</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18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18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123,102</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47,052</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15,939</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7,148</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52,963</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100% of the ordinary shares allocated shall vest on February 6, 2027.</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18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18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18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18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123,102</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18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18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4"/>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-3824605</wp:posOffset>
            </wp:positionV>
            <wp:extent cx="7016115" cy="5213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16115"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219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16115" cy="521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2025-3</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February 6, 2025</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17,625</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17,625</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February 6, 2027;</w:t>
            </w:r>
          </w:p>
        </w:tc>
        <w:tc>
          <w:tcPr>
            <w:tcW w:w="0" w:type="dxa"/>
            <w:vAlign w:val="bottom"/>
          </w:tcPr>
          <w:p>
            <w:pPr>
              <w:spacing w:after="0"/>
              <w:rPr>
                <w:sz w:val="1"/>
                <w:szCs w:val="1"/>
                <w:color w:val="auto"/>
              </w:rPr>
            </w:pPr>
          </w:p>
        </w:tc>
      </w:tr>
      <w:tr>
        <w:trPr>
          <w:trHeight w:val="176"/>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2028; and</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2029.</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17,625</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r>
        <w:trPr>
          <w:trHeight w:val="74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February 6, 2025</w:t>
            </w:r>
          </w:p>
        </w:tc>
        <w:tc>
          <w:tcPr>
            <w:tcW w:w="0" w:type="dxa"/>
            <w:vAlign w:val="bottom"/>
          </w:tcPr>
          <w:p>
            <w:pPr>
              <w:spacing w:after="0"/>
              <w:rPr>
                <w:sz w:val="1"/>
                <w:szCs w:val="1"/>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6" w:right="1440" w:bottom="0" w:gutter="0" w:footer="0" w:header="0"/>
        </w:sectPr>
      </w:pPr>
    </w:p>
    <w:bookmarkStart w:id="104" w:name="page105"/>
    <w:bookmarkEnd w:id="104"/>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30,500</w:t>
            </w:r>
          </w:p>
        </w:tc>
        <w:tc>
          <w:tcPr>
            <w:tcW w:w="55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2025-4</w:t>
            </w:r>
          </w:p>
        </w:tc>
        <w:tc>
          <w:tcPr>
            <w:tcW w:w="0" w:type="dxa"/>
            <w:vAlign w:val="bottom"/>
          </w:tcPr>
          <w:p>
            <w:pPr>
              <w:spacing w:after="0"/>
              <w:rPr>
                <w:sz w:val="1"/>
                <w:szCs w:val="1"/>
                <w:color w:val="auto"/>
              </w:rPr>
            </w:pPr>
          </w:p>
        </w:tc>
      </w:tr>
      <w:tr>
        <w:trPr>
          <w:trHeight w:val="68"/>
        </w:trPr>
        <w:tc>
          <w:tcPr>
            <w:tcW w:w="170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Plan name</w:t>
            </w:r>
          </w:p>
        </w:tc>
        <w:tc>
          <w:tcPr>
            <w:tcW w:w="5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70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Marc de Garidel</w:t>
            </w:r>
          </w:p>
        </w:tc>
        <w:tc>
          <w:tcPr>
            <w:tcW w:w="5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30,500</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February 6, 2027;</w:t>
            </w:r>
          </w:p>
        </w:tc>
        <w:tc>
          <w:tcPr>
            <w:tcW w:w="0" w:type="dxa"/>
            <w:vAlign w:val="bottom"/>
          </w:tcPr>
          <w:p>
            <w:pPr>
              <w:spacing w:after="0"/>
              <w:rPr>
                <w:sz w:val="1"/>
                <w:szCs w:val="1"/>
                <w:color w:val="auto"/>
              </w:rPr>
            </w:pPr>
          </w:p>
        </w:tc>
      </w:tr>
      <w:tr>
        <w:trPr>
          <w:trHeight w:val="17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2028; and</w:t>
            </w:r>
          </w:p>
        </w:tc>
        <w:tc>
          <w:tcPr>
            <w:tcW w:w="0" w:type="dxa"/>
            <w:vAlign w:val="bottom"/>
          </w:tcPr>
          <w:p>
            <w:pPr>
              <w:spacing w:after="0"/>
              <w:rPr>
                <w:sz w:val="1"/>
                <w:szCs w:val="1"/>
                <w:color w:val="auto"/>
              </w:rPr>
            </w:pPr>
          </w:p>
        </w:tc>
      </w:tr>
      <w:tr>
        <w:trPr>
          <w:trHeight w:val="188"/>
        </w:trPr>
        <w:tc>
          <w:tcPr>
            <w:tcW w:w="1700" w:type="dxa"/>
            <w:vAlign w:val="bottom"/>
            <w:vMerge w:val="continue"/>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6, 2029.</w:t>
            </w:r>
          </w:p>
        </w:tc>
        <w:tc>
          <w:tcPr>
            <w:tcW w:w="0" w:type="dxa"/>
            <w:vAlign w:val="bottom"/>
          </w:tcPr>
          <w:p>
            <w:pPr>
              <w:spacing w:after="0"/>
              <w:rPr>
                <w:sz w:val="1"/>
                <w:szCs w:val="1"/>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c>
          <w:tcPr>
            <w:tcW w:w="0" w:type="dxa"/>
            <w:vAlign w:val="bottom"/>
          </w:tcPr>
          <w:p>
            <w:pPr>
              <w:spacing w:after="0"/>
              <w:rPr>
                <w:sz w:val="1"/>
                <w:szCs w:val="1"/>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30,500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c>
          <w:tcPr>
            <w:tcW w:w="0" w:type="dxa"/>
            <w:vAlign w:val="bottom"/>
          </w:tcPr>
          <w:p>
            <w:pPr>
              <w:spacing w:after="0"/>
              <w:rPr>
                <w:sz w:val="1"/>
                <w:szCs w:val="1"/>
                <w:color w:val="auto"/>
              </w:rPr>
            </w:pPr>
          </w:p>
        </w:tc>
      </w:tr>
      <w:tr>
        <w:trPr>
          <w:trHeight w:val="174"/>
        </w:trPr>
        <w:tc>
          <w:tcPr>
            <w:tcW w:w="1700" w:type="dxa"/>
            <w:vAlign w:val="bottom"/>
            <w:vMerge w:val="continue"/>
          </w:tcPr>
          <w:p>
            <w:pPr>
              <w:spacing w:after="0"/>
              <w:rPr>
                <w:sz w:val="15"/>
                <w:szCs w:val="15"/>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-2684780</wp:posOffset>
            </wp:positionV>
            <wp:extent cx="7016115" cy="384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16115" cy="384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5913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16115"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580" w:type="dxa"/>
            <w:vAlign w:val="bottom"/>
          </w:tcPr>
          <w:p>
            <w:pPr>
              <w:spacing w:after="0"/>
              <w:rPr>
                <w:sz w:val="16"/>
                <w:szCs w:val="16"/>
                <w:color w:val="auto"/>
              </w:rPr>
            </w:pPr>
          </w:p>
        </w:tc>
        <w:tc>
          <w:tcPr>
            <w:tcW w:w="55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Free ordinary share plan AGA 2025-5</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30, 2024</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March 20, 2025</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50,000</w:t>
            </w:r>
          </w:p>
        </w:tc>
        <w:tc>
          <w:tcPr>
            <w:tcW w:w="556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9"/>
                <w:szCs w:val="19"/>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560" w:type="dxa"/>
            <w:vAlign w:val="bottom"/>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50,000</w:t>
            </w:r>
          </w:p>
        </w:tc>
        <w:tc>
          <w:tcPr>
            <w:tcW w:w="5560" w:type="dxa"/>
            <w:vAlign w:val="bottom"/>
          </w:tcPr>
          <w:p>
            <w:pPr>
              <w:spacing w:after="0"/>
              <w:rPr>
                <w:sz w:val="18"/>
                <w:szCs w:val="18"/>
                <w:color w:val="auto"/>
              </w:rPr>
            </w:pPr>
          </w:p>
        </w:tc>
      </w:tr>
      <w:tr>
        <w:trPr>
          <w:trHeight w:val="298"/>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5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the earliest of March 20, 2026 and the</w:t>
            </w:r>
          </w:p>
        </w:tc>
      </w:tr>
      <w:tr>
        <w:trPr>
          <w:trHeight w:val="188"/>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fulfillment of condition; and</w:t>
            </w:r>
          </w:p>
        </w:tc>
      </w:tr>
      <w:tr>
        <w:trPr>
          <w:trHeight w:val="352"/>
        </w:trPr>
        <w:tc>
          <w:tcPr>
            <w:tcW w:w="17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50% of the ordinary shares allocated shall vest on the earliest of March 20, 2026 and the</w:t>
            </w:r>
          </w:p>
        </w:tc>
      </w:tr>
      <w:tr>
        <w:trPr>
          <w:trHeight w:val="188"/>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fulfillment of condition.</w:t>
            </w:r>
          </w:p>
        </w:tc>
      </w:tr>
      <w:tr>
        <w:trPr>
          <w:trHeight w:val="28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7"/>
                <w:szCs w:val="17"/>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5560" w:type="dxa"/>
            <w:vAlign w:val="bottom"/>
          </w:tcPr>
          <w:p>
            <w:pPr>
              <w:spacing w:after="0"/>
              <w:rPr>
                <w:sz w:val="18"/>
                <w:szCs w:val="18"/>
                <w:color w:val="auto"/>
              </w:rPr>
            </w:pP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50,000</w:t>
            </w:r>
          </w:p>
        </w:tc>
        <w:tc>
          <w:tcPr>
            <w:tcW w:w="5560" w:type="dxa"/>
            <w:vAlign w:val="bottom"/>
          </w:tcPr>
          <w:p>
            <w:pPr>
              <w:spacing w:after="0"/>
              <w:rPr>
                <w:sz w:val="18"/>
                <w:szCs w:val="18"/>
                <w:color w:val="auto"/>
              </w:rPr>
            </w:pP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58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Pr>
          <w:p>
            <w:pPr>
              <w:spacing w:after="0"/>
              <w:rPr>
                <w:sz w:val="16"/>
                <w:szCs w:val="16"/>
                <w:color w:val="auto"/>
              </w:rPr>
            </w:pPr>
          </w:p>
        </w:tc>
        <w:tc>
          <w:tcPr>
            <w:tcW w:w="5560" w:type="dxa"/>
            <w:vAlign w:val="bottom"/>
          </w:tcPr>
          <w:p>
            <w:pPr>
              <w:spacing w:after="0"/>
              <w:rPr>
                <w:sz w:val="16"/>
                <w:szCs w:val="16"/>
                <w:color w:val="auto"/>
              </w:rPr>
            </w:pPr>
          </w:p>
        </w:tc>
      </w:tr>
      <w:tr>
        <w:trPr>
          <w:trHeight w:val="21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7"/>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20" w:type="dxa"/>
            <w:vAlign w:val="bottom"/>
          </w:tcPr>
          <w:p>
            <w:pPr>
              <w:spacing w:after="0"/>
              <w:rPr>
                <w:sz w:val="16"/>
                <w:szCs w:val="16"/>
                <w:color w:val="auto"/>
              </w:rPr>
            </w:pPr>
          </w:p>
        </w:tc>
        <w:tc>
          <w:tcPr>
            <w:tcW w:w="6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ectPr>
          <w:pgSz w:w="11900" w:h="16838" w:orient="portrait"/>
          <w:cols w:equalWidth="0" w:num="1">
            <w:col w:w="9019"/>
          </w:cols>
          <w:pgMar w:left="1440" w:top="86"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4707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16115" cy="247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96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16115" cy="79629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43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Free ordinary share plan AGA 2025-6</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30, 2024</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28, 2025</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438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4380" w:type="dxa"/>
            <w:vAlign w:val="bottom"/>
          </w:tcPr>
          <w:p>
            <w:pPr>
              <w:spacing w:after="0"/>
              <w:rPr>
                <w:sz w:val="16"/>
                <w:szCs w:val="16"/>
                <w:color w:val="auto"/>
              </w:rPr>
            </w:pPr>
          </w:p>
        </w:tc>
      </w:tr>
      <w:tr>
        <w:trPr>
          <w:trHeight w:val="23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4380" w:type="dxa"/>
            <w:vAlign w:val="bottom"/>
          </w:tcPr>
          <w:p>
            <w:pPr>
              <w:spacing w:after="0"/>
              <w:rPr>
                <w:sz w:val="18"/>
                <w:szCs w:val="18"/>
                <w:color w:val="auto"/>
              </w:rPr>
            </w:pPr>
          </w:p>
        </w:tc>
      </w:tr>
    </w:tbl>
    <w:p>
      <w:pPr>
        <w:spacing w:after="0" w:line="58" w:lineRule="exact"/>
        <w:rPr>
          <w:sz w:val="20"/>
          <w:szCs w:val="20"/>
          <w:color w:val="auto"/>
        </w:rPr>
      </w:pPr>
    </w:p>
    <w:p>
      <w:pPr>
        <w:ind w:left="2780" w:hanging="321"/>
        <w:spacing w:after="0"/>
        <w:tabs>
          <w:tab w:leader="none" w:pos="27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50% of the ordinary shares allocated shall vest on May 28, 2027;</w:t>
      </w:r>
    </w:p>
    <w:p>
      <w:pPr>
        <w:spacing w:after="0" w:line="48" w:lineRule="exact"/>
        <w:rPr>
          <w:rFonts w:ascii="Times New Roman" w:cs="Times New Roman" w:eastAsia="Times New Roman" w:hAnsi="Times New Roman"/>
          <w:sz w:val="22"/>
          <w:szCs w:val="22"/>
          <w:color w:val="auto"/>
        </w:rPr>
      </w:pPr>
    </w:p>
    <w:p>
      <w:pPr>
        <w:ind w:left="2780" w:hanging="321"/>
        <w:spacing w:after="0" w:line="209" w:lineRule="auto"/>
        <w:tabs>
          <w:tab w:leader="none" w:pos="27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25% of the ordinary shares allocated shall vest on May 28 2028; and</w:t>
      </w:r>
    </w:p>
    <w:p>
      <w:pPr>
        <w:spacing w:after="0" w:line="49" w:lineRule="exact"/>
        <w:rPr>
          <w:rFonts w:ascii="Times New Roman" w:cs="Times New Roman" w:eastAsia="Times New Roman" w:hAnsi="Times New Roman"/>
          <w:sz w:val="22"/>
          <w:szCs w:val="22"/>
          <w:color w:val="auto"/>
        </w:rPr>
      </w:pPr>
    </w:p>
    <w:p>
      <w:pPr>
        <w:ind w:left="2780" w:hanging="321"/>
        <w:spacing w:after="0" w:line="209" w:lineRule="auto"/>
        <w:tabs>
          <w:tab w:leader="none" w:pos="27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25% of the ordinary shares allocated shall vest on May 28 2029.</w:t>
      </w:r>
    </w:p>
    <w:p>
      <w:pPr>
        <w:spacing w:after="0" w:line="53"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b w:val="1"/>
          <w:bCs w:val="1"/>
          <w:color w:val="auto"/>
        </w:rPr>
        <w:t>Date of availability</w:t>
      </w:r>
      <w:r>
        <w:rPr>
          <w:rFonts w:ascii="Times New Roman" w:cs="Times New Roman" w:eastAsia="Times New Roman" w:hAnsi="Times New Roman"/>
          <w:sz w:val="14"/>
          <w:szCs w:val="14"/>
          <w:color w:val="auto"/>
        </w:rPr>
        <w:t>The ordinary shares are not subject to a lock-up period once vested.</w:t>
      </w:r>
    </w:p>
    <w:p>
      <w:pPr>
        <w:spacing w:after="0" w:line="55"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25,000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3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bl>
    <w:p>
      <w:pPr>
        <w:ind w:left="2140" w:right="899" w:hanging="1644"/>
        <w:spacing w:after="0" w:line="283" w:lineRule="auto"/>
        <w:tabs>
          <w:tab w:leader="none" w:pos="2120" w:val="left"/>
        </w:tabs>
        <w:rPr>
          <w:sz w:val="20"/>
          <w:szCs w:val="20"/>
          <w:color w:val="auto"/>
        </w:rPr>
      </w:pPr>
      <w:r>
        <w:rPr>
          <w:rFonts w:ascii="Times New Roman" w:cs="Times New Roman" w:eastAsia="Times New Roman" w:hAnsi="Times New Roman"/>
          <w:sz w:val="14"/>
          <w:szCs w:val="14"/>
          <w:b w:val="1"/>
          <w:bCs w:val="1"/>
          <w:color w:val="auto"/>
        </w:rPr>
        <w:t>employment conditions</w:t>
      </w:r>
      <w:r>
        <w:rPr>
          <w:sz w:val="20"/>
          <w:szCs w:val="20"/>
          <w:color w:val="auto"/>
        </w:rPr>
        <w:tab/>
      </w:r>
      <w:r>
        <w:rPr>
          <w:rFonts w:ascii="Times New Roman" w:cs="Times New Roman" w:eastAsia="Times New Roman" w:hAnsi="Times New Roman"/>
          <w:sz w:val="14"/>
          <w:szCs w:val="14"/>
          <w:color w:val="auto"/>
        </w:rPr>
        <w:t>basis, the status of corporate officer or employee of the Company and/or one of its direct and/or indirect subsidiaries, as applicable.</w:t>
      </w:r>
    </w:p>
    <w:p>
      <w:pPr>
        <w:sectPr>
          <w:pgSz w:w="11900" w:h="16838" w:orient="portrait"/>
          <w:cols w:equalWidth="0" w:num="1">
            <w:col w:w="9019"/>
          </w:cols>
          <w:pgMar w:left="1440" w:top="1440" w:right="1440"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991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16115" cy="1099185"/>
                    </a:xfrm>
                    <a:prstGeom prst="rect">
                      <a:avLst/>
                    </a:prstGeom>
                    <a:noFill/>
                  </pic:spPr>
                </pic:pic>
              </a:graphicData>
            </a:graphic>
          </wp:anchor>
        </w:drawing>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1417" w:right="1440" w:bottom="2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43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Free ordinary share plan AGA 2025-7</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June 6, 2025</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August 1, 2025</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1,711,000</w:t>
            </w:r>
          </w:p>
        </w:tc>
      </w:tr>
      <w:tr>
        <w:trPr>
          <w:trHeight w:val="17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438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438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130,000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50,000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1,431,000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4380" w:type="dxa"/>
            <w:vAlign w:val="bottom"/>
          </w:tcPr>
          <w:p>
            <w:pPr>
              <w:spacing w:after="0"/>
              <w:rPr>
                <w:sz w:val="18"/>
                <w:szCs w:val="18"/>
                <w:color w:val="auto"/>
              </w:rPr>
            </w:pPr>
          </w:p>
        </w:tc>
      </w:tr>
    </w:tbl>
    <w:p>
      <w:pPr>
        <w:spacing w:after="0" w:line="77" w:lineRule="exact"/>
        <w:rPr>
          <w:sz w:val="20"/>
          <w:szCs w:val="20"/>
          <w:color w:val="auto"/>
        </w:rPr>
      </w:pPr>
    </w:p>
    <w:p>
      <w:pPr>
        <w:sectPr>
          <w:pgSz w:w="11900" w:h="16838" w:orient="portrait"/>
          <w:cols w:equalWidth="0" w:num="1">
            <w:col w:w="9019"/>
          </w:cols>
          <w:pgMar w:left="1440" w:top="1417" w:right="1440" w:bottom="231" w:gutter="0" w:footer="0" w:header="0"/>
          <w:type w:val="continuous"/>
        </w:sect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 of the ordinary shares allocated shall vest on August 1, 2027;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August 1 2028;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August 1, 2029.</w:t>
      </w:r>
    </w:p>
    <w:p>
      <w:pPr>
        <w:spacing w:after="0" w:line="80" w:lineRule="exact"/>
        <w:rPr>
          <w:sz w:val="20"/>
          <w:szCs w:val="20"/>
          <w:color w:val="auto"/>
        </w:rPr>
      </w:pPr>
    </w:p>
    <w:p>
      <w:pPr>
        <w:sectPr>
          <w:pgSz w:w="11900" w:h="16838" w:orient="portrait"/>
          <w:cols w:equalWidth="0" w:num="2">
            <w:col w:w="2540" w:space="240"/>
            <w:col w:w="6239"/>
          </w:cols>
          <w:pgMar w:left="1440" w:top="1417" w:right="1440" w:bottom="231" w:gutter="0" w:footer="0" w:header="0"/>
          <w:type w:val="continuous"/>
        </w:sectPr>
      </w:pPr>
    </w:p>
    <w:tbl>
      <w:tblPr>
        <w:tblLayout w:type="fixed"/>
        <w:tblInd w:w="380" w:type="dxa"/>
        <w:tblCellMar>
          <w:top w:w="0" w:type="dxa"/>
          <w:left w:w="0" w:type="dxa"/>
          <w:bottom w:w="0" w:type="dxa"/>
          <w:right w:w="0" w:type="dxa"/>
        </w:tblCellMar>
      </w:tblP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380" w:type="dxa"/>
            <w:vAlign w:val="bottom"/>
          </w:tcPr>
          <w:p>
            <w:pPr>
              <w:ind w:left="6300"/>
              <w:spacing w:after="0"/>
              <w:rPr>
                <w:sz w:val="20"/>
                <w:szCs w:val="20"/>
                <w:color w:val="auto"/>
              </w:rPr>
            </w:pPr>
            <w:r>
              <w:rPr>
                <w:rFonts w:ascii="Times New Roman" w:cs="Times New Roman" w:eastAsia="Times New Roman" w:hAnsi="Times New Roman"/>
                <w:sz w:val="14"/>
                <w:szCs w:val="14"/>
                <w:color w:val="auto"/>
                <w:w w:val="85"/>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1,631,000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80,000</w:t>
            </w: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8"/>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00" w:type="dxa"/>
            <w:vAlign w:val="bottom"/>
          </w:tcPr>
          <w:p>
            <w:pPr>
              <w:spacing w:after="0"/>
              <w:rPr>
                <w:sz w:val="16"/>
                <w:szCs w:val="16"/>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pacing w:after="0" w:line="200" w:lineRule="exact"/>
        <w:rPr>
          <w:sz w:val="20"/>
          <w:szCs w:val="20"/>
          <w:color w:val="auto"/>
        </w:rPr>
      </w:pPr>
    </w:p>
    <w:p>
      <w:pPr>
        <w:sectPr>
          <w:pgSz w:w="11900" w:h="16838" w:orient="portrait"/>
          <w:cols w:equalWidth="0" w:num="1">
            <w:col w:w="9019"/>
          </w:cols>
          <w:pgMar w:left="1440" w:top="1417" w:right="1440" w:bottom="2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790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16115" cy="179070"/>
                    </a:xfrm>
                    <a:prstGeom prst="rect">
                      <a:avLst/>
                    </a:prstGeom>
                    <a:noFill/>
                  </pic:spPr>
                </pic:pic>
              </a:graphicData>
            </a:graphic>
          </wp:anchor>
        </w:drawing>
      </w:r>
    </w:p>
    <w:p>
      <w:pPr>
        <w:sectPr>
          <w:pgSz w:w="11900" w:h="16838" w:orient="portrait"/>
          <w:cols w:equalWidth="0" w:num="1">
            <w:col w:w="9019"/>
          </w:cols>
          <w:pgMar w:left="1440" w:top="1417" w:right="1440" w:bottom="231" w:gutter="0" w:footer="0" w:header="0"/>
          <w:type w:val="continuous"/>
        </w:sectPr>
      </w:pPr>
    </w:p>
    <w:bookmarkStart w:id="107" w:name="page108"/>
    <w:bookmarkEnd w:id="107"/>
    <w:tbl>
      <w:tblPr>
        <w:tblLayout w:type="fixed"/>
        <w:tblInd w:w="360" w:type="dxa"/>
        <w:tblCellMar>
          <w:top w:w="0" w:type="dxa"/>
          <w:left w:w="0" w:type="dxa"/>
          <w:bottom w:w="0" w:type="dxa"/>
          <w:right w:w="0" w:type="dxa"/>
        </w:tblCellMar>
      </w:tblP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43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Free ordinary share plan AGA 2025-8</w:t>
            </w:r>
          </w:p>
        </w:tc>
      </w:tr>
      <w:tr>
        <w:trPr>
          <w:trHeight w:val="203"/>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Meeting date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June 6, 2025</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decision</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13, 2025</w:t>
            </w:r>
          </w:p>
        </w:tc>
      </w:tr>
      <w:tr>
        <w:trPr>
          <w:trHeight w:val="20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4,000</w:t>
            </w:r>
          </w:p>
        </w:tc>
      </w:tr>
      <w:tr>
        <w:trPr>
          <w:trHeight w:val="175"/>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by the Board of</w:t>
            </w:r>
          </w:p>
        </w:tc>
        <w:tc>
          <w:tcPr>
            <w:tcW w:w="4380" w:type="dxa"/>
            <w:vAlign w:val="bottom"/>
          </w:tcPr>
          <w:p>
            <w:pPr>
              <w:spacing w:after="0"/>
              <w:rPr>
                <w:sz w:val="15"/>
                <w:szCs w:val="15"/>
                <w:color w:val="auto"/>
              </w:rPr>
            </w:pPr>
          </w:p>
        </w:tc>
      </w:tr>
      <w:tr>
        <w:trPr>
          <w:trHeight w:val="190"/>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4380" w:type="dxa"/>
            <w:vAlign w:val="bottom"/>
          </w:tcPr>
          <w:p>
            <w:pPr>
              <w:spacing w:after="0"/>
              <w:rPr>
                <w:sz w:val="16"/>
                <w:szCs w:val="16"/>
                <w:color w:val="auto"/>
              </w:rPr>
            </w:pP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de Garidel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4,000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tc>
        <w:tc>
          <w:tcPr>
            <w:tcW w:w="438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1181" w:right="1440" w:bottom="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883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16115" cy="8883015"/>
                    </a:xfrm>
                    <a:prstGeom prst="rect">
                      <a:avLst/>
                    </a:prstGeom>
                    <a:noFill/>
                  </pic:spPr>
                </pic:pic>
              </a:graphicData>
            </a:graphic>
          </wp:anchor>
        </w:drawing>
      </w:r>
    </w:p>
    <w:p>
      <w:pPr>
        <w:spacing w:after="0" w:line="7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 of the ordinary shares allocated shall vest on November 13, 2027;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November 13 2028;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November 13, 2029.</w:t>
      </w:r>
    </w:p>
    <w:p>
      <w:pPr>
        <w:spacing w:after="0" w:line="80" w:lineRule="exact"/>
        <w:rPr>
          <w:sz w:val="20"/>
          <w:szCs w:val="20"/>
          <w:color w:val="auto"/>
        </w:rPr>
      </w:pPr>
    </w:p>
    <w:p>
      <w:pPr>
        <w:sectPr>
          <w:pgSz w:w="11900" w:h="16838" w:orient="portrait"/>
          <w:cols w:equalWidth="0" w:num="2">
            <w:col w:w="2540" w:space="240"/>
            <w:col w:w="6239"/>
          </w:cols>
          <w:pgMar w:left="1440" w:top="1181" w:right="1440" w:bottom="0" w:gutter="0" w:footer="0" w:header="0"/>
          <w:type w:val="continuous"/>
        </w:sectPr>
      </w:pPr>
    </w:p>
    <w:tbl>
      <w:tblPr>
        <w:tblLayout w:type="fixed"/>
        <w:tblInd w:w="380" w:type="dxa"/>
        <w:tblCellMar>
          <w:top w:w="0" w:type="dxa"/>
          <w:left w:w="0" w:type="dxa"/>
          <w:bottom w:w="0" w:type="dxa"/>
          <w:right w:w="0" w:type="dxa"/>
        </w:tblCellMar>
      </w:tblP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380" w:type="dxa"/>
            <w:vAlign w:val="bottom"/>
          </w:tcPr>
          <w:p>
            <w:pPr>
              <w:ind w:left="6300"/>
              <w:spacing w:after="0"/>
              <w:rPr>
                <w:sz w:val="20"/>
                <w:szCs w:val="20"/>
                <w:color w:val="auto"/>
              </w:rPr>
            </w:pPr>
            <w:r>
              <w:rPr>
                <w:rFonts w:ascii="Times New Roman" w:cs="Times New Roman" w:eastAsia="Times New Roman" w:hAnsi="Times New Roman"/>
                <w:sz w:val="14"/>
                <w:szCs w:val="14"/>
                <w:color w:val="auto"/>
                <w:w w:val="85"/>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4,000</w:t>
            </w: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380" w:type="dxa"/>
            <w:vAlign w:val="bottom"/>
          </w:tcPr>
          <w:p>
            <w:pPr>
              <w:ind w:left="6300"/>
              <w:spacing w:after="0"/>
              <w:rPr>
                <w:sz w:val="20"/>
                <w:szCs w:val="20"/>
                <w:color w:val="auto"/>
              </w:rPr>
            </w:pPr>
            <w:r>
              <w:rPr>
                <w:rFonts w:ascii="Times New Roman" w:cs="Times New Roman" w:eastAsia="Times New Roman" w:hAnsi="Times New Roman"/>
                <w:sz w:val="14"/>
                <w:szCs w:val="14"/>
                <w:color w:val="auto"/>
                <w:w w:val="85"/>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8"/>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00" w:type="dxa"/>
            <w:vAlign w:val="bottom"/>
          </w:tcPr>
          <w:p>
            <w:pPr>
              <w:spacing w:after="0"/>
              <w:rPr>
                <w:sz w:val="16"/>
                <w:szCs w:val="16"/>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5506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1611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General Meeting date</w:t>
      </w:r>
      <w:r>
        <w:rPr>
          <w:sz w:val="20"/>
          <w:szCs w:val="20"/>
          <w:color w:val="auto"/>
        </w:rPr>
        <w:tab/>
      </w:r>
      <w:r>
        <w:rPr>
          <w:rFonts w:ascii="Times New Roman" w:cs="Times New Roman" w:eastAsia="Times New Roman" w:hAnsi="Times New Roman"/>
          <w:sz w:val="14"/>
          <w:szCs w:val="14"/>
          <w:color w:val="auto"/>
        </w:rPr>
        <w:t>June 6, 2025</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decision </w:t>
      </w:r>
      <w:r>
        <w:rPr>
          <w:rFonts w:ascii="Times New Roman" w:cs="Times New Roman" w:eastAsia="Times New Roman" w:hAnsi="Times New Roman"/>
          <w:sz w:val="14"/>
          <w:szCs w:val="14"/>
          <w:color w:val="auto"/>
        </w:rPr>
        <w:t>February 5, 2026</w:t>
      </w:r>
    </w:p>
    <w:p>
      <w:pPr>
        <w:spacing w:after="0" w:line="55"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47,500</w:t>
            </w:r>
          </w:p>
        </w:tc>
      </w:tr>
    </w:tbl>
    <w:p>
      <w:pPr>
        <w:ind w:left="460"/>
        <w:spacing w:after="0"/>
        <w:rPr>
          <w:sz w:val="20"/>
          <w:szCs w:val="20"/>
          <w:color w:val="auto"/>
        </w:rPr>
      </w:pPr>
      <w:r>
        <w:rPr>
          <w:rFonts w:ascii="Times New Roman" w:cs="Times New Roman" w:eastAsia="Times New Roman" w:hAnsi="Times New Roman"/>
          <w:sz w:val="14"/>
          <w:szCs w:val="14"/>
          <w:b w:val="1"/>
          <w:bCs w:val="1"/>
          <w:color w:val="auto"/>
        </w:rPr>
        <w:t>granted by the Board of</w:t>
      </w:r>
    </w:p>
    <w:p>
      <w:pPr>
        <w:sectPr>
          <w:pgSz w:w="11900" w:h="16838" w:orient="portrait"/>
          <w:cols w:equalWidth="0" w:num="1">
            <w:col w:w="9019"/>
          </w:cols>
          <w:pgMar w:left="1440" w:top="1181" w:right="1440" w:bottom="0" w:gutter="0" w:footer="0" w:header="0"/>
          <w:type w:val="continuous"/>
        </w:sectPr>
      </w:pPr>
    </w:p>
    <w:bookmarkStart w:id="108" w:name="page109"/>
    <w:bookmarkEnd w:id="108"/>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Directors</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20" w:type="dxa"/>
            <w:vAlign w:val="bottom"/>
          </w:tcPr>
          <w:p>
            <w:pPr>
              <w:jc w:val="center"/>
              <w:ind w:right="153"/>
              <w:spacing w:after="0" w:line="68" w:lineRule="exact"/>
              <w:rPr>
                <w:sz w:val="20"/>
                <w:szCs w:val="20"/>
                <w:color w:val="auto"/>
              </w:rPr>
            </w:pPr>
            <w:r>
              <w:rPr>
                <w:rFonts w:ascii="Times New Roman" w:cs="Times New Roman" w:eastAsia="Times New Roman" w:hAnsi="Times New Roman"/>
                <w:sz w:val="7"/>
                <w:szCs w:val="7"/>
                <w:b w:val="1"/>
                <w:bCs w:val="1"/>
                <w:color w:val="auto"/>
              </w:rPr>
              <w:t>Plan name</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1220" w:type="dxa"/>
            <w:vAlign w:val="bottom"/>
          </w:tcPr>
          <w:p>
            <w:pPr>
              <w:jc w:val="center"/>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Marc de Garidel</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Sylvie Grégoire</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Didier Blondel</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Fabio Cataldi</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47,500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Duration of vesting period</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Free ordinary share plan AGA 2026-1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-120015</wp:posOffset>
            </wp:positionV>
            <wp:extent cx="7016115" cy="7511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16115" cy="751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 of the ordinary shares allocated shall vest on February 5, 2028;</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5, 2029; and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of the ordinary shares allocated shall vest on February 5, 2030.</w:t>
      </w:r>
    </w:p>
    <w:p>
      <w:pPr>
        <w:spacing w:after="0" w:line="80" w:lineRule="exact"/>
        <w:rPr>
          <w:sz w:val="20"/>
          <w:szCs w:val="20"/>
          <w:color w:val="auto"/>
        </w:rPr>
      </w:pPr>
    </w:p>
    <w:p>
      <w:pPr>
        <w:sectPr>
          <w:pgSz w:w="11900" w:h="16875" w:orient="portrait"/>
          <w:cols w:equalWidth="0" w:num="2">
            <w:col w:w="2540" w:space="240"/>
            <w:col w:w="6239"/>
          </w:cols>
          <w:pgMar w:left="1440" w:top="86" w:right="1440" w:bottom="0" w:gutter="0" w:footer="0" w:header="0"/>
        </w:sectPr>
      </w:pPr>
    </w:p>
    <w:tbl>
      <w:tblPr>
        <w:tblLayout w:type="fixed"/>
        <w:tblInd w:w="380" w:type="dxa"/>
        <w:tblCellMar>
          <w:top w:w="0" w:type="dxa"/>
          <w:left w:w="0" w:type="dxa"/>
          <w:bottom w:w="0" w:type="dxa"/>
          <w:right w:w="0" w:type="dxa"/>
        </w:tblCellMar>
      </w:tblP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availability</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ordinary shares are not subject to a lock-up period once vested.</w:t>
            </w:r>
          </w:p>
        </w:tc>
      </w:tr>
      <w:tr>
        <w:trPr>
          <w:trHeight w:val="20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fully</w:t>
            </w:r>
          </w:p>
        </w:tc>
        <w:tc>
          <w:tcPr>
            <w:tcW w:w="6380" w:type="dxa"/>
            <w:vAlign w:val="bottom"/>
          </w:tcPr>
          <w:p>
            <w:pPr>
              <w:ind w:left="6300"/>
              <w:spacing w:after="0"/>
              <w:rPr>
                <w:sz w:val="20"/>
                <w:szCs w:val="20"/>
                <w:color w:val="auto"/>
              </w:rPr>
            </w:pPr>
            <w:r>
              <w:rPr>
                <w:rFonts w:ascii="Times New Roman" w:cs="Times New Roman" w:eastAsia="Times New Roman" w:hAnsi="Times New Roman"/>
                <w:sz w:val="14"/>
                <w:szCs w:val="14"/>
                <w:color w:val="auto"/>
                <w:w w:val="85"/>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 being</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47,500</w:t>
            </w:r>
          </w:p>
        </w:tc>
      </w:tr>
      <w:tr>
        <w:trPr>
          <w:trHeight w:val="17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Free ordinary shares</w:t>
            </w:r>
          </w:p>
        </w:tc>
        <w:tc>
          <w:tcPr>
            <w:tcW w:w="6380" w:type="dxa"/>
            <w:vAlign w:val="bottom"/>
          </w:tcPr>
          <w:p>
            <w:pPr>
              <w:ind w:left="6300"/>
              <w:spacing w:after="0"/>
              <w:rPr>
                <w:sz w:val="20"/>
                <w:szCs w:val="20"/>
                <w:color w:val="auto"/>
              </w:rPr>
            </w:pPr>
            <w:r>
              <w:rPr>
                <w:rFonts w:ascii="Times New Roman" w:cs="Times New Roman" w:eastAsia="Times New Roman" w:hAnsi="Times New Roman"/>
                <w:sz w:val="14"/>
                <w:szCs w:val="14"/>
                <w:color w:val="auto"/>
                <w:w w:val="85"/>
              </w:rPr>
              <w:t>0</w:t>
            </w:r>
          </w:p>
        </w:tc>
      </w:tr>
      <w:tr>
        <w:trPr>
          <w:trHeight w:val="176"/>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lapsed as of February 28,</w:t>
            </w:r>
          </w:p>
        </w:tc>
        <w:tc>
          <w:tcPr>
            <w:tcW w:w="6380" w:type="dxa"/>
            <w:vAlign w:val="bottom"/>
          </w:tcPr>
          <w:p>
            <w:pPr>
              <w:spacing w:after="0"/>
              <w:rPr>
                <w:sz w:val="15"/>
                <w:szCs w:val="15"/>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380" w:type="dxa"/>
            <w:vAlign w:val="bottom"/>
          </w:tcPr>
          <w:p>
            <w:pPr>
              <w:spacing w:after="0"/>
              <w:rPr>
                <w:sz w:val="16"/>
                <w:szCs w:val="16"/>
                <w:color w:val="auto"/>
              </w:rPr>
            </w:pPr>
          </w:p>
        </w:tc>
      </w:tr>
      <w:tr>
        <w:trPr>
          <w:trHeight w:val="215"/>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 all of the ordinary shares, the vesting is subject to the beneficiary of the plan retaining, on an ongoing</w:t>
            </w:r>
          </w:p>
        </w:tc>
      </w:tr>
      <w:tr>
        <w:trPr>
          <w:trHeight w:val="178"/>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conditions</w:t>
            </w: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basis, the status of corporate officer or employee of the Company and/or one of its direct and/or indirect</w:t>
            </w:r>
          </w:p>
        </w:tc>
      </w:tr>
      <w:tr>
        <w:trPr>
          <w:trHeight w:val="188"/>
        </w:trPr>
        <w:tc>
          <w:tcPr>
            <w:tcW w:w="1700" w:type="dxa"/>
            <w:vAlign w:val="bottom"/>
          </w:tcPr>
          <w:p>
            <w:pPr>
              <w:spacing w:after="0"/>
              <w:rPr>
                <w:sz w:val="16"/>
                <w:szCs w:val="16"/>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subsidiaries, as applicable.</w:t>
            </w:r>
          </w:p>
        </w:tc>
      </w:tr>
    </w:tbl>
    <w:p>
      <w:pPr>
        <w:spacing w:after="0" w:line="302" w:lineRule="exact"/>
        <w:rPr>
          <w:sz w:val="20"/>
          <w:szCs w:val="20"/>
          <w:color w:val="auto"/>
        </w:rPr>
      </w:pPr>
    </w:p>
    <w:p>
      <w:pPr>
        <w:ind w:left="300" w:right="479"/>
        <w:spacing w:after="0" w:line="215" w:lineRule="auto"/>
        <w:rPr>
          <w:sz w:val="20"/>
          <w:szCs w:val="20"/>
          <w:color w:val="auto"/>
        </w:rPr>
      </w:pPr>
      <w:r>
        <w:rPr>
          <w:rFonts w:ascii="Times New Roman" w:cs="Times New Roman" w:eastAsia="Times New Roman" w:hAnsi="Times New Roman"/>
          <w:sz w:val="18"/>
          <w:szCs w:val="18"/>
          <w:color w:val="auto"/>
        </w:rPr>
        <w:t>General note: all of our AGA plans provide for specific cases of acceleration resulting in the vesting of said AGAs in the event of the occurrence of specific events and in particular in the event of a change of control of us.</w:t>
      </w: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9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Our Board currently consists of seven members. The rules of procedure of our Board set the principles guiding the composition of the Board. The most recent version of this document was adopted by our Board in April 2021 and subsequently amended in September 2023.The Board has established three permanent, specialized committees</w:t>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to assist the Board in its work: (1) the audit committee, (2) the remuneration committee and (3) the nomination and governance committee. The Board has also established two ad hoc committees: (1) the scientific and clinical committee and (2) the commercial committee. Subject to available exemptions, the composition and functioning of</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all of our committees will comply with applicable requirements of the French Commercial Code, the Exchange Act, the Nasdaq Global Market and SEC rules and regulations.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accordance with French law, committees of our Board only have an advisory role and can only make</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 xml:space="preserve">recommendations to our Board. As a result, decisions will be made by our Board taking into account non-binding recommendations of the relevant Board committee. Since July 2024, our Board has been chaired by Dr. Grégoire. Our Chief Executive Officer, Mr. de Garidel, represents us </w:t>
      </w:r>
      <w:r>
        <w:rPr>
          <w:rFonts w:ascii="Times New Roman" w:cs="Times New Roman" w:eastAsia="Times New Roman" w:hAnsi="Times New Roman"/>
          <w:sz w:val="17"/>
          <w:szCs w:val="17"/>
          <w:i w:val="1"/>
          <w:iCs w:val="1"/>
          <w:color w:val="auto"/>
        </w:rPr>
        <w:t>vis-à-vis</w:t>
      </w:r>
      <w:r>
        <w:rPr>
          <w:rFonts w:ascii="Times New Roman" w:cs="Times New Roman" w:eastAsia="Times New Roman" w:hAnsi="Times New Roman"/>
          <w:sz w:val="17"/>
          <w:szCs w:val="17"/>
          <w:color w:val="auto"/>
        </w:rPr>
        <w:t xml:space="preserve"> third parties in his capacity as Chief Executive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All members of the Board may serve for a maximum of four years, expiring at the end of the shareholders’ meeting called to approve the financial statements from the previous year and held during the year in which the term</w:t>
      </w:r>
    </w:p>
    <w:p>
      <w:pPr>
        <w:ind w:left="300" w:right="439"/>
        <w:spacing w:after="0" w:line="226" w:lineRule="auto"/>
        <w:rPr>
          <w:sz w:val="20"/>
          <w:szCs w:val="20"/>
          <w:color w:val="auto"/>
        </w:rPr>
      </w:pPr>
      <w:r>
        <w:rPr>
          <w:rFonts w:ascii="Times New Roman" w:cs="Times New Roman" w:eastAsia="Times New Roman" w:hAnsi="Times New Roman"/>
          <w:sz w:val="18"/>
          <w:szCs w:val="18"/>
          <w:color w:val="auto"/>
        </w:rPr>
        <w:t>expires. Members of the Board may be re-elected. They may be dismissed at any time by a decision of the ordinary general meeting of shareholders. The composition of our Board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922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1611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54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Current Position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of Initial</w:t>
            </w:r>
          </w:p>
        </w:tc>
        <w:tc>
          <w:tcPr>
            <w:tcW w:w="13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Term Expiration</w:t>
            </w:r>
          </w:p>
        </w:tc>
      </w:tr>
      <w:tr>
        <w:trPr>
          <w:trHeight w:val="204"/>
        </w:trPr>
        <w:tc>
          <w:tcPr>
            <w:tcW w:w="28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Appointment</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9"/>
                <w:szCs w:val="9"/>
                <w:b w:val="1"/>
                <w:bCs w:val="1"/>
                <w:color w:val="auto"/>
                <w:w w:val="91"/>
              </w:rPr>
              <w:t>(1)</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Sylvie Grégoire</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Chair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Marc de Garidel</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2029</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Corinna zur Bonsen-Thomas</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2029</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June Lee</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Troy Ignelzi</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Camilla Soenderby</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2029</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Dominik Höchli</w:t>
            </w:r>
          </w:p>
        </w:tc>
        <w:tc>
          <w:tcPr>
            <w:tcW w:w="25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2029</w:t>
            </w:r>
          </w:p>
        </w:tc>
      </w:tr>
    </w:tbl>
    <w:p>
      <w:pPr>
        <w:spacing w:after="0" w:line="71" w:lineRule="exact"/>
        <w:rPr>
          <w:sz w:val="20"/>
          <w:szCs w:val="20"/>
          <w:color w:val="auto"/>
        </w:rPr>
      </w:pPr>
    </w:p>
    <w:p>
      <w:pPr>
        <w:ind w:left="300" w:right="379" w:hanging="9"/>
        <w:spacing w:after="0" w:line="234" w:lineRule="auto"/>
        <w:tabs>
          <w:tab w:leader="none" w:pos="464" w:val="left"/>
        </w:tabs>
        <w:numPr>
          <w:ilvl w:val="0"/>
          <w:numId w:val="8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The mandates expire at the annual shareholders’ meeting approving the financial statements closed on December 31 of the previous year.</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During the fiscal year ended December 31, 2025, the Board met eleven times.</w:t>
      </w:r>
    </w:p>
    <w:p>
      <w:pPr>
        <w:sectPr>
          <w:pgSz w:w="11900" w:h="16875" w:orient="portrait"/>
          <w:cols w:equalWidth="0" w:num="1">
            <w:col w:w="9019"/>
          </w:cols>
          <w:pgMar w:left="1440" w:top="86" w:right="1440" w:bottom="0" w:gutter="0" w:footer="0" w:header="0"/>
          <w:type w:val="continuous"/>
        </w:sectPr>
      </w:pP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Non-voting Board Members / Observers</w:t>
      </w:r>
    </w:p>
    <w:p>
      <w:pPr>
        <w:sectPr>
          <w:pgSz w:w="11900" w:h="16875" w:orient="portrait"/>
          <w:cols w:equalWidth="0" w:num="1">
            <w:col w:w="9019"/>
          </w:cols>
          <w:pgMar w:left="1440" w:top="86" w:right="1440" w:bottom="0" w:gutter="0" w:footer="0" w:header="0"/>
          <w:type w:val="continuous"/>
        </w:sectPr>
      </w:pPr>
    </w:p>
    <w:bookmarkStart w:id="109" w:name="page110"/>
    <w:bookmarkEnd w:id="109"/>
    <w:p>
      <w:pPr>
        <w:ind w:left="300" w:right="879" w:firstLine="44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1398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16115" cy="6139815"/>
                    </a:xfrm>
                    <a:prstGeom prst="rect">
                      <a:avLst/>
                    </a:prstGeom>
                    <a:noFill/>
                  </pic:spPr>
                </pic:pic>
              </a:graphicData>
            </a:graphic>
          </wp:anchor>
        </w:drawing>
        <w:t>Pursuant to our by-laws, the General Meeting or the Board may appoint non-voting board members (or observers). There is currently no Board observer in office.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a foreign private issuer, under the listing requirements and rules of Nasdaq, we are not required to have</w:t>
      </w:r>
    </w:p>
    <w:p>
      <w:pPr>
        <w:spacing w:after="0" w:line="2" w:lineRule="exact"/>
        <w:rPr>
          <w:sz w:val="20"/>
          <w:szCs w:val="20"/>
          <w:color w:val="auto"/>
        </w:rPr>
      </w:pPr>
    </w:p>
    <w:p>
      <w:pPr>
        <w:jc w:val="both"/>
        <w:ind w:left="300" w:right="539"/>
        <w:spacing w:after="0" w:line="220" w:lineRule="auto"/>
        <w:rPr>
          <w:sz w:val="20"/>
          <w:szCs w:val="20"/>
          <w:color w:val="auto"/>
        </w:rPr>
      </w:pPr>
      <w:r>
        <w:rPr>
          <w:rFonts w:ascii="Times New Roman" w:cs="Times New Roman" w:eastAsia="Times New Roman" w:hAnsi="Times New Roman"/>
          <w:sz w:val="17"/>
          <w:szCs w:val="17"/>
          <w:color w:val="auto"/>
        </w:rPr>
        <w:t>independent directors on our Board, except to the extent that our audit committee is required to be consistent with independence requirements. In determining whether a director is an independent director, our Board considers the relationships that each non-employee director has with the Board and all other facts and circumstances that our</w:t>
      </w:r>
    </w:p>
    <w:p>
      <w:pPr>
        <w:spacing w:after="0" w:line="2" w:lineRule="exact"/>
        <w:rPr>
          <w:sz w:val="20"/>
          <w:szCs w:val="20"/>
          <w:color w:val="auto"/>
        </w:rPr>
      </w:pPr>
    </w:p>
    <w:p>
      <w:pPr>
        <w:ind w:left="300" w:right="1059"/>
        <w:spacing w:after="0" w:line="226" w:lineRule="auto"/>
        <w:rPr>
          <w:sz w:val="20"/>
          <w:szCs w:val="20"/>
          <w:color w:val="auto"/>
        </w:rPr>
      </w:pPr>
      <w:r>
        <w:rPr>
          <w:rFonts w:ascii="Times New Roman" w:cs="Times New Roman" w:eastAsia="Times New Roman" w:hAnsi="Times New Roman"/>
          <w:sz w:val="18"/>
          <w:szCs w:val="18"/>
          <w:color w:val="auto"/>
        </w:rPr>
        <w:t>Board deems relevant in determining the director’s independence, including the number of ordinary shares beneficially owned by the director and his or her affiliated entities, if any.</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such director’s</w:t>
      </w:r>
    </w:p>
    <w:p>
      <w:pPr>
        <w:spacing w:after="0" w:line="2" w:lineRule="exact"/>
        <w:rPr>
          <w:sz w:val="20"/>
          <w:szCs w:val="20"/>
          <w:color w:val="auto"/>
        </w:rPr>
      </w:pPr>
    </w:p>
    <w:p>
      <w:pPr>
        <w:ind w:left="300" w:right="539"/>
        <w:spacing w:after="0" w:line="218" w:lineRule="auto"/>
        <w:rPr>
          <w:sz w:val="20"/>
          <w:szCs w:val="20"/>
          <w:color w:val="auto"/>
        </w:rPr>
      </w:pPr>
      <w:r>
        <w:rPr>
          <w:rFonts w:ascii="Times New Roman" w:cs="Times New Roman" w:eastAsia="Times New Roman" w:hAnsi="Times New Roman"/>
          <w:sz w:val="18"/>
          <w:szCs w:val="18"/>
          <w:color w:val="auto"/>
        </w:rPr>
        <w:t>background, employment and affiliations, including family relationships, our Board has determined that all of our directors, except for Marc de Garidel, qualify as “independent directors” as defined under applicable rules of the Nasdaq Global Market and the independence requirements contemplated by the Exchange Act.</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 xml:space="preserve">Furthermore, our Board has determined that, under the criteria of the Middlenext Code of Corporate Governance, </w:t>
      </w:r>
      <w:r>
        <w:rPr>
          <w:rFonts w:ascii="Times New Roman" w:cs="Times New Roman" w:eastAsia="Times New Roman" w:hAnsi="Times New Roman"/>
          <w:sz w:val="17"/>
          <w:szCs w:val="17"/>
          <w:color w:val="auto"/>
          <w:highlight w:val="white"/>
        </w:rPr>
        <w:t>five</w:t>
      </w:r>
      <w:r>
        <w:rPr>
          <w:rFonts w:ascii="Times New Roman" w:cs="Times New Roman" w:eastAsia="Times New Roman" w:hAnsi="Times New Roman"/>
          <w:sz w:val="17"/>
          <w:szCs w:val="17"/>
          <w:color w:val="auto"/>
        </w:rPr>
        <w:t xml:space="preserve"> of our directors are “independent directors”: Sylvie Grégoire, June Lee, Troy Ignelzi, Corinna zur Bonsen-Thomas, and Camilla Soenderby. The Middlenext Code sets out the five following criteria justifying the</w:t>
      </w:r>
    </w:p>
    <w:p>
      <w:pPr>
        <w:ind w:left="300" w:right="1139"/>
        <w:spacing w:after="0" w:line="226" w:lineRule="auto"/>
        <w:rPr>
          <w:sz w:val="20"/>
          <w:szCs w:val="20"/>
          <w:color w:val="auto"/>
        </w:rPr>
      </w:pPr>
      <w:r>
        <w:rPr>
          <w:rFonts w:ascii="Times New Roman" w:cs="Times New Roman" w:eastAsia="Times New Roman" w:hAnsi="Times New Roman"/>
          <w:sz w:val="18"/>
          <w:szCs w:val="18"/>
          <w:color w:val="auto"/>
        </w:rPr>
        <w:t>independence of directors, characterized by the absence of any significant financial, contractual or family relationship likely to affect their independence of judgment:</w:t>
      </w:r>
    </w:p>
    <w:p>
      <w:pPr>
        <w:spacing w:after="0" w:line="49" w:lineRule="exact"/>
        <w:rPr>
          <w:sz w:val="20"/>
          <w:szCs w:val="20"/>
          <w:color w:val="auto"/>
        </w:rPr>
      </w:pPr>
    </w:p>
    <w:p>
      <w:pPr>
        <w:ind w:left="1280" w:right="579" w:hanging="328"/>
        <w:spacing w:after="0" w:line="250"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not be a salaried employee or corporate officer of us or our group and must not have held such a position within the last five years;</w:t>
      </w:r>
    </w:p>
    <w:p>
      <w:pPr>
        <w:spacing w:after="0" w:line="41" w:lineRule="exact"/>
        <w:rPr>
          <w:rFonts w:ascii="Times New Roman" w:cs="Times New Roman" w:eastAsia="Times New Roman" w:hAnsi="Times New Roman"/>
          <w:sz w:val="18"/>
          <w:szCs w:val="18"/>
          <w:color w:val="auto"/>
        </w:rPr>
      </w:pPr>
    </w:p>
    <w:p>
      <w:pPr>
        <w:ind w:left="1280" w:right="799" w:hanging="328"/>
        <w:spacing w:after="0" w:line="237"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not be in a significant business relationship with us or our group (e.g., client, supplier, competitor, provider, creditor, banker, etc.) within the last two years;</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not be a reference shareholder or hold a significant number of voting rights;</w:t>
      </w:r>
    </w:p>
    <w:p>
      <w:pPr>
        <w:spacing w:after="0" w:line="76" w:lineRule="exact"/>
        <w:rPr>
          <w:rFonts w:ascii="Times New Roman" w:cs="Times New Roman" w:eastAsia="Times New Roman" w:hAnsi="Times New Roman"/>
          <w:sz w:val="18"/>
          <w:szCs w:val="18"/>
          <w:color w:val="auto"/>
        </w:rPr>
      </w:pPr>
    </w:p>
    <w:p>
      <w:pPr>
        <w:ind w:left="1280" w:right="679" w:hanging="328"/>
        <w:spacing w:after="0" w:line="237"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not have close relationships or family ties with any of our corporate officer or reference shareholder; and</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not have been our auditor within the last six years.</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Among the Management and Supervisory Bodies and Executive Management</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Chairperson and Chief Executive Officer, our Chief Financial Officer and Board Secretary and our</w:t>
      </w:r>
    </w:p>
    <w:p>
      <w:pPr>
        <w:spacing w:after="0" w:line="2" w:lineRule="exact"/>
        <w:rPr>
          <w:sz w:val="20"/>
          <w:szCs w:val="20"/>
          <w:color w:val="auto"/>
        </w:rPr>
      </w:pPr>
    </w:p>
    <w:p>
      <w:pPr>
        <w:ind w:left="300" w:right="1159"/>
        <w:spacing w:after="0" w:line="226" w:lineRule="auto"/>
        <w:rPr>
          <w:sz w:val="20"/>
          <w:szCs w:val="20"/>
          <w:color w:val="auto"/>
        </w:rPr>
      </w:pPr>
      <w:r>
        <w:rPr>
          <w:rFonts w:ascii="Times New Roman" w:cs="Times New Roman" w:eastAsia="Times New Roman" w:hAnsi="Times New Roman"/>
          <w:sz w:val="18"/>
          <w:szCs w:val="18"/>
          <w:color w:val="auto"/>
        </w:rPr>
        <w:t>directors are direct or indirect shareholders or holders of securities giving access to our share capital. See “Compensation and Benefits—Compensation of Chief Executive Officer.”</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 Entered into with Board Members</w:t>
      </w:r>
    </w:p>
    <w:p>
      <w:pPr>
        <w:spacing w:after="0" w:line="108" w:lineRule="exact"/>
        <w:rPr>
          <w:sz w:val="20"/>
          <w:szCs w:val="20"/>
          <w:color w:val="auto"/>
        </w:rPr>
      </w:pPr>
    </w:p>
    <w:p>
      <w:pPr>
        <w:ind w:left="300" w:right="719" w:firstLine="441"/>
        <w:spacing w:after="0" w:line="237" w:lineRule="auto"/>
        <w:rPr>
          <w:sz w:val="20"/>
          <w:szCs w:val="20"/>
          <w:color w:val="auto"/>
        </w:rPr>
      </w:pPr>
      <w:r>
        <w:rPr>
          <w:rFonts w:ascii="Times New Roman" w:cs="Times New Roman" w:eastAsia="Times New Roman" w:hAnsi="Times New Roman"/>
          <w:sz w:val="18"/>
          <w:szCs w:val="18"/>
          <w:color w:val="auto"/>
        </w:rPr>
        <w:t>There are no existing service contracts between the Company or its subsidiaries on the one hand, and any Board member on the other, providing for benefits upon termination of service as a board member.</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293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16115" cy="429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Mission and Responsibilities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audit committee monitors issues relating to the elaboration and control of accounting and financial</w:t>
      </w:r>
    </w:p>
    <w:p>
      <w:pPr>
        <w:spacing w:after="0" w:line="2" w:lineRule="exact"/>
        <w:rPr>
          <w:sz w:val="20"/>
          <w:szCs w:val="20"/>
          <w:color w:val="auto"/>
        </w:rPr>
      </w:pP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information as provided for by French law and by our by-laws and by the rules of procedure of the Board. It then formulates recommendations to the Board in its task of permanent control of our management. It also issues recommendations in relation to the proposed statutory auditors.</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77" w:lineRule="exact"/>
        <w:rPr>
          <w:sz w:val="20"/>
          <w:szCs w:val="20"/>
          <w:color w:val="auto"/>
        </w:rPr>
      </w:pPr>
    </w:p>
    <w:p>
      <w:pPr>
        <w:ind w:left="1280" w:right="799" w:hanging="328"/>
        <w:spacing w:after="0" w:line="23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preparation and development of accounting and financial information and, where appropriate, formulating recommendations in this respect to ensure its accuracy;</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efficiency of the internal control and risk management systems;</w:t>
      </w:r>
    </w:p>
    <w:p>
      <w:pPr>
        <w:spacing w:after="0" w:line="76" w:lineRule="exact"/>
        <w:rPr>
          <w:rFonts w:ascii="Times New Roman" w:cs="Times New Roman" w:eastAsia="Times New Roman" w:hAnsi="Times New Roman"/>
          <w:sz w:val="18"/>
          <w:szCs w:val="18"/>
          <w:color w:val="auto"/>
        </w:rPr>
      </w:pPr>
    </w:p>
    <w:p>
      <w:pPr>
        <w:ind w:left="1280" w:right="719" w:hanging="328"/>
        <w:spacing w:after="0" w:line="23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proper legal oversight of the preparation of the annual financial statements and financial statements by the statutory auditors; and</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ensuring the independence of the statutory auditors.</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audit committee is also responsible for approving:</w:t>
      </w:r>
    </w:p>
    <w:p>
      <w:pPr>
        <w:spacing w:after="0" w:line="77" w:lineRule="exact"/>
        <w:rPr>
          <w:sz w:val="20"/>
          <w:szCs w:val="20"/>
          <w:color w:val="auto"/>
        </w:rPr>
      </w:pPr>
    </w:p>
    <w:p>
      <w:pPr>
        <w:ind w:left="1280" w:hanging="328"/>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non-audit services provided by the statutory auditors (including the permitted level of fees); and</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budgets for statutory audits and other engagements provided by the statutory auditors.</w:t>
      </w:r>
    </w:p>
    <w:p>
      <w:pPr>
        <w:spacing w:after="0" w:line="77" w:lineRule="exact"/>
        <w:rPr>
          <w:sz w:val="20"/>
          <w:szCs w:val="20"/>
          <w:color w:val="auto"/>
        </w:rPr>
      </w:pPr>
    </w:p>
    <w:p>
      <w:pPr>
        <w:ind w:left="300" w:right="459" w:firstLine="441"/>
        <w:spacing w:after="0" w:line="237" w:lineRule="auto"/>
        <w:rPr>
          <w:sz w:val="20"/>
          <w:szCs w:val="20"/>
          <w:color w:val="auto"/>
        </w:rPr>
      </w:pPr>
      <w:r>
        <w:rPr>
          <w:rFonts w:ascii="Times New Roman" w:cs="Times New Roman" w:eastAsia="Times New Roman" w:hAnsi="Times New Roman"/>
          <w:sz w:val="18"/>
          <w:szCs w:val="18"/>
          <w:color w:val="auto"/>
        </w:rPr>
        <w:t>The audit committee further controls the services provided by the auditors in relation to what is permitted by law or regulation.</w:t>
      </w:r>
    </w:p>
    <w:p>
      <w:pPr>
        <w:spacing w:after="0" w:line="64" w:lineRule="exact"/>
        <w:rPr>
          <w:sz w:val="20"/>
          <w:szCs w:val="20"/>
          <w:color w:val="auto"/>
        </w:rPr>
      </w:pPr>
    </w:p>
    <w:p>
      <w:pPr>
        <w:ind w:left="300" w:right="999" w:firstLine="441"/>
        <w:spacing w:after="0" w:line="263" w:lineRule="auto"/>
        <w:rPr>
          <w:sz w:val="20"/>
          <w:szCs w:val="20"/>
          <w:color w:val="auto"/>
        </w:rPr>
      </w:pPr>
      <w:r>
        <w:rPr>
          <w:rFonts w:ascii="Times New Roman" w:cs="Times New Roman" w:eastAsia="Times New Roman" w:hAnsi="Times New Roman"/>
          <w:sz w:val="17"/>
          <w:szCs w:val="17"/>
          <w:color w:val="auto"/>
        </w:rPr>
        <w:t>The audit committee is responsible for formulating recommendations regarding the statutory auditors proposed for nomination by the General Meeting of Shareholders and/or during the renewal of their term.</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Within this context, the audit committee may examine our annual financial statements in the form that they are</w:t>
      </w:r>
    </w:p>
    <w:p>
      <w:pPr>
        <w:spacing w:after="0" w:line="14" w:lineRule="exact"/>
        <w:rPr>
          <w:sz w:val="20"/>
          <w:szCs w:val="20"/>
          <w:color w:val="auto"/>
        </w:rPr>
      </w:pPr>
    </w:p>
    <w:p>
      <w:pPr>
        <w:ind w:left="300" w:right="1399"/>
        <w:spacing w:after="0" w:line="226" w:lineRule="auto"/>
        <w:rPr>
          <w:sz w:val="20"/>
          <w:szCs w:val="20"/>
          <w:color w:val="auto"/>
        </w:rPr>
      </w:pPr>
      <w:r>
        <w:rPr>
          <w:rFonts w:ascii="Times New Roman" w:cs="Times New Roman" w:eastAsia="Times New Roman" w:hAnsi="Times New Roman"/>
          <w:sz w:val="18"/>
          <w:szCs w:val="18"/>
          <w:color w:val="auto"/>
        </w:rPr>
        <w:t>presented to the Board, hear the opinions of the statutory auditors and the finance director and receive communications in relation to their analysis work and their conclusions.</w:t>
      </w:r>
    </w:p>
    <w:p>
      <w:pPr>
        <w:sectPr>
          <w:pgSz w:w="11900" w:h="16838" w:orient="portrait"/>
          <w:cols w:equalWidth="0" w:num="1">
            <w:col w:w="9019"/>
          </w:cols>
          <w:pgMar w:left="1440" w:top="189" w:right="1440" w:bottom="0" w:gutter="0" w:footer="0" w:header="0"/>
        </w:sectPr>
      </w:pPr>
    </w:p>
    <w:bookmarkStart w:id="110" w:name="page111"/>
    <w:bookmarkEnd w:id="110"/>
    <w:p>
      <w:pPr>
        <w:spacing w:after="0" w:line="32" w:lineRule="exact"/>
        <w:rPr>
          <w:sz w:val="20"/>
          <w:szCs w:val="20"/>
          <w:color w:val="auto"/>
        </w:rPr>
      </w:pPr>
    </w:p>
    <w:p>
      <w:pPr>
        <w:jc w:val="both"/>
        <w:ind w:left="300" w:right="299" w:firstLine="441"/>
        <w:spacing w:after="0" w:line="182" w:lineRule="auto"/>
        <w:rPr>
          <w:sz w:val="20"/>
          <w:szCs w:val="20"/>
          <w:color w:val="auto"/>
        </w:rPr>
      </w:pPr>
      <w:r>
        <w:rPr>
          <w:rFonts w:ascii="Times New Roman" w:cs="Times New Roman" w:eastAsia="Times New Roman" w:hAnsi="Times New Roman"/>
          <w:sz w:val="18"/>
          <w:szCs w:val="18"/>
          <w:color w:val="auto"/>
        </w:rPr>
        <w:t>The audit committee may use external experts at our expense, after approval of the chairperson of the Board or the audit committee or of the Chief Executive Officer, and render any expert reports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-178435</wp:posOffset>
            </wp:positionV>
            <wp:extent cx="7016115" cy="47682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16115" cy="4768215"/>
                    </a:xfrm>
                    <a:prstGeom prst="rect">
                      <a:avLst/>
                    </a:prstGeom>
                    <a:noFill/>
                  </pic:spPr>
                </pic:pic>
              </a:graphicData>
            </a:graphic>
          </wp:anchor>
        </w:drawing>
      </w:r>
    </w:p>
    <w:p>
      <w:pPr>
        <w:spacing w:after="0" w:line="31" w:lineRule="exact"/>
        <w:rPr>
          <w:sz w:val="20"/>
          <w:szCs w:val="20"/>
          <w:color w:val="auto"/>
        </w:rPr>
      </w:pPr>
    </w:p>
    <w:p>
      <w:pPr>
        <w:ind w:left="300" w:right="759" w:firstLine="441"/>
        <w:spacing w:after="0" w:line="236" w:lineRule="auto"/>
        <w:rPr>
          <w:sz w:val="20"/>
          <w:szCs w:val="20"/>
          <w:color w:val="auto"/>
        </w:rPr>
      </w:pPr>
      <w:r>
        <w:rPr>
          <w:rFonts w:ascii="Times New Roman" w:cs="Times New Roman" w:eastAsia="Times New Roman" w:hAnsi="Times New Roman"/>
          <w:sz w:val="17"/>
          <w:szCs w:val="17"/>
          <w:color w:val="auto"/>
        </w:rPr>
        <w:t>The audit committee may hear any director and carry out any internal or external audit on any subject it considers relevant to its mission. The chairperson of the audit committee shall inform the Board in advance. In</w:t>
      </w: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particular, the audit committee has the power to interview the persons involved in the preparation of the accounts or in their control (administrative and financial director and the main managers of the financial department).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Composition and Compensation</w:t>
      </w:r>
    </w:p>
    <w:p>
      <w:pPr>
        <w:spacing w:after="0" w:line="92" w:lineRule="exact"/>
        <w:rPr>
          <w:sz w:val="20"/>
          <w:szCs w:val="20"/>
          <w:color w:val="auto"/>
        </w:rPr>
      </w:pPr>
    </w:p>
    <w:p>
      <w:pPr>
        <w:jc w:val="both"/>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The audit committee and chairperson of the audit committee are appointed by the Board from members of the Board, excluding executive directors, with finance or accounting skills and at least one member must be independent in accordance with the provisions of the Middlenext Code. Members of the audit committee are appointed for a</w:t>
      </w:r>
    </w:p>
    <w:p>
      <w:pPr>
        <w:jc w:val="both"/>
        <w:ind w:left="300" w:right="479"/>
        <w:spacing w:after="0" w:line="220" w:lineRule="auto"/>
        <w:rPr>
          <w:sz w:val="20"/>
          <w:szCs w:val="20"/>
          <w:color w:val="auto"/>
        </w:rPr>
      </w:pPr>
      <w:r>
        <w:rPr>
          <w:rFonts w:ascii="Times New Roman" w:cs="Times New Roman" w:eastAsia="Times New Roman" w:hAnsi="Times New Roman"/>
          <w:sz w:val="17"/>
          <w:szCs w:val="17"/>
          <w:color w:val="auto"/>
        </w:rPr>
        <w:t>fixed period of time, which may not exceed the duration of their terms of office as director and may be revoked by the Board at any time and without reason. Appointments are renewable without limitation. The audit committee is currently composed of three members and members receive no compensation other than attendance fees. Their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duties on the audit committee may be taken into account in determining the allocation of such attendance fees.</w:t>
      </w:r>
    </w:p>
    <w:p>
      <w:pPr>
        <w:spacing w:after="0" w:line="57" w:lineRule="exact"/>
        <w:rPr>
          <w:sz w:val="20"/>
          <w:szCs w:val="20"/>
          <w:color w:val="auto"/>
        </w:rPr>
      </w:pPr>
    </w:p>
    <w:p>
      <w:pPr>
        <w:ind w:left="300" w:right="899" w:firstLine="441"/>
        <w:spacing w:after="0" w:line="237" w:lineRule="auto"/>
        <w:rPr>
          <w:sz w:val="20"/>
          <w:szCs w:val="20"/>
          <w:color w:val="auto"/>
        </w:rPr>
      </w:pPr>
      <w:r>
        <w:rPr>
          <w:rFonts w:ascii="Times New Roman" w:cs="Times New Roman" w:eastAsia="Times New Roman" w:hAnsi="Times New Roman"/>
          <w:sz w:val="18"/>
          <w:szCs w:val="18"/>
          <w:color w:val="auto"/>
        </w:rPr>
        <w:t>The current members of the audit committee are Troy Ignelzi, Corinna zur Bonsen-Thomas and Sylvie Grégoire. The current chairperson of the audit committee is Mr. Ignelzi.</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committee may invite any person, internal or external to us, to take part in its meetings and its work.</w:t>
      </w:r>
    </w:p>
    <w:p>
      <w:pPr>
        <w:spacing w:after="0" w:line="77"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Our Board has determined that each of the members of our audit committee is independent within the meaning of the applicable listing rules and the independence requirements contemplated by Rule 10A-3. Committee members</w:t>
      </w: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must be competent in financial or accounting matters and at least one member must be independent in accordance with the provisions of the Middlenext Code. Our Board has further determined that Mr. Ignelzi is an “audit committee financial expert” as defined by SEC rules and regulations and that Mr. Ignelzi qualifies as financially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sophisticated under the applicable exchange listing rules.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Conditions of Functioning</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audit committee meets when the chairperson of the audit committee, at least two members of the audit</w:t>
      </w:r>
    </w:p>
    <w:p>
      <w:pPr>
        <w:spacing w:after="0" w:line="2" w:lineRule="exact"/>
        <w:rPr>
          <w:sz w:val="20"/>
          <w:szCs w:val="20"/>
          <w:color w:val="auto"/>
        </w:rPr>
      </w:pPr>
    </w:p>
    <w:p>
      <w:pPr>
        <w:ind w:left="300" w:right="419"/>
        <w:spacing w:after="0" w:line="239" w:lineRule="auto"/>
        <w:rPr>
          <w:sz w:val="20"/>
          <w:szCs w:val="20"/>
          <w:color w:val="auto"/>
        </w:rPr>
      </w:pPr>
      <w:r>
        <w:rPr>
          <w:rFonts w:ascii="Times New Roman" w:cs="Times New Roman" w:eastAsia="Times New Roman" w:hAnsi="Times New Roman"/>
          <w:sz w:val="17"/>
          <w:szCs w:val="17"/>
          <w:color w:val="auto"/>
        </w:rPr>
        <w:t>committee, the chairperson of the Board or the Chief Executive Officer deems useful and at least twice per year, particularly before publication of the financial statements. The committee may be convened by any means 24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6654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1611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spacing w:after="0" w:line="236" w:lineRule="auto"/>
        <w:rPr>
          <w:sz w:val="20"/>
          <w:szCs w:val="20"/>
          <w:color w:val="auto"/>
        </w:rPr>
      </w:pPr>
      <w:r>
        <w:rPr>
          <w:rFonts w:ascii="Times New Roman" w:cs="Times New Roman" w:eastAsia="Times New Roman" w:hAnsi="Times New Roman"/>
          <w:sz w:val="17"/>
          <w:szCs w:val="17"/>
          <w:color w:val="auto"/>
        </w:rPr>
        <w:t>before the meeting by the chairperson of the audit committee or of the Board or any individual to whom one of them shall have delegated the necessary authority. The committee meets at the registered office or in any other place</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specified in the notice of the meeting. It may also meet by video conference or by any means of telecommunication as specified in the internal regulation of the Board.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 deliberate validly, at least half of the members of the committee must be present. At meetings, one member</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of the audit committee may be represented by another audit committee member and the audit committee’s recommendations are adopted by simple majority. Upon completion of each meeting, if the members deem it necessary, meeting minutes may be prepared. The chairperson of the audit committee regularly reports to the Board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committee’s work and immediately report any difficulty encountered.</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Mission and Responsibilities</w:t>
      </w:r>
    </w:p>
    <w:p>
      <w:pPr>
        <w:spacing w:after="0" w:line="92" w:lineRule="exact"/>
        <w:rPr>
          <w:sz w:val="20"/>
          <w:szCs w:val="20"/>
          <w:color w:val="auto"/>
        </w:rPr>
      </w:pPr>
    </w:p>
    <w:p>
      <w:pPr>
        <w:jc w:val="both"/>
        <w:ind w:left="300" w:right="339" w:firstLine="441"/>
        <w:spacing w:after="0" w:line="226" w:lineRule="auto"/>
        <w:rPr>
          <w:sz w:val="20"/>
          <w:szCs w:val="20"/>
          <w:color w:val="auto"/>
        </w:rPr>
      </w:pPr>
      <w:r>
        <w:rPr>
          <w:rFonts w:ascii="Times New Roman" w:cs="Times New Roman" w:eastAsia="Times New Roman" w:hAnsi="Times New Roman"/>
          <w:sz w:val="18"/>
          <w:szCs w:val="18"/>
          <w:color w:val="auto"/>
        </w:rPr>
        <w:t>The remuneration committee makes recommendations to the Board in relation to compensation for, executive directors and the operational and functional management, and with regard to compensation policy and internal profit sharing. In particular, the remuneration committee:</w:t>
      </w:r>
    </w:p>
    <w:p>
      <w:pPr>
        <w:spacing w:after="0" w:line="63" w:lineRule="exact"/>
        <w:rPr>
          <w:sz w:val="20"/>
          <w:szCs w:val="20"/>
          <w:color w:val="auto"/>
        </w:rPr>
      </w:pPr>
    </w:p>
    <w:p>
      <w:pPr>
        <w:ind w:left="1280" w:right="519" w:hanging="328"/>
        <w:spacing w:after="0" w:line="217"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recommendations and proposals to the Board concerning compensation, retirement and provident scheme, supplementary pension benefits, benefits in kind, various financial rights of our managers and executive officers, the allocation of share warrants (BSA), founder’s share warrants (BCE), free shares (AGA), share subscription or share purchase options, for the benefit of our employees, managers or consultants and, where applicable, its subsidiaries, in accordance with legal provisions;</w:t>
      </w:r>
    </w:p>
    <w:p>
      <w:pPr>
        <w:spacing w:after="0" w:line="65" w:lineRule="exact"/>
        <w:rPr>
          <w:rFonts w:ascii="Times New Roman" w:cs="Times New Roman" w:eastAsia="Times New Roman" w:hAnsi="Times New Roman"/>
          <w:sz w:val="18"/>
          <w:szCs w:val="18"/>
          <w:color w:val="auto"/>
        </w:rPr>
      </w:pPr>
    </w:p>
    <w:p>
      <w:pPr>
        <w:ind w:left="1280" w:right="359" w:hanging="328"/>
        <w:spacing w:after="0" w:line="237"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defines the methods for determining the variable portion of the compensation of corporate officers and monitors its application;</w:t>
      </w:r>
    </w:p>
    <w:p>
      <w:pPr>
        <w:spacing w:after="0" w:line="50" w:lineRule="exact"/>
        <w:rPr>
          <w:rFonts w:ascii="Times New Roman" w:cs="Times New Roman" w:eastAsia="Times New Roman" w:hAnsi="Times New Roman"/>
          <w:sz w:val="18"/>
          <w:szCs w:val="18"/>
          <w:color w:val="auto"/>
        </w:rPr>
      </w:pPr>
    </w:p>
    <w:p>
      <w:pPr>
        <w:ind w:left="1280" w:right="579" w:hanging="328"/>
        <w:spacing w:after="0" w:line="231"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proposes a general policy for awarding share warrants (BSA), founder’s share warrants (BCE), free shares (AGA) and options to subscribe or purchase shares, and determines the frequency thereof, depending on the categories of beneficiaries;</w:t>
      </w:r>
    </w:p>
    <w:p>
      <w:pPr>
        <w:spacing w:after="0" w:line="50" w:lineRule="exact"/>
        <w:rPr>
          <w:rFonts w:ascii="Times New Roman" w:cs="Times New Roman" w:eastAsia="Times New Roman" w:hAnsi="Times New Roman"/>
          <w:sz w:val="18"/>
          <w:szCs w:val="18"/>
          <w:color w:val="auto"/>
        </w:rPr>
      </w:pPr>
    </w:p>
    <w:p>
      <w:pPr>
        <w:ind w:left="1280" w:right="1019" w:hanging="328"/>
        <w:spacing w:after="0" w:line="250"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examines the system of for the allocation of directors’ fees among the members of the Board, particularly according to their participation in our committees; and</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expresses its opinion to senior management about the compensation of the principal senior executives.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Composition and Compensation</w:t>
      </w:r>
    </w:p>
    <w:p>
      <w:pPr>
        <w:spacing w:after="0" w:line="92" w:lineRule="exact"/>
        <w:rPr>
          <w:sz w:val="20"/>
          <w:szCs w:val="20"/>
          <w:color w:val="auto"/>
        </w:rPr>
      </w:pPr>
    </w:p>
    <w:p>
      <w:pPr>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The remuneration committee is currently composed of three members. The chairperson of the remuneration committee and the committee’s members are appointed by the Board from members of the Board. Members are appointed for a fixed period of time, which may not exceed, as applicable, the duration of their term of office as</w:t>
      </w:r>
    </w:p>
    <w:p>
      <w:pPr>
        <w:ind w:left="300"/>
        <w:spacing w:after="0"/>
        <w:rPr>
          <w:sz w:val="20"/>
          <w:szCs w:val="20"/>
          <w:color w:val="auto"/>
        </w:rPr>
      </w:pPr>
      <w:r>
        <w:rPr>
          <w:rFonts w:ascii="Times New Roman" w:cs="Times New Roman" w:eastAsia="Times New Roman" w:hAnsi="Times New Roman"/>
          <w:sz w:val="18"/>
          <w:szCs w:val="18"/>
          <w:color w:val="auto"/>
        </w:rPr>
        <w:t>director and may be revoked by the Board at any time and without reason. Their appointments shall be renewable</w:t>
      </w:r>
    </w:p>
    <w:p>
      <w:pPr>
        <w:sectPr>
          <w:pgSz w:w="11900" w:h="16870" w:orient="portrait"/>
          <w:cols w:equalWidth="0" w:num="1">
            <w:col w:w="9019"/>
          </w:cols>
          <w:pgMar w:left="1440" w:top="108" w:right="1440" w:bottom="0" w:gutter="0" w:footer="0" w:header="0"/>
        </w:sectPr>
      </w:pPr>
    </w:p>
    <w:bookmarkStart w:id="111" w:name="page112"/>
    <w:bookmarkEnd w:id="111"/>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3396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16115" cy="339661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The chairperson of the Board, if not a member of the remuneration committee, may be invited to participate in</w:t>
      </w:r>
    </w:p>
    <w:p>
      <w:pPr>
        <w:ind w:left="300" w:right="519"/>
        <w:spacing w:after="0" w:line="218" w:lineRule="auto"/>
        <w:rPr>
          <w:sz w:val="20"/>
          <w:szCs w:val="20"/>
          <w:color w:val="auto"/>
        </w:rPr>
      </w:pPr>
      <w:r>
        <w:rPr>
          <w:rFonts w:ascii="Times New Roman" w:cs="Times New Roman" w:eastAsia="Times New Roman" w:hAnsi="Times New Roman"/>
          <w:sz w:val="18"/>
          <w:szCs w:val="18"/>
          <w:color w:val="auto"/>
        </w:rPr>
        <w:t>the remuneration committee’s meetings. The remuneration committee shall invite him/her to present its proposals. He/she shall not have the right to vote and shall not be present during the deliberations relating to his/her own situation.</w:t>
      </w:r>
    </w:p>
    <w:p>
      <w:pPr>
        <w:spacing w:after="0" w:line="64" w:lineRule="exact"/>
        <w:rPr>
          <w:sz w:val="20"/>
          <w:szCs w:val="20"/>
          <w:color w:val="auto"/>
        </w:rPr>
      </w:pPr>
    </w:p>
    <w:p>
      <w:pPr>
        <w:ind w:left="300" w:right="399" w:firstLine="441"/>
        <w:spacing w:after="0" w:line="237" w:lineRule="auto"/>
        <w:rPr>
          <w:sz w:val="20"/>
          <w:szCs w:val="20"/>
          <w:color w:val="auto"/>
        </w:rPr>
      </w:pPr>
      <w:r>
        <w:rPr>
          <w:rFonts w:ascii="Times New Roman" w:cs="Times New Roman" w:eastAsia="Times New Roman" w:hAnsi="Times New Roman"/>
          <w:sz w:val="18"/>
          <w:szCs w:val="18"/>
          <w:color w:val="auto"/>
        </w:rPr>
        <w:t>The current members of the remuneration committee are June Lee, Camilla Soenderby, and Troy Ignelzi. The current chairperson of the remuneration committee is Dr. Lee.</w:t>
      </w:r>
    </w:p>
    <w:p>
      <w:pPr>
        <w:spacing w:after="0" w:line="50" w:lineRule="exact"/>
        <w:rPr>
          <w:sz w:val="20"/>
          <w:szCs w:val="20"/>
          <w:color w:val="auto"/>
        </w:rPr>
      </w:pPr>
    </w:p>
    <w:p>
      <w:pPr>
        <w:ind w:left="300" w:right="419" w:firstLine="441"/>
        <w:spacing w:after="0" w:line="250" w:lineRule="auto"/>
        <w:rPr>
          <w:sz w:val="20"/>
          <w:szCs w:val="20"/>
          <w:color w:val="auto"/>
        </w:rPr>
      </w:pPr>
      <w:r>
        <w:rPr>
          <w:rFonts w:ascii="Times New Roman" w:cs="Times New Roman" w:eastAsia="Times New Roman" w:hAnsi="Times New Roman"/>
          <w:sz w:val="18"/>
          <w:szCs w:val="18"/>
          <w:color w:val="auto"/>
        </w:rPr>
        <w:t>The remuneration committee may invite any person, internal or external to us, to take part in its meetings and its work.</w:t>
      </w:r>
    </w:p>
    <w:p>
      <w:pPr>
        <w:spacing w:after="0" w:line="41" w:lineRule="exact"/>
        <w:rPr>
          <w:sz w:val="20"/>
          <w:szCs w:val="20"/>
          <w:color w:val="auto"/>
        </w:rPr>
      </w:pPr>
    </w:p>
    <w:p>
      <w:pPr>
        <w:jc w:val="both"/>
        <w:ind w:left="300" w:right="439" w:firstLine="441"/>
        <w:spacing w:after="0" w:line="263" w:lineRule="auto"/>
        <w:rPr>
          <w:sz w:val="20"/>
          <w:szCs w:val="20"/>
          <w:color w:val="auto"/>
        </w:rPr>
      </w:pPr>
      <w:r>
        <w:rPr>
          <w:rFonts w:ascii="Times New Roman" w:cs="Times New Roman" w:eastAsia="Times New Roman" w:hAnsi="Times New Roman"/>
          <w:sz w:val="17"/>
          <w:szCs w:val="17"/>
          <w:color w:val="auto"/>
        </w:rPr>
        <w:t>Remuneration committee members shall receive no compensation other than attendance fees. Their duties on the remuneration committee may be taken into consideration in determining the allocation of such attendance fees.</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Conditions of Functioning</w:t>
      </w:r>
    </w:p>
    <w:p>
      <w:pPr>
        <w:spacing w:after="0" w:line="79"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remuneration committee meets when the chairperson of the remuneration committee, at least two members of the remuneration committee, the chairperson of the Board or the Chief Executive Officer deems useful</w:t>
      </w:r>
    </w:p>
    <w:p>
      <w:pPr>
        <w:jc w:val="both"/>
        <w:ind w:left="300" w:right="319"/>
        <w:spacing w:after="0" w:line="218" w:lineRule="auto"/>
        <w:rPr>
          <w:sz w:val="20"/>
          <w:szCs w:val="20"/>
          <w:color w:val="auto"/>
        </w:rPr>
      </w:pPr>
      <w:r>
        <w:rPr>
          <w:rFonts w:ascii="Times New Roman" w:cs="Times New Roman" w:eastAsia="Times New Roman" w:hAnsi="Times New Roman"/>
          <w:sz w:val="18"/>
          <w:szCs w:val="18"/>
          <w:color w:val="auto"/>
        </w:rPr>
        <w:t>and at least once a year. The remuneration committee may be convened by any means, 24 hours before the meeting, by the chairperson of the remuneration committee or of the Board, or any individual to whom one of them shall have delegated the authority necessary for the convocation.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0370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16115" cy="703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The committee meets at the registered office or in any other place specified in the notice of the meeting. It may also meet by video conference or by any means of telecommunication, as specified in the internal regulation of</w:t>
      </w:r>
    </w:p>
    <w:p>
      <w:pPr>
        <w:ind w:left="300"/>
        <w:spacing w:after="0"/>
        <w:rPr>
          <w:sz w:val="20"/>
          <w:szCs w:val="20"/>
          <w:color w:val="auto"/>
        </w:rPr>
      </w:pPr>
      <w:r>
        <w:rPr>
          <w:rFonts w:ascii="Times New Roman" w:cs="Times New Roman" w:eastAsia="Times New Roman" w:hAnsi="Times New Roman"/>
          <w:sz w:val="18"/>
          <w:szCs w:val="18"/>
          <w:color w:val="auto"/>
        </w:rPr>
        <w:t>the Board.</w:t>
      </w:r>
    </w:p>
    <w:p>
      <w:pPr>
        <w:spacing w:after="0" w:line="57" w:lineRule="exact"/>
        <w:rPr>
          <w:sz w:val="20"/>
          <w:szCs w:val="20"/>
          <w:color w:val="auto"/>
        </w:rPr>
      </w:pPr>
    </w:p>
    <w:p>
      <w:pPr>
        <w:ind w:left="300" w:right="699" w:firstLine="441"/>
        <w:spacing w:after="0" w:line="236" w:lineRule="auto"/>
        <w:rPr>
          <w:sz w:val="20"/>
          <w:szCs w:val="20"/>
          <w:color w:val="auto"/>
        </w:rPr>
      </w:pPr>
      <w:r>
        <w:rPr>
          <w:rFonts w:ascii="Times New Roman" w:cs="Times New Roman" w:eastAsia="Times New Roman" w:hAnsi="Times New Roman"/>
          <w:sz w:val="17"/>
          <w:szCs w:val="17"/>
          <w:color w:val="auto"/>
        </w:rPr>
        <w:t>To deliberate validly, at least half of the members of the committee must be present. A member of the remuneration committee may be represented by another remuneration committee member and the remuneration</w:t>
      </w:r>
    </w:p>
    <w:p>
      <w:pPr>
        <w:ind w:left="300" w:right="539"/>
        <w:spacing w:after="0" w:line="226" w:lineRule="auto"/>
        <w:rPr>
          <w:sz w:val="20"/>
          <w:szCs w:val="20"/>
          <w:color w:val="auto"/>
        </w:rPr>
      </w:pPr>
      <w:r>
        <w:rPr>
          <w:rFonts w:ascii="Times New Roman" w:cs="Times New Roman" w:eastAsia="Times New Roman" w:hAnsi="Times New Roman"/>
          <w:sz w:val="18"/>
          <w:szCs w:val="18"/>
          <w:color w:val="auto"/>
        </w:rPr>
        <w:t>committee’s recommendations are adopted by simple majority. Upon completion of each meeting, if the members deem it necessary, meeting minutes may be prepared.</w:t>
      </w:r>
    </w:p>
    <w:p>
      <w:pPr>
        <w:spacing w:after="0" w:line="49" w:lineRule="exact"/>
        <w:rPr>
          <w:sz w:val="20"/>
          <w:szCs w:val="20"/>
          <w:color w:val="auto"/>
        </w:rPr>
      </w:pPr>
    </w:p>
    <w:p>
      <w:pPr>
        <w:ind w:left="300" w:right="719" w:firstLine="441"/>
        <w:spacing w:after="0" w:line="250" w:lineRule="auto"/>
        <w:rPr>
          <w:sz w:val="20"/>
          <w:szCs w:val="20"/>
          <w:color w:val="auto"/>
        </w:rPr>
      </w:pPr>
      <w:r>
        <w:rPr>
          <w:rFonts w:ascii="Times New Roman" w:cs="Times New Roman" w:eastAsia="Times New Roman" w:hAnsi="Times New Roman"/>
          <w:sz w:val="18"/>
          <w:szCs w:val="18"/>
          <w:color w:val="auto"/>
        </w:rPr>
        <w:t>The remuneration committee chairperson reports regularly to the Board on the remuneration committee’s work and shall immediately report any difficulty encountered.</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Governance Committee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Mission and Responsibilities</w:t>
      </w:r>
    </w:p>
    <w:p>
      <w:pPr>
        <w:spacing w:after="0" w:line="119" w:lineRule="exact"/>
        <w:rPr>
          <w:sz w:val="20"/>
          <w:szCs w:val="20"/>
          <w:color w:val="auto"/>
        </w:rPr>
      </w:pPr>
    </w:p>
    <w:p>
      <w:pPr>
        <w:ind w:left="300" w:right="299" w:firstLine="441"/>
        <w:spacing w:after="0" w:line="222" w:lineRule="auto"/>
        <w:rPr>
          <w:sz w:val="20"/>
          <w:szCs w:val="20"/>
          <w:color w:val="auto"/>
        </w:rPr>
      </w:pPr>
      <w:r>
        <w:rPr>
          <w:rFonts w:ascii="Times New Roman" w:cs="Times New Roman" w:eastAsia="Times New Roman" w:hAnsi="Times New Roman"/>
          <w:sz w:val="18"/>
          <w:szCs w:val="18"/>
          <w:color w:val="auto"/>
        </w:rPr>
        <w:t>The nomination and governance committee makes recommendations to the Board in relation to the nomination of executive directors and governance matters. In particular, the nomination and governance committee:</w:t>
      </w:r>
    </w:p>
    <w:p>
      <w:pPr>
        <w:spacing w:after="0" w:line="2" w:lineRule="exact"/>
        <w:rPr>
          <w:sz w:val="20"/>
          <w:szCs w:val="20"/>
          <w:color w:val="auto"/>
        </w:rPr>
      </w:pPr>
    </w:p>
    <w:p>
      <w:pPr>
        <w:jc w:val="both"/>
        <w:ind w:left="940" w:right="699" w:hanging="324"/>
        <w:spacing w:after="0" w:line="229" w:lineRule="auto"/>
        <w:tabs>
          <w:tab w:leader="none" w:pos="9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recommendations and proposals to the Board concerning the appointment, in particular in the research of a balanced representation of men and women on the Board, of our managers and executive officers, in accordance with legal provisions;</w:t>
      </w:r>
    </w:p>
    <w:p>
      <w:pPr>
        <w:spacing w:after="0" w:line="1" w:lineRule="exact"/>
        <w:rPr>
          <w:rFonts w:ascii="Times New Roman" w:cs="Times New Roman" w:eastAsia="Times New Roman" w:hAnsi="Times New Roman"/>
          <w:sz w:val="18"/>
          <w:szCs w:val="18"/>
          <w:color w:val="auto"/>
        </w:rPr>
      </w:pPr>
    </w:p>
    <w:p>
      <w:pPr>
        <w:ind w:left="940" w:right="439" w:hanging="324"/>
        <w:spacing w:after="0" w:line="234" w:lineRule="auto"/>
        <w:tabs>
          <w:tab w:leader="none" w:pos="9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each independent director’s qualifications upon his or her nomination and during the exercise of his or her term of office, as applicable; and</w:t>
      </w:r>
    </w:p>
    <w:p>
      <w:pPr>
        <w:spacing w:after="0" w:line="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Board’s governance policies and practices.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Composition and Compensation</w:t>
      </w:r>
    </w:p>
    <w:p>
      <w:pPr>
        <w:spacing w:after="0" w:line="119" w:lineRule="exact"/>
        <w:rPr>
          <w:sz w:val="20"/>
          <w:szCs w:val="20"/>
          <w:color w:val="auto"/>
        </w:rPr>
      </w:pPr>
    </w:p>
    <w:p>
      <w:pPr>
        <w:jc w:val="both"/>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nomination and governance committee is currently composed of three members. The chairperson of the nomination and governance and the committee’s members are appointed by the Board from members of the Board.</w:t>
      </w:r>
    </w:p>
    <w:p>
      <w:pPr>
        <w:ind w:left="300" w:right="339"/>
        <w:spacing w:after="0" w:line="218" w:lineRule="auto"/>
        <w:rPr>
          <w:sz w:val="20"/>
          <w:szCs w:val="20"/>
          <w:color w:val="auto"/>
        </w:rPr>
      </w:pPr>
      <w:r>
        <w:rPr>
          <w:rFonts w:ascii="Times New Roman" w:cs="Times New Roman" w:eastAsia="Times New Roman" w:hAnsi="Times New Roman"/>
          <w:sz w:val="18"/>
          <w:szCs w:val="18"/>
          <w:color w:val="auto"/>
        </w:rPr>
        <w:t>Members are appointed for a fixed period of time, which may not exceed, as applicable, the duration of their term of office as director and may be revoked by the Board at any time and without reason. Their appointments shall be renewable without limitation.</w:t>
      </w:r>
    </w:p>
    <w:p>
      <w:pPr>
        <w:spacing w:after="0" w:line="64" w:lineRule="exact"/>
        <w:rPr>
          <w:sz w:val="20"/>
          <w:szCs w:val="20"/>
          <w:color w:val="auto"/>
        </w:rPr>
      </w:pPr>
    </w:p>
    <w:p>
      <w:pPr>
        <w:jc w:val="both"/>
        <w:ind w:left="300" w:right="459" w:firstLine="441"/>
        <w:spacing w:after="0" w:line="229" w:lineRule="auto"/>
        <w:rPr>
          <w:sz w:val="20"/>
          <w:szCs w:val="20"/>
          <w:color w:val="auto"/>
        </w:rPr>
      </w:pPr>
      <w:r>
        <w:rPr>
          <w:rFonts w:ascii="Times New Roman" w:cs="Times New Roman" w:eastAsia="Times New Roman" w:hAnsi="Times New Roman"/>
          <w:sz w:val="17"/>
          <w:szCs w:val="17"/>
          <w:color w:val="auto"/>
        </w:rPr>
        <w:t>The chairperson of the Board, if not a member of the nomination and governance committee, may be invited to participate in the nomination and governance committee’s meetings. The nomination and governance committee shall invite him/her to present its proposals. He/she shall not have the right to vote and shall not be present during</w:t>
      </w:r>
    </w:p>
    <w:p>
      <w:pPr>
        <w:ind w:left="300"/>
        <w:spacing w:after="0"/>
        <w:rPr>
          <w:sz w:val="20"/>
          <w:szCs w:val="20"/>
          <w:color w:val="auto"/>
        </w:rPr>
      </w:pPr>
      <w:r>
        <w:rPr>
          <w:rFonts w:ascii="Times New Roman" w:cs="Times New Roman" w:eastAsia="Times New Roman" w:hAnsi="Times New Roman"/>
          <w:sz w:val="18"/>
          <w:szCs w:val="18"/>
          <w:color w:val="auto"/>
        </w:rPr>
        <w:t>the deliberations relating to his/her own situation.</w:t>
      </w:r>
    </w:p>
    <w:p>
      <w:pPr>
        <w:spacing w:after="0" w:line="57" w:lineRule="exact"/>
        <w:rPr>
          <w:sz w:val="20"/>
          <w:szCs w:val="20"/>
          <w:color w:val="auto"/>
        </w:rPr>
      </w:pPr>
    </w:p>
    <w:p>
      <w:pPr>
        <w:ind w:left="300" w:right="479" w:firstLine="441"/>
        <w:spacing w:after="0" w:line="263" w:lineRule="auto"/>
        <w:rPr>
          <w:sz w:val="20"/>
          <w:szCs w:val="20"/>
          <w:color w:val="auto"/>
        </w:rPr>
      </w:pPr>
      <w:r>
        <w:rPr>
          <w:rFonts w:ascii="Times New Roman" w:cs="Times New Roman" w:eastAsia="Times New Roman" w:hAnsi="Times New Roman"/>
          <w:sz w:val="17"/>
          <w:szCs w:val="17"/>
          <w:color w:val="auto"/>
        </w:rPr>
        <w:t>The current members of the nomination and governance committee are Sylvie Gregoire, Camilla Soenderby, and Corinna Thomas. The current chairperson of the nomination and governance committee is Dr. Gregoire.</w:t>
      </w:r>
    </w:p>
    <w:p>
      <w:pPr>
        <w:spacing w:after="0" w:line="44" w:lineRule="exact"/>
        <w:rPr>
          <w:sz w:val="20"/>
          <w:szCs w:val="20"/>
          <w:color w:val="auto"/>
        </w:rPr>
      </w:pPr>
    </w:p>
    <w:p>
      <w:pPr>
        <w:ind w:left="300" w:right="379" w:firstLine="441"/>
        <w:spacing w:after="0" w:line="237" w:lineRule="auto"/>
        <w:rPr>
          <w:sz w:val="20"/>
          <w:szCs w:val="20"/>
          <w:color w:val="auto"/>
        </w:rPr>
      </w:pPr>
      <w:r>
        <w:rPr>
          <w:rFonts w:ascii="Times New Roman" w:cs="Times New Roman" w:eastAsia="Times New Roman" w:hAnsi="Times New Roman"/>
          <w:sz w:val="18"/>
          <w:szCs w:val="18"/>
          <w:color w:val="auto"/>
        </w:rPr>
        <w:t>The nomination and governance committee may invite any person, internal or external to us, to take part in its meetings and its work.</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Nomination and governance committee members shall receive no compensation other than attendance fees.</w:t>
      </w:r>
    </w:p>
    <w:p>
      <w:pPr>
        <w:spacing w:after="0" w:line="2" w:lineRule="exact"/>
        <w:rPr>
          <w:sz w:val="20"/>
          <w:szCs w:val="20"/>
          <w:color w:val="auto"/>
        </w:rPr>
      </w:pPr>
    </w:p>
    <w:p>
      <w:pPr>
        <w:ind w:left="300" w:right="819"/>
        <w:spacing w:after="0" w:line="226" w:lineRule="auto"/>
        <w:rPr>
          <w:sz w:val="20"/>
          <w:szCs w:val="20"/>
          <w:color w:val="auto"/>
        </w:rPr>
      </w:pPr>
      <w:r>
        <w:rPr>
          <w:rFonts w:ascii="Times New Roman" w:cs="Times New Roman" w:eastAsia="Times New Roman" w:hAnsi="Times New Roman"/>
          <w:sz w:val="18"/>
          <w:szCs w:val="18"/>
          <w:color w:val="auto"/>
        </w:rPr>
        <w:t>Their duties on the nomination and governance committee may be taken into consideration in determining the allocation of such attendance fees.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Conditions of Functioning</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nomination and governance committee meets when the chairperson of the nomination and governance</w:t>
      </w:r>
    </w:p>
    <w:p>
      <w:pPr>
        <w:spacing w:after="0" w:line="2" w:lineRule="exact"/>
        <w:rPr>
          <w:sz w:val="20"/>
          <w:szCs w:val="20"/>
          <w:color w:val="auto"/>
        </w:rPr>
      </w:pPr>
    </w:p>
    <w:p>
      <w:pPr>
        <w:jc w:val="both"/>
        <w:ind w:left="300" w:right="439"/>
        <w:spacing w:after="0" w:line="208" w:lineRule="auto"/>
        <w:rPr>
          <w:sz w:val="20"/>
          <w:szCs w:val="20"/>
          <w:color w:val="auto"/>
        </w:rPr>
      </w:pPr>
      <w:r>
        <w:rPr>
          <w:rFonts w:ascii="Times New Roman" w:cs="Times New Roman" w:eastAsia="Times New Roman" w:hAnsi="Times New Roman"/>
          <w:sz w:val="18"/>
          <w:szCs w:val="18"/>
          <w:color w:val="auto"/>
        </w:rPr>
        <w:t>committee, at least two members of the nomination and governance committee, the chairperson of the Board or the Chief Executive Officer deems useful and at least once a year. The nomination and governance committee may be convened by any means, 24 hours before the meeting, by the chairperson of the nomination and governance</w:t>
      </w:r>
    </w:p>
    <w:p>
      <w:pPr>
        <w:spacing w:after="0" w:line="2" w:lineRule="exact"/>
        <w:rPr>
          <w:sz w:val="20"/>
          <w:szCs w:val="20"/>
          <w:color w:val="auto"/>
        </w:rPr>
      </w:pPr>
    </w:p>
    <w:p>
      <w:pPr>
        <w:jc w:val="both"/>
        <w:ind w:left="300" w:right="459"/>
        <w:spacing w:after="0" w:line="226" w:lineRule="auto"/>
        <w:rPr>
          <w:sz w:val="20"/>
          <w:szCs w:val="20"/>
          <w:color w:val="auto"/>
        </w:rPr>
      </w:pPr>
      <w:r>
        <w:rPr>
          <w:rFonts w:ascii="Times New Roman" w:cs="Times New Roman" w:eastAsia="Times New Roman" w:hAnsi="Times New Roman"/>
          <w:sz w:val="18"/>
          <w:szCs w:val="18"/>
          <w:color w:val="auto"/>
        </w:rPr>
        <w:t>committee or of the Board, or any individual to whom one of them shall have delegated the authority necessary for the convocation.</w:t>
      </w:r>
    </w:p>
    <w:p>
      <w:pPr>
        <w:sectPr>
          <w:pgSz w:w="11900" w:h="16931" w:orient="portrait"/>
          <w:cols w:equalWidth="0" w:num="1">
            <w:col w:w="9019"/>
          </w:cols>
          <w:pgMar w:left="1440" w:top="108" w:right="1440" w:bottom="0" w:gutter="0" w:footer="0" w:header="0"/>
        </w:sectPr>
      </w:pPr>
    </w:p>
    <w:bookmarkStart w:id="112" w:name="page113"/>
    <w:bookmarkEnd w:id="112"/>
    <w:p>
      <w:pPr>
        <w:ind w:left="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025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16115" cy="2025015"/>
                    </a:xfrm>
                    <a:prstGeom prst="rect">
                      <a:avLst/>
                    </a:prstGeom>
                    <a:noFill/>
                  </pic:spPr>
                </pic:pic>
              </a:graphicData>
            </a:graphic>
          </wp:anchor>
        </w:drawing>
        <w:t>The committee meets at the registered office or in any other place specified in the notice of the meeting. It</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may also meet by video conference or by any means of telecommunication, as specified in the internal regulation of the Board.</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 deliberate validly, at least half of the members of the committee must be present. A member of the</w:t>
      </w:r>
    </w:p>
    <w:p>
      <w:pPr>
        <w:spacing w:after="0" w:line="2" w:lineRule="exact"/>
        <w:rPr>
          <w:sz w:val="20"/>
          <w:szCs w:val="20"/>
          <w:color w:val="auto"/>
        </w:rPr>
      </w:pPr>
    </w:p>
    <w:p>
      <w:pPr>
        <w:ind w:left="300" w:right="519"/>
        <w:spacing w:after="0" w:line="218" w:lineRule="auto"/>
        <w:rPr>
          <w:sz w:val="20"/>
          <w:szCs w:val="20"/>
          <w:color w:val="auto"/>
        </w:rPr>
      </w:pPr>
      <w:r>
        <w:rPr>
          <w:rFonts w:ascii="Times New Roman" w:cs="Times New Roman" w:eastAsia="Times New Roman" w:hAnsi="Times New Roman"/>
          <w:sz w:val="18"/>
          <w:szCs w:val="18"/>
          <w:color w:val="auto"/>
        </w:rPr>
        <w:t>nomination and governance committee may be represented by another nomination and governance committee member and the nomination and governance committee’s recommendations are adopted by simple majority. Upon completion of each meeting, if the members deem it necessary, meeting minutes may be prepared.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4086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16115" cy="840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8"/>
          <w:szCs w:val="18"/>
          <w:color w:val="auto"/>
        </w:rPr>
        <w:t>The nomination and governance committee chairperson reports regularly to the Board on the nomination and governance committee’s work and shall immediately report any difficulty encountered.</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Scientific and Clinical Committee</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Mission and Responsibilities</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scientific and clinical committee was created by a decision by the Board on September 27, 2018.</w:t>
      </w:r>
    </w:p>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role of the scientific and clinical committee is to:</w:t>
      </w:r>
    </w:p>
    <w:p>
      <w:pPr>
        <w:spacing w:after="0" w:line="77" w:lineRule="exact"/>
        <w:rPr>
          <w:sz w:val="20"/>
          <w:szCs w:val="20"/>
          <w:color w:val="auto"/>
        </w:rPr>
      </w:pPr>
    </w:p>
    <w:p>
      <w:pPr>
        <w:ind w:left="1280" w:hanging="328"/>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specific scientific questions submitted to it;</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for determining the general guidelines to be adopted in the scientific field; and</w:t>
      </w:r>
    </w:p>
    <w:p>
      <w:pPr>
        <w:spacing w:after="0" w:line="101" w:lineRule="exact"/>
        <w:rPr>
          <w:rFonts w:ascii="Times New Roman" w:cs="Times New Roman" w:eastAsia="Times New Roman" w:hAnsi="Times New Roman"/>
          <w:sz w:val="17"/>
          <w:szCs w:val="17"/>
          <w:color w:val="auto"/>
        </w:rPr>
      </w:pPr>
    </w:p>
    <w:p>
      <w:pPr>
        <w:ind w:left="1280" w:right="639" w:hanging="328"/>
        <w:spacing w:after="0" w:line="237" w:lineRule="auto"/>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for defining our priorities in the field of research and development and the means for achieving such objectives.</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committee meets at least once a year.</w:t>
      </w:r>
    </w:p>
    <w:p>
      <w:pPr>
        <w:spacing w:after="0" w:line="90" w:lineRule="exact"/>
        <w:rPr>
          <w:sz w:val="20"/>
          <w:szCs w:val="20"/>
          <w:color w:val="auto"/>
        </w:rPr>
      </w:pPr>
    </w:p>
    <w:p>
      <w:pPr>
        <w:ind w:left="300" w:right="419" w:firstLine="441"/>
        <w:spacing w:after="0" w:line="226" w:lineRule="auto"/>
        <w:rPr>
          <w:sz w:val="20"/>
          <w:szCs w:val="20"/>
          <w:color w:val="auto"/>
        </w:rPr>
      </w:pPr>
      <w:r>
        <w:rPr>
          <w:rFonts w:ascii="Times New Roman" w:cs="Times New Roman" w:eastAsia="Times New Roman" w:hAnsi="Times New Roman"/>
          <w:sz w:val="18"/>
          <w:szCs w:val="18"/>
          <w:color w:val="auto"/>
        </w:rPr>
        <w:t>It works in collaboration with the Chief Executive Officer, who may request its opinion on subjects related to its mission. At the request of the Board, the chairperson of the scientific and clinical committee reports on the committee’s work to the Board.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Composition</w:t>
      </w:r>
    </w:p>
    <w:p>
      <w:pPr>
        <w:spacing w:after="0" w:line="79" w:lineRule="exact"/>
        <w:rPr>
          <w:sz w:val="20"/>
          <w:szCs w:val="20"/>
          <w:color w:val="auto"/>
        </w:rPr>
      </w:pPr>
    </w:p>
    <w:p>
      <w:pPr>
        <w:ind w:left="300" w:right="679" w:firstLine="441"/>
        <w:spacing w:after="0" w:line="236" w:lineRule="auto"/>
        <w:rPr>
          <w:sz w:val="20"/>
          <w:szCs w:val="20"/>
          <w:color w:val="auto"/>
        </w:rPr>
      </w:pPr>
      <w:r>
        <w:rPr>
          <w:rFonts w:ascii="Times New Roman" w:cs="Times New Roman" w:eastAsia="Times New Roman" w:hAnsi="Times New Roman"/>
          <w:sz w:val="17"/>
          <w:szCs w:val="17"/>
          <w:color w:val="auto"/>
        </w:rPr>
        <w:t>The scientific and clinical committee is composed of at least four members appointed by the Board upon proposal of the Chief Executive Officer. The members of the scientific and clinical committee do not have to be</w:t>
      </w:r>
    </w:p>
    <w:p>
      <w:pPr>
        <w:ind w:left="30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57"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8"/>
          <w:szCs w:val="18"/>
          <w:color w:val="auto"/>
        </w:rPr>
        <w:t>The current members of the scientific and clinical committee are June Lee, Camilla Soenderby, and Dominik Höchli. Dr. Lee is the current chair of the scientific and clinical committee.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Committee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Mission and Responsibilities</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commercial committee was created by a decision by the Board on December 11, 2025.</w:t>
      </w:r>
    </w:p>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role of the commercial committee is to:</w:t>
      </w:r>
    </w:p>
    <w:p>
      <w:pPr>
        <w:spacing w:after="0" w:line="77" w:lineRule="exact"/>
        <w:rPr>
          <w:sz w:val="20"/>
          <w:szCs w:val="20"/>
          <w:color w:val="auto"/>
        </w:rPr>
      </w:pPr>
    </w:p>
    <w:p>
      <w:pPr>
        <w:ind w:left="1280" w:right="399" w:hanging="328"/>
        <w:spacing w:after="0" w:line="231" w:lineRule="auto"/>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strategic advice on the overall commercialization strategy for Abivax' lead product candidate, obefazimod, and potential future products, from pre-launch planning through launch and subsequent lifecycle phases;</w:t>
      </w:r>
    </w:p>
    <w:p>
      <w:pPr>
        <w:spacing w:after="0" w:line="50" w:lineRule="exact"/>
        <w:rPr>
          <w:rFonts w:ascii="Times New Roman" w:cs="Times New Roman" w:eastAsia="Times New Roman" w:hAnsi="Times New Roman"/>
          <w:sz w:val="18"/>
          <w:szCs w:val="18"/>
          <w:color w:val="auto"/>
        </w:rPr>
      </w:pPr>
    </w:p>
    <w:p>
      <w:pPr>
        <w:jc w:val="both"/>
        <w:ind w:left="1280" w:right="679" w:hanging="328"/>
        <w:spacing w:after="0" w:line="231" w:lineRule="auto"/>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advise on launch readiness and execution plans, including market positioning, market access, pricing and reimbursement, distribution and channel strategy, patient services, commercial infrastructure, and sales and marketing;</w:t>
      </w:r>
    </w:p>
    <w:p>
      <w:pPr>
        <w:spacing w:after="0" w:line="50" w:lineRule="exact"/>
        <w:rPr>
          <w:rFonts w:ascii="Times New Roman" w:cs="Times New Roman" w:eastAsia="Times New Roman" w:hAnsi="Times New Roman"/>
          <w:sz w:val="18"/>
          <w:szCs w:val="18"/>
          <w:color w:val="auto"/>
        </w:rPr>
      </w:pPr>
    </w:p>
    <w:p>
      <w:pPr>
        <w:ind w:left="1280" w:right="579" w:hanging="328"/>
        <w:spacing w:after="0" w:line="237" w:lineRule="auto"/>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capabilities of the commercial organization and the adequacy of the resources, systems, and infrastructure required to support successful product launch and commercialization;</w:t>
      </w:r>
    </w:p>
    <w:p>
      <w:pPr>
        <w:spacing w:after="0" w:line="63" w:lineRule="exact"/>
        <w:rPr>
          <w:rFonts w:ascii="Times New Roman" w:cs="Times New Roman" w:eastAsia="Times New Roman" w:hAnsi="Times New Roman"/>
          <w:sz w:val="18"/>
          <w:szCs w:val="18"/>
          <w:color w:val="auto"/>
        </w:rPr>
      </w:pPr>
    </w:p>
    <w:p>
      <w:pPr>
        <w:ind w:left="1280" w:right="679" w:hanging="328"/>
        <w:spacing w:after="0" w:line="226" w:lineRule="auto"/>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advise on commercialization strategy in coordination with medical affairs, regulatory, manufacturing/supply and ensure that the commercialization approach is consistent with the company’s legal, medical, regulatory, and compliance framework;</w:t>
      </w:r>
    </w:p>
    <w:p>
      <w:pPr>
        <w:spacing w:after="0" w:line="63" w:lineRule="exact"/>
        <w:rPr>
          <w:rFonts w:ascii="Times New Roman" w:cs="Times New Roman" w:eastAsia="Times New Roman" w:hAnsi="Times New Roman"/>
          <w:sz w:val="18"/>
          <w:szCs w:val="18"/>
          <w:color w:val="auto"/>
        </w:rPr>
      </w:pPr>
    </w:p>
    <w:p>
      <w:pPr>
        <w:ind w:left="1280" w:right="339" w:hanging="328"/>
        <w:spacing w:after="0" w:line="237" w:lineRule="auto"/>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principal assumptions, opportunities, and risks relating to commercialization, including the competitive landscape and market dynamics, and provide strategic guidance; and</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on strategic commercial matters and decisions requiring Board approval.</w:t>
      </w:r>
    </w:p>
    <w:p>
      <w:pPr>
        <w:spacing w:after="0" w:line="90" w:lineRule="exact"/>
        <w:rPr>
          <w:sz w:val="20"/>
          <w:szCs w:val="20"/>
          <w:color w:val="auto"/>
        </w:rPr>
      </w:pPr>
    </w:p>
    <w:p>
      <w:pPr>
        <w:ind w:left="300" w:right="479" w:firstLine="441"/>
        <w:spacing w:after="0" w:line="237" w:lineRule="auto"/>
        <w:rPr>
          <w:sz w:val="20"/>
          <w:szCs w:val="20"/>
          <w:color w:val="auto"/>
        </w:rPr>
      </w:pPr>
      <w:r>
        <w:rPr>
          <w:rFonts w:ascii="Times New Roman" w:cs="Times New Roman" w:eastAsia="Times New Roman" w:hAnsi="Times New Roman"/>
          <w:sz w:val="18"/>
          <w:szCs w:val="18"/>
          <w:color w:val="auto"/>
        </w:rPr>
        <w:t>The committee meets when the chairperson of the commercial committee, the Board, or the Chief Executive Officer deems useful and meets at least twice a year.</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It works in collaboration with the Chief Executive Officer, who may request its opinion on subjects related to</w:t>
      </w:r>
    </w:p>
    <w:p>
      <w:pPr>
        <w:spacing w:after="0" w:line="2" w:lineRule="exact"/>
        <w:rPr>
          <w:sz w:val="20"/>
          <w:szCs w:val="20"/>
          <w:color w:val="auto"/>
        </w:rPr>
      </w:pPr>
    </w:p>
    <w:p>
      <w:pPr>
        <w:ind w:left="300" w:right="599"/>
        <w:spacing w:after="0" w:line="218" w:lineRule="auto"/>
        <w:rPr>
          <w:sz w:val="20"/>
          <w:szCs w:val="20"/>
          <w:color w:val="auto"/>
        </w:rPr>
      </w:pPr>
      <w:r>
        <w:rPr>
          <w:rFonts w:ascii="Times New Roman" w:cs="Times New Roman" w:eastAsia="Times New Roman" w:hAnsi="Times New Roman"/>
          <w:sz w:val="18"/>
          <w:szCs w:val="18"/>
          <w:color w:val="auto"/>
        </w:rPr>
        <w:t>its mission. At the request of the Board, the chairperson of the commercial committee reports on the committee’s work to the Board. The committee is advisory only unless the Board has delegated a specific power, and management remains responsible for execution.</w:t>
      </w:r>
    </w:p>
    <w:p>
      <w:pPr>
        <w:sectPr>
          <w:pgSz w:w="11900" w:h="16838" w:orient="portrait"/>
          <w:cols w:equalWidth="0" w:num="1">
            <w:col w:w="9019"/>
          </w:cols>
          <w:pgMar w:left="1440" w:top="202" w:right="1440" w:bottom="29" w:gutter="0" w:footer="0" w:header="0"/>
        </w:sectPr>
      </w:pP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Composition</w:t>
      </w:r>
    </w:p>
    <w:p>
      <w:pPr>
        <w:sectPr>
          <w:pgSz w:w="11900" w:h="16838" w:orient="portrait"/>
          <w:cols w:equalWidth="0" w:num="1">
            <w:col w:w="9019"/>
          </w:cols>
          <w:pgMar w:left="1440" w:top="202" w:right="1440" w:bottom="29" w:gutter="0" w:footer="0" w:header="0"/>
          <w:type w:val="continuous"/>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53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16115" cy="653415"/>
                    </a:xfrm>
                    <a:prstGeom prst="rect">
                      <a:avLst/>
                    </a:prstGeom>
                    <a:noFill/>
                  </pic:spPr>
                </pic:pic>
              </a:graphicData>
            </a:graphic>
          </wp:anchor>
        </w:drawing>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715" w:right="1440"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339" w:firstLine="441"/>
        <w:spacing w:after="0" w:line="237" w:lineRule="auto"/>
        <w:rPr>
          <w:sz w:val="20"/>
          <w:szCs w:val="20"/>
          <w:color w:val="auto"/>
        </w:rPr>
      </w:pPr>
      <w:r>
        <w:rPr>
          <w:rFonts w:ascii="Times New Roman" w:cs="Times New Roman" w:eastAsia="Times New Roman" w:hAnsi="Times New Roman"/>
          <w:sz w:val="18"/>
          <w:szCs w:val="18"/>
          <w:color w:val="auto"/>
        </w:rPr>
        <w:t>The commercial committee is composed of at least two members appointed by the Board upon proposal of the Chief Executive Officer. The members of the commercial committee do not have to be members of the Board.</w:t>
      </w:r>
    </w:p>
    <w:p>
      <w:pPr>
        <w:spacing w:after="0" w:line="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current members of the commercial committee are Camilla Soenderby and Dominik Hochli. Dr.</w:t>
      </w:r>
    </w:p>
    <w:p>
      <w:pPr>
        <w:ind w:left="300"/>
        <w:spacing w:after="0"/>
        <w:rPr>
          <w:sz w:val="20"/>
          <w:szCs w:val="20"/>
          <w:color w:val="auto"/>
        </w:rPr>
      </w:pPr>
      <w:r>
        <w:rPr>
          <w:rFonts w:ascii="Times New Roman" w:cs="Times New Roman" w:eastAsia="Times New Roman" w:hAnsi="Times New Roman"/>
          <w:sz w:val="18"/>
          <w:szCs w:val="18"/>
          <w:color w:val="auto"/>
        </w:rPr>
        <w:t>Soenderby is the current chair of the commercial committee.</w:t>
      </w:r>
    </w:p>
    <w:p>
      <w:pPr>
        <w:spacing w:after="0" w:line="21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121" w:lineRule="exact"/>
        <w:rPr>
          <w:sz w:val="20"/>
          <w:szCs w:val="20"/>
          <w:color w:val="auto"/>
        </w:rPr>
      </w:pPr>
    </w:p>
    <w:p>
      <w:pPr>
        <w:ind w:left="300" w:right="679" w:firstLine="441"/>
        <w:spacing w:after="0" w:line="229" w:lineRule="auto"/>
        <w:rPr>
          <w:sz w:val="20"/>
          <w:szCs w:val="20"/>
          <w:color w:val="auto"/>
        </w:rPr>
      </w:pPr>
      <w:r>
        <w:rPr>
          <w:rFonts w:ascii="Times New Roman" w:cs="Times New Roman" w:eastAsia="Times New Roman" w:hAnsi="Times New Roman"/>
          <w:sz w:val="17"/>
          <w:szCs w:val="17"/>
          <w:color w:val="auto"/>
        </w:rPr>
        <w:t>As of December 31, 2025, we had 69 full-time employees, consisting of 49 within the research and development department 17 within the general administrative department and 3 within the sales and marketing department. As of December 31, 2025, we had 42 employees located in France and 27 in the United States. Our</w:t>
      </w:r>
    </w:p>
    <w:p>
      <w:pPr>
        <w:ind w:left="300" w:right="699"/>
        <w:spacing w:after="0" w:line="218" w:lineRule="auto"/>
        <w:rPr>
          <w:sz w:val="20"/>
          <w:szCs w:val="20"/>
          <w:color w:val="auto"/>
        </w:rPr>
      </w:pPr>
      <w:r>
        <w:rPr>
          <w:rFonts w:ascii="Times New Roman" w:cs="Times New Roman" w:eastAsia="Times New Roman" w:hAnsi="Times New Roman"/>
          <w:sz w:val="18"/>
          <w:szCs w:val="18"/>
          <w:color w:val="auto"/>
        </w:rPr>
        <w:t xml:space="preserve">employees based in France are subject to the national collective bargaining agreement for the pharmaceutical industry (the </w:t>
      </w:r>
      <w:r>
        <w:rPr>
          <w:rFonts w:ascii="Times New Roman" w:cs="Times New Roman" w:eastAsia="Times New Roman" w:hAnsi="Times New Roman"/>
          <w:sz w:val="18"/>
          <w:szCs w:val="18"/>
          <w:i w:val="1"/>
          <w:iCs w:val="1"/>
          <w:color w:val="auto"/>
        </w:rPr>
        <w:t>convention collective nationale de l’industrie pharmaceutique</w:t>
      </w:r>
      <w:r>
        <w:rPr>
          <w:rFonts w:ascii="Times New Roman" w:cs="Times New Roman" w:eastAsia="Times New Roman" w:hAnsi="Times New Roman"/>
          <w:sz w:val="18"/>
          <w:szCs w:val="18"/>
          <w:color w:val="auto"/>
        </w:rPr>
        <w:t>). We believe that we maintain good relations with our employees.</w:t>
      </w:r>
    </w:p>
    <w:p>
      <w:pPr>
        <w:spacing w:after="0" w:line="64" w:lineRule="exact"/>
        <w:rPr>
          <w:sz w:val="20"/>
          <w:szCs w:val="20"/>
          <w:color w:val="auto"/>
        </w:rPr>
      </w:pPr>
    </w:p>
    <w:p>
      <w:pPr>
        <w:ind w:left="300" w:right="439" w:firstLine="441"/>
        <w:spacing w:after="0" w:line="229" w:lineRule="auto"/>
        <w:rPr>
          <w:sz w:val="20"/>
          <w:szCs w:val="20"/>
          <w:color w:val="auto"/>
        </w:rPr>
      </w:pPr>
      <w:r>
        <w:rPr>
          <w:rFonts w:ascii="Times New Roman" w:cs="Times New Roman" w:eastAsia="Times New Roman" w:hAnsi="Times New Roman"/>
          <w:sz w:val="17"/>
          <w:szCs w:val="17"/>
          <w:color w:val="auto"/>
        </w:rPr>
        <w:t>We rely on skilled, experienced and innovative employees to conduct the operations of our company. We are committed to building an outstanding, committed team and we focus on a culture that values a focus on scientific innovation, inclusion, collaboration and equity. We focus on recruiting, retaining and developing employees from a</w:t>
      </w: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diverse range of backgrounds to conduct our research, development, clinical, commercial, marketing and market access activities. We recognize that recruiting, motivating and retaining talented employees is vital to our success. The principal purposes of our equity and cash incentive plans are to attract, retain and reward personnel through the</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granting of stock-based and cash-based compensation awards, in order to increase shareholder value and the success of our company by motivating such individuals to perform to the best of their abilities and achieve our objectives. We aim to create an equitable, inclusive and empowering environment in which our employees can grow and</w:t>
      </w:r>
    </w:p>
    <w:p>
      <w:pPr>
        <w:spacing w:after="0" w:line="2"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advance their careers, with the overall goal of developing, expanding and retaining our workforce to support our current pipeline and future business goals. Employees are encouraged to attend scientific, clinical and technological meetings and conferences and have access to broad resources they need to be successful.</w:t>
      </w:r>
    </w:p>
    <w:p>
      <w:pPr>
        <w:spacing w:after="0" w:line="38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121" w:lineRule="exact"/>
        <w:rPr>
          <w:sz w:val="20"/>
          <w:szCs w:val="20"/>
          <w:color w:val="auto"/>
        </w:rPr>
      </w:pPr>
    </w:p>
    <w:p>
      <w:pPr>
        <w:ind w:left="300" w:right="879" w:firstLine="441"/>
        <w:spacing w:after="0" w:line="237"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6.B— Compensation” and “Item 7.A—Major Shareholders and Related Party Transactions.”</w:t>
      </w:r>
    </w:p>
    <w:p>
      <w:pPr>
        <w:spacing w:after="0" w:line="154" w:lineRule="exact"/>
        <w:rPr>
          <w:sz w:val="20"/>
          <w:szCs w:val="20"/>
          <w:color w:val="auto"/>
        </w:rPr>
      </w:pPr>
    </w:p>
    <w:p>
      <w:pPr>
        <w:ind w:left="940" w:hanging="324"/>
        <w:spacing w:after="0"/>
        <w:tabs>
          <w:tab w:leader="none" w:pos="9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715" w:right="1440" w:bottom="9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248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16115" cy="624840"/>
                    </a:xfrm>
                    <a:prstGeom prst="rect">
                      <a:avLst/>
                    </a:prstGeom>
                    <a:noFill/>
                  </pic:spPr>
                </pic:pic>
              </a:graphicData>
            </a:graphic>
          </wp:anchor>
        </w:drawing>
      </w:r>
    </w:p>
    <w:p>
      <w:pPr>
        <w:sectPr>
          <w:pgSz w:w="11900" w:h="16838" w:orient="portrait"/>
          <w:cols w:equalWidth="0" w:num="1">
            <w:col w:w="9019"/>
          </w:cols>
          <w:pgMar w:left="1440" w:top="715" w:right="1440" w:bottom="933" w:gutter="0" w:footer="0" w:header="0"/>
          <w:type w:val="continuous"/>
        </w:sectPr>
      </w:pPr>
    </w:p>
    <w:bookmarkStart w:id="114" w:name="page115"/>
    <w:bookmarkEnd w:id="114"/>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437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16115" cy="843724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tab/>
        <w:t>Major Shareholders</w:t>
      </w:r>
    </w:p>
    <w:p>
      <w:pPr>
        <w:spacing w:after="0" w:line="121" w:lineRule="exact"/>
        <w:rPr>
          <w:sz w:val="20"/>
          <w:szCs w:val="20"/>
          <w:color w:val="auto"/>
        </w:rPr>
      </w:pPr>
    </w:p>
    <w:p>
      <w:pPr>
        <w:ind w:left="300" w:right="299" w:firstLine="441"/>
        <w:spacing w:after="0" w:line="237"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with respect to the beneficial ownership of our ordinary shares as of February 28, 2026 for:</w:t>
      </w:r>
    </w:p>
    <w:p>
      <w:pPr>
        <w:spacing w:after="0" w:line="64" w:lineRule="exact"/>
        <w:rPr>
          <w:sz w:val="20"/>
          <w:szCs w:val="20"/>
          <w:color w:val="auto"/>
        </w:rPr>
      </w:pPr>
    </w:p>
    <w:p>
      <w:pPr>
        <w:ind w:left="1280" w:hanging="328"/>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known by us, of more than 5% of our outstanding ordinary shares;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90"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February 28, 2026. The</w:t>
      </w:r>
    </w:p>
    <w:p>
      <w:pPr>
        <w:ind w:left="300" w:right="299"/>
        <w:spacing w:after="0" w:line="226" w:lineRule="auto"/>
        <w:rPr>
          <w:sz w:val="20"/>
          <w:szCs w:val="20"/>
          <w:color w:val="auto"/>
        </w:rPr>
      </w:pPr>
      <w:r>
        <w:rPr>
          <w:rFonts w:ascii="Times New Roman" w:cs="Times New Roman" w:eastAsia="Times New Roman" w:hAnsi="Times New Roman"/>
          <w:sz w:val="18"/>
          <w:szCs w:val="18"/>
          <w:color w:val="auto"/>
        </w:rPr>
        <w:t>percentage ownership information shown in the table below is based upon 79,185,160 ordinary shares outstanding as of February 28, 2026.</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Except as otherwise indicated, all of the shares reflected in the table are ordinary shares and all persons listed</w:t>
      </w:r>
    </w:p>
    <w:p>
      <w:pPr>
        <w:spacing w:after="0" w:line="2" w:lineRule="exact"/>
        <w:rPr>
          <w:sz w:val="20"/>
          <w:szCs w:val="20"/>
          <w:color w:val="auto"/>
        </w:rPr>
      </w:pP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below have sole voting and investment power with respect to the shares beneficially owned by them, subject to applicable community property laws. The information is not necessarily indicative of beneficial ownership for any other purpose.</w:t>
      </w:r>
    </w:p>
    <w:p>
      <w:pPr>
        <w:spacing w:after="0" w:line="64" w:lineRule="exact"/>
        <w:rPr>
          <w:sz w:val="20"/>
          <w:szCs w:val="20"/>
          <w:color w:val="auto"/>
        </w:rPr>
      </w:pPr>
    </w:p>
    <w:p>
      <w:pPr>
        <w:ind w:left="300" w:right="439" w:firstLine="441"/>
        <w:spacing w:after="0" w:line="216" w:lineRule="auto"/>
        <w:rPr>
          <w:sz w:val="20"/>
          <w:szCs w:val="20"/>
          <w:color w:val="auto"/>
        </w:rPr>
      </w:pPr>
      <w:r>
        <w:rPr>
          <w:rFonts w:ascii="Times New Roman" w:cs="Times New Roman" w:eastAsia="Times New Roman" w:hAnsi="Times New Roman"/>
          <w:sz w:val="18"/>
          <w:szCs w:val="18"/>
          <w:color w:val="auto"/>
        </w:rPr>
        <w:t>In computing the number of ordinary shares beneficially owned by a person and the percentage ownership of that person, we deemed outstanding ordinary shares subject to options and warrants held by that person that are immediately exercisable or exercisable within 60 days of February 28, 2026. We did not deem these shares</w:t>
      </w:r>
    </w:p>
    <w:p>
      <w:pPr>
        <w:spacing w:after="0" w:line="1" w:lineRule="exact"/>
        <w:rPr>
          <w:sz w:val="20"/>
          <w:szCs w:val="20"/>
          <w:color w:val="auto"/>
        </w:rPr>
      </w:pPr>
    </w:p>
    <w:p>
      <w:pPr>
        <w:ind w:left="300" w:right="839"/>
        <w:spacing w:after="0" w:line="226" w:lineRule="auto"/>
        <w:rPr>
          <w:sz w:val="20"/>
          <w:szCs w:val="20"/>
          <w:color w:val="auto"/>
        </w:rPr>
      </w:pPr>
      <w:r>
        <w:rPr>
          <w:rFonts w:ascii="Times New Roman" w:cs="Times New Roman" w:eastAsia="Times New Roman" w:hAnsi="Times New Roman"/>
          <w:sz w:val="18"/>
          <w:szCs w:val="18"/>
          <w:color w:val="auto"/>
        </w:rPr>
        <w:t>outstanding, however, for the purpose of computing the percentage ownership of any other person. Beneficial ownership representing less than 1% is denoted with an asterisk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9964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1611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619" w:firstLine="441"/>
        <w:spacing w:after="0" w:line="236" w:lineRule="auto"/>
        <w:rPr>
          <w:sz w:val="20"/>
          <w:szCs w:val="20"/>
          <w:color w:val="auto"/>
        </w:rPr>
      </w:pPr>
      <w:r>
        <w:rPr>
          <w:rFonts w:ascii="Times New Roman" w:cs="Times New Roman" w:eastAsia="Times New Roman" w:hAnsi="Times New Roman"/>
          <w:sz w:val="17"/>
          <w:szCs w:val="17"/>
          <w:color w:val="auto"/>
        </w:rPr>
        <w:t>The information in the table below is based on information known to us or ascertained by us from public filings made by the shareholders (which may be in the form of ADSs). Except as otherwise indicated in the table</w:t>
      </w:r>
    </w:p>
    <w:p>
      <w:pPr>
        <w:ind w:left="300" w:right="699"/>
        <w:spacing w:after="0" w:line="226" w:lineRule="auto"/>
        <w:rPr>
          <w:sz w:val="20"/>
          <w:szCs w:val="20"/>
          <w:color w:val="auto"/>
        </w:rPr>
      </w:pPr>
      <w:r>
        <w:rPr>
          <w:rFonts w:ascii="Times New Roman" w:cs="Times New Roman" w:eastAsia="Times New Roman" w:hAnsi="Times New Roman"/>
          <w:sz w:val="18"/>
          <w:szCs w:val="18"/>
          <w:color w:val="auto"/>
        </w:rPr>
        <w:t>below, addresses of the directors, executive officers and named beneficial owners are in care of Abivax SA, 7-11 boulevard Haussmann, 75009 Paris, France. Our major shareholders do not have any special voting rights.</w:t>
      </w:r>
    </w:p>
    <w:p>
      <w:pPr>
        <w:sectPr>
          <w:pgSz w:w="11900" w:h="16838" w:orient="portrait"/>
          <w:cols w:equalWidth="0" w:num="1">
            <w:col w:w="9019"/>
          </w:cols>
          <w:pgMar w:left="1440" w:top="414" w:right="1440" w:bottom="663" w:gutter="0" w:footer="0" w:header="0"/>
        </w:sectPr>
      </w:pPr>
    </w:p>
    <w:bookmarkStart w:id="115" w:name="page116"/>
    <w:bookmarkEnd w:id="115"/>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0656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16115" cy="706564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b w:val="1"/>
          <w:bCs w:val="1"/>
          <w:color w:val="auto"/>
        </w:rPr>
        <w:t>5% Shareholders: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TCG Crossover(1) </w:t>
      </w:r>
      <w:r>
        <w:rPr>
          <w:rFonts w:ascii="Times New Roman" w:cs="Times New Roman" w:eastAsia="Times New Roman" w:hAnsi="Times New Roman"/>
          <w:sz w:val="17"/>
          <w:szCs w:val="17"/>
          <w:color w:val="B4B4B4"/>
        </w:rPr>
        <w:t>.....................................................................</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12"/>
          <w:szCs w:val="12"/>
          <w:color w:val="auto"/>
        </w:rPr>
        <w:t>Invus(2)</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b w:val="1"/>
          <w:bCs w:val="1"/>
          <w:color w:val="auto"/>
        </w:rPr>
        <w:t>BeneficialOwner</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Darwin(3) </w:t>
      </w:r>
      <w:r>
        <w:rPr>
          <w:rFonts w:ascii="Times New Roman" w:cs="Times New Roman" w:eastAsia="Times New Roman" w:hAnsi="Times New Roman"/>
          <w:sz w:val="17"/>
          <w:szCs w:val="17"/>
          <w:color w:val="B4B4B4"/>
        </w:rPr>
        <w:t>..................................................................................</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Marc de Garidel(4)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Didier Blondel(5)</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Fabio Cataldi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Sylvie Grégoire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June Lee(6)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Troy Ignelzi(7)</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Corinna zur Bonsen-Thomas(8)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Camilla Soenderby(9)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Dominik Höchli </w:t>
      </w:r>
      <w:r>
        <w:rPr>
          <w:rFonts w:ascii="Times New Roman" w:cs="Times New Roman" w:eastAsia="Times New Roman" w:hAnsi="Times New Roman"/>
          <w:sz w:val="17"/>
          <w:szCs w:val="17"/>
          <w:color w:val="B4B4B4"/>
        </w:rPr>
        <w:t>.........................................................................</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All directors and officers as a group (9 persons) </w:t>
      </w:r>
      <w:r>
        <w:rPr>
          <w:rFonts w:ascii="Times New Roman" w:cs="Times New Roman" w:eastAsia="Times New Roman" w:hAnsi="Times New Roman"/>
          <w:sz w:val="17"/>
          <w:szCs w:val="17"/>
          <w:color w:val="B4B4B4"/>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13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7.92</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6,456,596</w:t>
            </w:r>
          </w:p>
        </w:tc>
        <w:tc>
          <w:tcPr>
            <w:tcW w:w="7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8.14</w:t>
            </w:r>
          </w:p>
        </w:tc>
        <w:tc>
          <w:tcPr>
            <w:tcW w:w="560" w:type="dxa"/>
            <w:vAlign w:val="bottom"/>
          </w:tcPr>
          <w:p>
            <w:pPr>
              <w:jc w:val="right"/>
              <w:ind w:right="241"/>
              <w:spacing w:after="0" w:line="12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040" w:type="dxa"/>
            <w:vAlign w:val="bottom"/>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Shares</w:t>
            </w:r>
          </w:p>
        </w:tc>
        <w:tc>
          <w:tcPr>
            <w:tcW w:w="1300" w:type="dxa"/>
            <w:vAlign w:val="bottom"/>
            <w:gridSpan w:val="2"/>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Shares Benefic</w:t>
            </w:r>
          </w:p>
        </w:tc>
        <w:tc>
          <w:tcPr>
            <w:tcW w:w="1120" w:type="dxa"/>
            <w:vAlign w:val="bottom"/>
            <w:gridSpan w:val="2"/>
          </w:tcPr>
          <w:p>
            <w:pPr>
              <w:ind w:left="80"/>
              <w:spacing w:after="0" w:line="59" w:lineRule="exact"/>
              <w:rPr>
                <w:sz w:val="20"/>
                <w:szCs w:val="20"/>
                <w:color w:val="auto"/>
              </w:rPr>
            </w:pPr>
            <w:r>
              <w:rPr>
                <w:rFonts w:ascii="Times New Roman" w:cs="Times New Roman" w:eastAsia="Times New Roman" w:hAnsi="Times New Roman"/>
                <w:sz w:val="6"/>
                <w:szCs w:val="6"/>
                <w:b w:val="1"/>
                <w:bCs w:val="1"/>
                <w:color w:val="auto"/>
              </w:rPr>
              <w:t>Percentage of</w:t>
            </w:r>
          </w:p>
        </w:tc>
        <w:tc>
          <w:tcPr>
            <w:tcW w:w="0" w:type="dxa"/>
            <w:vAlign w:val="bottom"/>
          </w:tcPr>
          <w:p>
            <w:pPr>
              <w:spacing w:after="0"/>
              <w:rPr>
                <w:sz w:val="1"/>
                <w:szCs w:val="1"/>
                <w:color w:val="auto"/>
              </w:rPr>
            </w:pPr>
          </w:p>
        </w:tc>
      </w:tr>
      <w:tr>
        <w:trPr>
          <w:trHeight w:val="198"/>
        </w:trPr>
        <w:tc>
          <w:tcPr>
            <w:tcW w:w="10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80"/>
              </w:rPr>
              <w:t>6,765,569</w:t>
            </w:r>
            <w:r>
              <w:rPr>
                <w:rFonts w:ascii="Times New Roman" w:cs="Times New Roman" w:eastAsia="Times New Roman" w:hAnsi="Times New Roman"/>
                <w:sz w:val="13"/>
                <w:szCs w:val="13"/>
                <w:b w:val="1"/>
                <w:bCs w:val="1"/>
                <w:color w:val="auto"/>
                <w:w w:val="80"/>
              </w:rPr>
              <w:t>Beneficially</w:t>
            </w:r>
          </w:p>
        </w:tc>
        <w:tc>
          <w:tcPr>
            <w:tcW w:w="1300" w:type="dxa"/>
            <w:vAlign w:val="bottom"/>
            <w:gridSpan w:val="2"/>
          </w:tcPr>
          <w:p>
            <w:pPr>
              <w:jc w:val="right"/>
              <w:ind w:right="241"/>
              <w:spacing w:after="0" w:line="198" w:lineRule="exact"/>
              <w:rPr>
                <w:sz w:val="20"/>
                <w:szCs w:val="20"/>
                <w:color w:val="auto"/>
              </w:rPr>
            </w:pPr>
            <w:r>
              <w:rPr>
                <w:rFonts w:ascii="Times New Roman" w:cs="Times New Roman" w:eastAsia="Times New Roman" w:hAnsi="Times New Roman"/>
                <w:sz w:val="18"/>
                <w:szCs w:val="18"/>
                <w:color w:val="auto"/>
              </w:rPr>
              <w:t>8.54</w:t>
            </w:r>
            <w:r>
              <w:rPr>
                <w:rFonts w:ascii="Times New Roman" w:cs="Times New Roman" w:eastAsia="Times New Roman" w:hAnsi="Times New Roman"/>
                <w:sz w:val="18"/>
                <w:szCs w:val="18"/>
                <w:b w:val="1"/>
                <w:bCs w:val="1"/>
                <w:color w:val="auto"/>
              </w:rPr>
              <w:t>ially</w:t>
            </w: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91"/>
              </w:rPr>
              <w:t>8.30</w:t>
            </w:r>
            <w:r>
              <w:rPr>
                <w:rFonts w:ascii="Times New Roman" w:cs="Times New Roman" w:eastAsia="Times New Roman" w:hAnsi="Times New Roman"/>
                <w:sz w:val="18"/>
                <w:szCs w:val="18"/>
                <w:b w:val="1"/>
                <w:bCs w:val="1"/>
                <w:color w:val="auto"/>
                <w:w w:val="91"/>
              </w:rPr>
              <w:t>Voting</w:t>
            </w: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Owned</w:t>
            </w: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gridSpan w:val="2"/>
          </w:tcPr>
          <w:p>
            <w:pPr>
              <w:jc w:val="right"/>
              <w:ind w:right="130"/>
              <w:spacing w:after="0" w:line="162" w:lineRule="exact"/>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4,260,015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5.37</w:t>
            </w:r>
          </w:p>
        </w:tc>
        <w:tc>
          <w:tcPr>
            <w:tcW w:w="56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5.22</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3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929,540</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56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121,578</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15,977</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15,977</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15,976</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15,977</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1,115,025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1.44%</w:t>
            </w:r>
          </w:p>
        </w:tc>
        <w:tc>
          <w:tcPr>
            <w:tcW w:w="5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160"/>
            <w:col w:w="4019"/>
          </w:cols>
          <w:pgMar w:left="1440" w:top="148" w:right="1440" w:bottom="0" w:gutter="0" w:footer="0" w:header="0"/>
        </w:sectPr>
      </w:pPr>
    </w:p>
    <w:p>
      <w:pPr>
        <w:spacing w:after="0" w:line="159" w:lineRule="exact"/>
        <w:rPr>
          <w:sz w:val="20"/>
          <w:szCs w:val="20"/>
          <w:color w:val="auto"/>
        </w:rPr>
      </w:pPr>
    </w:p>
    <w:p>
      <w:pPr>
        <w:ind w:left="740" w:hanging="338"/>
        <w:spacing w:after="0"/>
        <w:tabs>
          <w:tab w:leader="none" w:pos="7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740" w:hanging="338"/>
        <w:spacing w:after="0" w:line="221" w:lineRule="auto"/>
        <w:tabs>
          <w:tab w:leader="none" w:pos="7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double voting right is attached to each registered ordinary share (except treasury share) that is held in the name of the same shareholder</w:t>
      </w:r>
    </w:p>
    <w:p>
      <w:pPr>
        <w:ind w:left="740"/>
        <w:spacing w:after="0" w:line="221" w:lineRule="auto"/>
        <w:rPr>
          <w:sz w:val="20"/>
          <w:szCs w:val="20"/>
          <w:color w:val="auto"/>
        </w:rPr>
      </w:pPr>
      <w:r>
        <w:rPr>
          <w:rFonts w:ascii="Times New Roman" w:cs="Times New Roman" w:eastAsia="Times New Roman" w:hAnsi="Times New Roman"/>
          <w:sz w:val="14"/>
          <w:szCs w:val="14"/>
          <w:color w:val="auto"/>
        </w:rPr>
        <w:t>for at least two years.</w:t>
      </w:r>
    </w:p>
    <w:p>
      <w:pPr>
        <w:spacing w:after="0" w:line="1" w:lineRule="exact"/>
        <w:rPr>
          <w:sz w:val="20"/>
          <w:szCs w:val="20"/>
          <w:color w:val="auto"/>
        </w:rPr>
      </w:pPr>
    </w:p>
    <w:p>
      <w:pPr>
        <w:ind w:left="740" w:right="319" w:hanging="338"/>
        <w:spacing w:after="0" w:line="239"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 this footnote is based on a Schedule 13G filed with the SEC on November 14, 2025 by TCG Crossover GPI I, LLC ("TCG Crossover GP I"), TCG Crossover Fund I, L.P. ("TCG Crossover I"), TCG Crossover GPI II ("TCG Crossover GP II"), LLC, TCG Crossover GPI II, L.P. ("TCG Crossover II") and Chen Yu. Consists of 6,456,596 ordinary shares held by TCG Crossover I and 655,000 ordinary shares held by TCG Crossover II.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principal business address of each of TCG Crossover GP I, TCG Crossover I, TCG Crossover GP II, TCG Crossover II and Dr. Yu is 245 Lytton Ave., Suite 350, Palo Alto, CA 94301 .</w:t>
      </w:r>
    </w:p>
    <w:p>
      <w:pPr>
        <w:spacing w:after="0" w:line="3" w:lineRule="exact"/>
        <w:rPr>
          <w:rFonts w:ascii="Times New Roman" w:cs="Times New Roman" w:eastAsia="Times New Roman" w:hAnsi="Times New Roman"/>
          <w:sz w:val="14"/>
          <w:szCs w:val="14"/>
          <w:color w:val="auto"/>
        </w:rPr>
      </w:pPr>
    </w:p>
    <w:p>
      <w:pPr>
        <w:ind w:left="740" w:right="399" w:hanging="338"/>
        <w:spacing w:after="0" w:line="241"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3,922,995 ordinary shares directly held by Invus Public Equities, L.P. (“Invus PE”). Invus Public Equities Advisors, LLC (“Invus PE Advisors”), as the general partner of Invus PE, controls Invus PE and accordingly, may be deemed to beneficially own the ordinary shares held by Invus PE. Invus Global Management, LLC (“Global Management”), as the managing member of Invus PE Advisors, controls Invus PE Advisors and, accordingly, may be deemed to beneficially own the ordinary shares that Invus PE Advisors may be deemed to beneficially own. Sire, L.L.C., (“Siren”), as the managing member of Global Management, controls Global Management and, accordingly, may be deemed to beneficially own the ordinary shares that Global Management may be deemed to beneficially own. Mr. Raymond Debbane, as the managing member of Siren, controls Siren and, accordingly, may be deemed to beneficially own the ordinary shares that Siren may be deemed to beneficially own. The address of each of the entities and the individual referenced in this footnote is 750 Lexington Avenue, 30th Floor, New York, NY 10022.</w:t>
      </w:r>
    </w:p>
    <w:p>
      <w:pPr>
        <w:spacing w:after="0" w:line="3" w:lineRule="exact"/>
        <w:rPr>
          <w:rFonts w:ascii="Times New Roman" w:cs="Times New Roman" w:eastAsia="Times New Roman" w:hAnsi="Times New Roman"/>
          <w:sz w:val="14"/>
          <w:szCs w:val="14"/>
          <w:color w:val="auto"/>
        </w:rPr>
      </w:pPr>
    </w:p>
    <w:p>
      <w:pPr>
        <w:ind w:left="740" w:right="479" w:hanging="338"/>
        <w:spacing w:after="0" w:line="234"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457,325 ordinary shares resulting from the holding of “right of use over ADR” contracts settled in cash, exercisable until January 26, 2027, at a price of €63.85, and (ii) 2,036,688 ordinary shares resulting from the holding of cash-settled “right of use over ADR” contracts, exercisable until August 26, 2027, at a price of €66.57.</w:t>
      </w:r>
    </w:p>
    <w:p>
      <w:pPr>
        <w:spacing w:after="0" w:line="1" w:lineRule="exact"/>
        <w:rPr>
          <w:rFonts w:ascii="Times New Roman" w:cs="Times New Roman" w:eastAsia="Times New Roman" w:hAnsi="Times New Roman"/>
          <w:sz w:val="14"/>
          <w:szCs w:val="14"/>
          <w:color w:val="auto"/>
        </w:rPr>
      </w:pPr>
    </w:p>
    <w:p>
      <w:pPr>
        <w:ind w:left="740" w:right="479" w:hanging="338"/>
        <w:spacing w:after="0" w:line="241"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894,084 ordinary shares held as of February 28, 2026 and (b) 35,456 free shares that vest within 60 days of February 28, 2026.</w:t>
      </w:r>
    </w:p>
    <w:p>
      <w:pPr>
        <w:ind w:left="740" w:right="519" w:hanging="338"/>
        <w:spacing w:after="0" w:line="221"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113,156 ordinary shares held as of February 28, 2026 and (b) up to 33,687 ordinary shares issuable upon the exercise of warrants that are immediately exercisable or exercisable within 60 days of February 28, 2026.</w:t>
      </w:r>
    </w:p>
    <w:p>
      <w:pPr>
        <w:ind w:left="740" w:right="419" w:hanging="338"/>
        <w:spacing w:after="0" w:line="211"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15,977 ordinary shares issuable upon the exercise of warrants that are immediately exercisable or exercisable within 60 days of February 28, 2026.</w:t>
      </w:r>
    </w:p>
    <w:p>
      <w:pPr>
        <w:ind w:left="740" w:right="419" w:hanging="338"/>
        <w:spacing w:after="0" w:line="239" w:lineRule="auto"/>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15,977 ordinary shares issuable upon the exercise of warrants that are immediately exercisable or exercisable within 60 days of February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3680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16115" cy="336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right="659" w:hanging="338"/>
        <w:spacing w:after="0" w:line="223" w:lineRule="auto"/>
        <w:tabs>
          <w:tab w:leader="none" w:pos="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4,863 ordinary shares held as of February 28, 2026 and (b) up to 11,113 ordinary shares issuable upon the exercise of warrants that are immediately exercisable or exercisable within 60 days of February 28, 2026.</w:t>
      </w:r>
    </w:p>
    <w:p>
      <w:pPr>
        <w:ind w:left="740" w:right="979" w:hanging="338"/>
        <w:spacing w:after="0" w:line="239" w:lineRule="auto"/>
        <w:tabs>
          <w:tab w:leader="none" w:pos="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15,977 ordinary shares issuable upon the exercise of options and warrants that are immediately exercisable or exercisable within 60 days of February 28, 2026.</w:t>
      </w:r>
    </w:p>
    <w:p>
      <w:pPr>
        <w:spacing w:after="0" w:line="73"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As of February 28, 2026, to the best of our knowledge, we estimate that 17,527,480 of our outstanding ordinary shares (including ordinary shares in the form of ADSs) were held by 4 shareholders of record in the United States. The actual number of holders is greater than the number of record holders, and includes beneficial owners</w:t>
      </w:r>
    </w:p>
    <w:p>
      <w:pPr>
        <w:ind w:left="300" w:right="539"/>
        <w:spacing w:after="0" w:line="226" w:lineRule="auto"/>
        <w:rPr>
          <w:sz w:val="20"/>
          <w:szCs w:val="20"/>
          <w:color w:val="auto"/>
        </w:rPr>
      </w:pPr>
      <w:r>
        <w:rPr>
          <w:rFonts w:ascii="Times New Roman" w:cs="Times New Roman" w:eastAsia="Times New Roman" w:hAnsi="Times New Roman"/>
          <w:sz w:val="18"/>
          <w:szCs w:val="18"/>
          <w:color w:val="auto"/>
        </w:rPr>
        <w:t>whose ordinary shares or ADSs are held in street name by brokers and other nominees. This number of holders of record also does not include holders whose shares may be held in trust by other entities.</w:t>
      </w:r>
    </w:p>
    <w:p>
      <w:pPr>
        <w:spacing w:after="0" w:line="369"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Since January 1, 2025, we have engaged in the following transactions with our directors, executive officers</w:t>
      </w:r>
    </w:p>
    <w:p>
      <w:pPr>
        <w:spacing w:after="0" w:line="2" w:lineRule="exact"/>
        <w:rPr>
          <w:sz w:val="20"/>
          <w:szCs w:val="20"/>
          <w:color w:val="auto"/>
        </w:rPr>
      </w:pPr>
    </w:p>
    <w:p>
      <w:pPr>
        <w:ind w:left="300" w:right="679"/>
        <w:spacing w:after="0" w:line="226" w:lineRule="auto"/>
        <w:rPr>
          <w:sz w:val="20"/>
          <w:szCs w:val="20"/>
          <w:color w:val="auto"/>
        </w:rPr>
      </w:pPr>
      <w:r>
        <w:rPr>
          <w:rFonts w:ascii="Times New Roman" w:cs="Times New Roman" w:eastAsia="Times New Roman" w:hAnsi="Times New Roman"/>
          <w:sz w:val="18"/>
          <w:szCs w:val="18"/>
          <w:color w:val="auto"/>
        </w:rPr>
        <w:t>and holders of more than 5% of our outstanding voting securities and their affiliates, which we refer to as to our related parties.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Arrangements with our Directors and Executive Officers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Compensation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parties to employment agreements and other compensation arrangements, including equity</w:t>
      </w:r>
    </w:p>
    <w:p>
      <w:pPr>
        <w:sectPr>
          <w:pgSz w:w="11900" w:h="16838" w:orient="portrait"/>
          <w:cols w:equalWidth="0" w:num="1">
            <w:col w:w="9019"/>
          </w:cols>
          <w:pgMar w:left="1440" w:top="148" w:right="1440" w:bottom="0" w:gutter="0" w:footer="0" w:header="0"/>
          <w:type w:val="continuous"/>
        </w:sectPr>
      </w:pPr>
    </w:p>
    <w:bookmarkStart w:id="116" w:name="page117"/>
    <w:bookmarkEnd w:id="116"/>
    <w:p>
      <w:pPr>
        <w:ind w:left="300" w:right="439"/>
        <w:spacing w:after="0" w:line="188" w:lineRule="auto"/>
        <w:rPr>
          <w:sz w:val="20"/>
          <w:szCs w:val="20"/>
          <w:color w:val="auto"/>
        </w:rPr>
      </w:pPr>
      <w:r>
        <w:rPr>
          <w:rFonts w:ascii="Times New Roman" w:cs="Times New Roman" w:eastAsia="Times New Roman" w:hAnsi="Times New Roman"/>
          <w:sz w:val="12"/>
          <w:szCs w:val="12"/>
          <w:color w:val="auto"/>
        </w:rPr>
        <w:t xml:space="preserve">compensation arrangements, with </w:t>
      </w:r>
      <w:r>
        <w:rPr>
          <w:rFonts w:ascii="Times New Roman" w:cs="Times New Roman" w:eastAsia="Times New Roman" w:hAnsi="Times New Roman"/>
          <w:sz w:val="20"/>
          <w:szCs w:val="20"/>
          <w:color w:val="auto"/>
          <w:vertAlign w:val="superscript"/>
        </w:rPr>
        <w:t>o</w:t>
      </w:r>
      <w:r>
        <w:rPr>
          <w:rFonts w:ascii="Times New Roman" w:cs="Times New Roman" w:eastAsia="Times New Roman" w:hAnsi="Times New Roman"/>
          <w:sz w:val="12"/>
          <w:szCs w:val="12"/>
          <w:color w:val="auto"/>
        </w:rPr>
        <w:t>ur directors and executive officers in the ordinary course of business. See “Item 6.B Compensation and Benefits” f r information regarding compensation of the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56940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16115" cy="5694045"/>
                    </a:xfrm>
                    <a:prstGeom prst="rect">
                      <a:avLst/>
                    </a:prstGeom>
                    <a:noFill/>
                  </pic:spPr>
                </pic:pic>
              </a:graphicData>
            </a:graphic>
          </wp:anchor>
        </w:drawing>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8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We comply with French law regarding approval of transactions with related parties. In particular, in accordance with article L.225-38 and seq. of the French Commercial Code, transactions with our general managers,</w:t>
      </w: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directors, shareholders holding more than 10% of the voting rights of the company and any company controlling a shareholder holding more than 10% of our voting rights, other than transactions in the ordinary course of business and at arm’s length, are (i) subject to a prior approval by the Board, (ii) reported to the statutory auditors who must</w:t>
      </w:r>
    </w:p>
    <w:p>
      <w:pPr>
        <w:spacing w:after="0" w:line="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then prepare a report on such transaction, and (iii) ratified by the our shareholders at the annual general meeting.</w:t>
      </w:r>
    </w:p>
    <w:p>
      <w:pPr>
        <w:spacing w:after="0" w:line="68" w:lineRule="exact"/>
        <w:rPr>
          <w:sz w:val="20"/>
          <w:szCs w:val="20"/>
          <w:color w:val="auto"/>
        </w:rPr>
      </w:pPr>
    </w:p>
    <w:p>
      <w:pPr>
        <w:ind w:left="300" w:right="559" w:firstLine="441"/>
        <w:spacing w:after="0" w:line="236" w:lineRule="auto"/>
        <w:rPr>
          <w:sz w:val="20"/>
          <w:szCs w:val="20"/>
          <w:color w:val="auto"/>
        </w:rPr>
      </w:pPr>
      <w:r>
        <w:rPr>
          <w:rFonts w:ascii="Times New Roman" w:cs="Times New Roman" w:eastAsia="Times New Roman" w:hAnsi="Times New Roman"/>
          <w:sz w:val="17"/>
          <w:szCs w:val="17"/>
          <w:color w:val="auto"/>
        </w:rPr>
        <w:t>In addition, we have adopted a related-party transaction policy that sets forth our procedures for the identification, review, consideration and approval or ratification of related-party transactions. For purposes of our</w:t>
      </w: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policy only, a related-party transaction is defined as (1) any individual or series of financial transactions, arrangements or relationships (including any indebtedness or guarantee of indebtedness), in which we and any related parties are, were or will be participants, or otherwise have a direct or indirect interest, or (2) any agreement</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or similar transaction under French law which falls within the scope of Article L. 225-38 of the French Commercial Code. For purposes of this policy, a related party is any person who is or at any time since the beginning of the our last fiscal year was, a director, director nominee, executive officer, beneficial owner of more than 5% of any class of</w:t>
      </w:r>
    </w:p>
    <w:p>
      <w:pPr>
        <w:spacing w:after="0" w:line="2" w:lineRule="exact"/>
        <w:rPr>
          <w:sz w:val="20"/>
          <w:szCs w:val="20"/>
          <w:color w:val="auto"/>
        </w:rPr>
      </w:pPr>
    </w:p>
    <w:p>
      <w:pPr>
        <w:ind w:left="300" w:right="379"/>
        <w:spacing w:after="0" w:line="208" w:lineRule="auto"/>
        <w:rPr>
          <w:sz w:val="20"/>
          <w:szCs w:val="20"/>
          <w:color w:val="auto"/>
        </w:rPr>
      </w:pPr>
      <w:r>
        <w:rPr>
          <w:rFonts w:ascii="Times New Roman" w:cs="Times New Roman" w:eastAsia="Times New Roman" w:hAnsi="Times New Roman"/>
          <w:sz w:val="18"/>
          <w:szCs w:val="18"/>
          <w:color w:val="auto"/>
        </w:rPr>
        <w:t>our voting securities or any immediate family member(s) of the foregoing persons, or any firm, corporation or other entity in which any of the foregoing persons is employed or is a partner or principal or in a similar position or in which such person has more than a 5% beneficial ownership interest. Under the policy, related-party transactions</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must be reported to us by the relevant related parties. If a transaction has been identified as a related-party transaction, management must present information regarding the related-party transaction to our Board for review, consideration and approval or ratification. Regarding certain transactions, our Board may appoint an independent</w:t>
      </w:r>
    </w:p>
    <w:p>
      <w:pPr>
        <w:spacing w:after="0" w:line="2" w:lineRule="exact"/>
        <w:rPr>
          <w:sz w:val="20"/>
          <w:szCs w:val="20"/>
          <w:color w:val="auto"/>
        </w:rPr>
      </w:pPr>
    </w:p>
    <w:p>
      <w:pPr>
        <w:ind w:left="300" w:right="479"/>
        <w:spacing w:after="0" w:line="208" w:lineRule="auto"/>
        <w:rPr>
          <w:sz w:val="20"/>
          <w:szCs w:val="20"/>
          <w:color w:val="auto"/>
        </w:rPr>
      </w:pPr>
      <w:r>
        <w:rPr>
          <w:rFonts w:ascii="Times New Roman" w:cs="Times New Roman" w:eastAsia="Times New Roman" w:hAnsi="Times New Roman"/>
          <w:sz w:val="18"/>
          <w:szCs w:val="18"/>
          <w:color w:val="auto"/>
        </w:rPr>
        <w:t>expert whenever the signing of a related person transaction is likely to have a material impact on our balance sheet or results. In this case, this expert review will be mentioned in the special report of the statutory auditors and disclosed to the public subject, as the case may be, to any information likely to adversely affect trade secret. Our</w:t>
      </w:r>
    </w:p>
    <w:p>
      <w:pPr>
        <w:spacing w:after="0" w:line="2" w:lineRule="exact"/>
        <w:rPr>
          <w:sz w:val="20"/>
          <w:szCs w:val="20"/>
          <w:color w:val="auto"/>
        </w:rPr>
      </w:pPr>
    </w:p>
    <w:p>
      <w:pPr>
        <w:ind w:left="300" w:right="339"/>
        <w:spacing w:after="0" w:line="231" w:lineRule="auto"/>
        <w:rPr>
          <w:sz w:val="20"/>
          <w:szCs w:val="20"/>
          <w:color w:val="auto"/>
        </w:rPr>
      </w:pPr>
      <w:r>
        <w:rPr>
          <w:rFonts w:ascii="Times New Roman" w:cs="Times New Roman" w:eastAsia="Times New Roman" w:hAnsi="Times New Roman"/>
          <w:sz w:val="17"/>
          <w:szCs w:val="17"/>
          <w:color w:val="auto"/>
        </w:rPr>
        <w:t>Board may also seek the opinion of the audit committee and/or of the independent statutory auditors if there is any doubt about the qualification of a related person transaction subject to his evaluation. When submitted to our Board’s review, the persons who have a direct or indirect interest in the transaction shall not participate in its review.</w:t>
      </w:r>
    </w:p>
    <w:p>
      <w:pPr>
        <w:spacing w:after="0" w:line="38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739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16115" cy="473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tab/>
        <w:t>Consolidated Statements and Other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89" w:lineRule="exact"/>
        <w:rPr>
          <w:sz w:val="20"/>
          <w:szCs w:val="20"/>
          <w:color w:val="auto"/>
        </w:rPr>
      </w:pPr>
    </w:p>
    <w:p>
      <w:pPr>
        <w:ind w:left="300" w:right="459" w:firstLine="441"/>
        <w:spacing w:after="0" w:line="250" w:lineRule="auto"/>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on Form 20-F, starting at page F-1.</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w:t>
      </w:r>
    </w:p>
    <w:p>
      <w:pPr>
        <w:spacing w:after="0" w:line="2" w:lineRule="exact"/>
        <w:rPr>
          <w:sz w:val="20"/>
          <w:szCs w:val="20"/>
          <w:color w:val="auto"/>
        </w:rPr>
      </w:pP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499" w:firstLine="441"/>
        <w:spacing w:after="0" w:line="229" w:lineRule="auto"/>
        <w:rPr>
          <w:sz w:val="20"/>
          <w:szCs w:val="20"/>
          <w:color w:val="auto"/>
        </w:rPr>
      </w:pPr>
      <w:r>
        <w:rPr>
          <w:rFonts w:ascii="Times New Roman" w:cs="Times New Roman" w:eastAsia="Times New Roman" w:hAnsi="Times New Roman"/>
          <w:sz w:val="17"/>
          <w:szCs w:val="17"/>
          <w:color w:val="auto"/>
        </w:rPr>
        <w:t>We have never declared or paid any cash dividends on our ordinary shares. We do not have any present plan to pay any cash dividends on our equity securities in the foreseeable future. We currently intend to retain all of our available funds and any future earnings to operate and expand our business. We do not anticipate paying cash</w:t>
      </w: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dividends on our equity securities in the foreseeable future and intend to retain all available funds and any future earnings for use in the operation and expansion of our business, given our state of development.</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the requirements of French law and our by-laws, dividends may only be distributed from our</w:t>
      </w:r>
    </w:p>
    <w:p>
      <w:pPr>
        <w:spacing w:after="0" w:line="2" w:lineRule="exact"/>
        <w:rPr>
          <w:sz w:val="20"/>
          <w:szCs w:val="20"/>
          <w:color w:val="auto"/>
        </w:rPr>
      </w:pPr>
    </w:p>
    <w:p>
      <w:pPr>
        <w:ind w:left="300" w:right="599"/>
        <w:spacing w:after="0" w:line="226" w:lineRule="auto"/>
        <w:rPr>
          <w:sz w:val="20"/>
          <w:szCs w:val="20"/>
          <w:color w:val="auto"/>
        </w:rPr>
      </w:pPr>
      <w:r>
        <w:rPr>
          <w:rFonts w:ascii="Times New Roman" w:cs="Times New Roman" w:eastAsia="Times New Roman" w:hAnsi="Times New Roman"/>
          <w:sz w:val="18"/>
          <w:szCs w:val="18"/>
          <w:color w:val="auto"/>
        </w:rPr>
        <w:t>distributable profits, plus any amount held in our available reserves, which are those reserves other than the legal and statutory reserves and the revaluation surplus.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we pay any dividends, we will pay our ADS holders to the same extent as holders of our ordinary shares,</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subject to the terms of the deposit agreement, including deduction in respect of the fees and expenses payable thereunder. See “Description of American Depositary Shares” for further information. Cash dividends on our ordinary shares, if any, will be paid in euros and converted into U.S. dollars with respect to ADSs, as provided in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deposit agreement.</w:t>
      </w:r>
    </w:p>
    <w:p>
      <w:pPr>
        <w:sectPr>
          <w:pgSz w:w="11900" w:h="16838" w:orient="portrait"/>
          <w:cols w:equalWidth="0" w:num="1">
            <w:col w:w="9019"/>
          </w:cols>
          <w:pgMar w:left="1440" w:top="108" w:right="1440" w:bottom="0" w:gutter="0" w:footer="0" w:header="0"/>
        </w:sectPr>
      </w:pPr>
    </w:p>
    <w:bookmarkStart w:id="117" w:name="page118"/>
    <w:bookmarkEnd w:id="117"/>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-107950</wp:posOffset>
            </wp:positionV>
            <wp:extent cx="7016115" cy="43224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16115" cy="4322445"/>
                    </a:xfrm>
                    <a:prstGeom prst="rect">
                      <a:avLst/>
                    </a:prstGeom>
                    <a:noFill/>
                  </pic:spPr>
                </pic:pic>
              </a:graphicData>
            </a:graphic>
          </wp:anchor>
        </w:drawing>
      </w:r>
    </w:p>
    <w:p>
      <w:pPr>
        <w:spacing w:after="0" w:line="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Except as disclosed elsewhere in this Annual Report on Form 20-F, no significant changes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111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16115" cy="611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121"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Our ADSs have been listed on the Nasdaq Global Market under the symbol “ABVX” since October 20, 2023. Prior to that date, there was no public trading market for our ADSs. Our ordinary shares have been trading on</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Euronext Paris under the symbol “ABVX” since June 2015. Prior to that date, there was no public trading market for our ordinary shares.</w:t>
      </w:r>
    </w:p>
    <w:p>
      <w:pPr>
        <w:spacing w:after="0" w:line="153"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121" w:lineRule="exact"/>
        <w:rPr>
          <w:sz w:val="20"/>
          <w:szCs w:val="20"/>
          <w:color w:val="auto"/>
        </w:rPr>
      </w:pPr>
    </w:p>
    <w:p>
      <w:pPr>
        <w:ind w:left="300" w:right="359" w:firstLine="441"/>
        <w:spacing w:after="0" w:line="237" w:lineRule="auto"/>
        <w:rPr>
          <w:sz w:val="20"/>
          <w:szCs w:val="20"/>
          <w:color w:val="auto"/>
        </w:rPr>
      </w:pPr>
      <w:r>
        <w:rPr>
          <w:rFonts w:ascii="Times New Roman" w:cs="Times New Roman" w:eastAsia="Times New Roman" w:hAnsi="Times New Roman"/>
          <w:sz w:val="18"/>
          <w:szCs w:val="18"/>
          <w:color w:val="auto"/>
        </w:rPr>
        <w:t>For information regarding the stock exchanges and regulated markets on which our ADSs and ordinary shares are listed, see “Item 9.A. Offer and Listing Details".</w:t>
      </w:r>
    </w:p>
    <w:p>
      <w:pPr>
        <w:spacing w:after="0" w:line="15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w:t>
        <w:tab/>
        <w:t>Dilution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940" w:hanging="324"/>
        <w:spacing w:after="0"/>
        <w:tabs>
          <w:tab w:leader="none" w:pos="9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104"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950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16115" cy="295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4828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16115" cy="748284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jc w:val="center"/>
        <w:ind w:right="6439"/>
        <w:spacing w:after="0"/>
        <w:tabs>
          <w:tab w:leader="none" w:pos="120" w:val="left"/>
        </w:tabs>
        <w:rPr>
          <w:sz w:val="20"/>
          <w:szCs w:val="20"/>
          <w:color w:val="auto"/>
        </w:rPr>
      </w:pPr>
      <w:r>
        <w:rPr>
          <w:rFonts w:ascii="Times New Roman" w:cs="Times New Roman" w:eastAsia="Times New Roman" w:hAnsi="Times New Roman"/>
          <w:sz w:val="18"/>
          <w:szCs w:val="18"/>
          <w:b w:val="1"/>
          <w:bCs w:val="1"/>
          <w:color w:val="auto"/>
        </w:rPr>
        <w:t>A.</w:t>
        <w:tab/>
        <w:t>Share capital</w:t>
      </w:r>
    </w:p>
    <w:p>
      <w:pPr>
        <w:spacing w:after="0" w:line="1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information set forth in Exhibit 2.1 is incorporated herein by reference.</w:t>
      </w:r>
    </w:p>
    <w:p>
      <w:pPr>
        <w:spacing w:after="0" w:line="19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121" w:lineRule="exact"/>
        <w:rPr>
          <w:sz w:val="20"/>
          <w:szCs w:val="20"/>
          <w:color w:val="auto"/>
        </w:rPr>
      </w:pPr>
    </w:p>
    <w:p>
      <w:pPr>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On November 19, 2024, we entered into an Equity Distribution Agreement (the “ATM Agreement”) with Piper Sandler &amp; Co. (“Piper Sandler”) with respect to an equity offering program under which we may offer and sell ADSs from time to time, through Piper Sandler as sales agent, having an aggregate offering price of up to $150.0</w:t>
      </w: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million (subject to French regulatory limits). Sales of the ADSs, if any, may be made in sales deemed to be an “at the market offering” as defined in Rule 415(a)(4) promulgated under the Securities Act. The ATM Agreement will terminate upon the earlier of (i) the sale of all ADSs subject to the ATM Agreement and (ii) the termination of the</w:t>
      </w:r>
    </w:p>
    <w:p>
      <w:pPr>
        <w:spacing w:after="0" w:line="2" w:lineRule="exact"/>
        <w:rPr>
          <w:sz w:val="20"/>
          <w:szCs w:val="20"/>
          <w:color w:val="auto"/>
        </w:rPr>
      </w:pPr>
    </w:p>
    <w:p>
      <w:pPr>
        <w:ind w:left="300" w:right="979"/>
        <w:spacing w:after="0" w:line="226" w:lineRule="auto"/>
        <w:rPr>
          <w:sz w:val="20"/>
          <w:szCs w:val="20"/>
          <w:color w:val="auto"/>
        </w:rPr>
      </w:pPr>
      <w:r>
        <w:rPr>
          <w:rFonts w:ascii="Times New Roman" w:cs="Times New Roman" w:eastAsia="Times New Roman" w:hAnsi="Times New Roman"/>
          <w:sz w:val="18"/>
          <w:szCs w:val="18"/>
          <w:color w:val="auto"/>
        </w:rPr>
        <w:t>ATM Agreement as permitted therein. Piper Sandler may terminate the Agreement at any time, and we may terminate the ATM Agreement at any time upon ten days’ prior notice.</w:t>
      </w:r>
    </w:p>
    <w:p>
      <w:pPr>
        <w:spacing w:after="0" w:line="369"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Under current French foreign exchange control regulations there are no limitations on the amount of cash</w:t>
      </w:r>
    </w:p>
    <w:p>
      <w:pPr>
        <w:spacing w:after="0" w:line="2" w:lineRule="exact"/>
        <w:rPr>
          <w:sz w:val="20"/>
          <w:szCs w:val="20"/>
          <w:color w:val="auto"/>
        </w:rPr>
      </w:pPr>
    </w:p>
    <w:p>
      <w:pPr>
        <w:jc w:val="both"/>
        <w:ind w:left="300" w:right="599"/>
        <w:spacing w:after="0" w:line="220" w:lineRule="auto"/>
        <w:rPr>
          <w:sz w:val="20"/>
          <w:szCs w:val="20"/>
          <w:color w:val="auto"/>
        </w:rPr>
      </w:pPr>
      <w:r>
        <w:rPr>
          <w:rFonts w:ascii="Times New Roman" w:cs="Times New Roman" w:eastAsia="Times New Roman" w:hAnsi="Times New Roman"/>
          <w:sz w:val="17"/>
          <w:szCs w:val="17"/>
          <w:color w:val="auto"/>
        </w:rPr>
        <w:t>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credit institutions in France are accredited intermediaries.</w:t>
      </w:r>
    </w:p>
    <w:p>
      <w:pPr>
        <w:spacing w:after="0" w:line="377"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7" w:lineRule="exact"/>
        <w:rPr>
          <w:sz w:val="20"/>
          <w:szCs w:val="20"/>
          <w:color w:val="auto"/>
        </w:rPr>
      </w:pPr>
    </w:p>
    <w:p>
      <w:pPr>
        <w:ind w:left="300" w:right="479" w:firstLine="441"/>
        <w:spacing w:after="0" w:line="237" w:lineRule="auto"/>
        <w:rPr>
          <w:sz w:val="20"/>
          <w:szCs w:val="20"/>
          <w:color w:val="auto"/>
        </w:rPr>
      </w:pPr>
      <w:r>
        <w:rPr>
          <w:rFonts w:ascii="Times New Roman" w:cs="Times New Roman" w:eastAsia="Times New Roman" w:hAnsi="Times New Roman"/>
          <w:sz w:val="17"/>
          <w:szCs w:val="17"/>
          <w:i w:val="1"/>
          <w:iCs w:val="1"/>
          <w:color w:val="auto"/>
        </w:rPr>
        <w:t>The summary set forth below describes certain French and U.S. federal income tax consequences relating to the purchase, ownership and disposition of the ADSs to U.S. Holders (as defined below) as of the date hereof. This</w:t>
      </w:r>
    </w:p>
    <w:p>
      <w:pPr>
        <w:ind w:left="300" w:right="819"/>
        <w:spacing w:after="0" w:line="226" w:lineRule="auto"/>
        <w:rPr>
          <w:sz w:val="20"/>
          <w:szCs w:val="20"/>
          <w:color w:val="auto"/>
        </w:rPr>
      </w:pPr>
      <w:r>
        <w:rPr>
          <w:rFonts w:ascii="Times New Roman" w:cs="Times New Roman" w:eastAsia="Times New Roman" w:hAnsi="Times New Roman"/>
          <w:sz w:val="18"/>
          <w:szCs w:val="18"/>
          <w:i w:val="1"/>
          <w:iCs w:val="1"/>
          <w:color w:val="auto"/>
        </w:rPr>
        <w:t>summary does not represent a detailed description of the tax consequences applicable to a U.S. Holder that is subject to special treatment under the U.S. federal tax laws, including, without limitation:</w:t>
      </w:r>
    </w:p>
    <w:p>
      <w:pPr>
        <w:spacing w:after="0" w:line="49" w:lineRule="exact"/>
        <w:rPr>
          <w:sz w:val="20"/>
          <w:szCs w:val="20"/>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use a mark-to-market method of tax accounting;</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76" w:lineRule="exact"/>
        <w:rPr>
          <w:rFonts w:ascii="Times New Roman" w:cs="Times New Roman" w:eastAsia="Times New Roman" w:hAnsi="Times New Roman"/>
          <w:sz w:val="18"/>
          <w:szCs w:val="18"/>
          <w:color w:val="auto"/>
        </w:rPr>
      </w:pPr>
    </w:p>
    <w:p>
      <w:pPr>
        <w:ind w:left="1280" w:right="299" w:hanging="328"/>
        <w:spacing w:after="0" w:line="250" w:lineRule="auto"/>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as part of a hedging transaction, “straddle,” wash sale, conversion transaction or integrated transaction or persons entering into a constructive sale with respect to the ADSs;</w:t>
      </w:r>
    </w:p>
    <w:p>
      <w:pPr>
        <w:spacing w:after="0" w:line="41"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grantor trusts or other trusts;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of the United States;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entities, including “individual retirement accounts” and “Roth IRAs”;</w:t>
      </w:r>
    </w:p>
    <w:p>
      <w:pPr>
        <w:sectPr>
          <w:pgSz w:w="11900" w:h="16838" w:orient="portrait"/>
          <w:cols w:equalWidth="0" w:num="1">
            <w:col w:w="9019"/>
          </w:cols>
          <w:pgMar w:left="1440" w:top="1440" w:right="1440" w:bottom="0" w:gutter="0" w:footer="0" w:header="0"/>
          <w:type w:val="continuous"/>
        </w:sectPr>
      </w:pPr>
    </w:p>
    <w:bookmarkStart w:id="119" w:name="page120"/>
    <w:bookmarkEnd w:id="119"/>
    <w:p>
      <w:pPr>
        <w:ind w:left="1280" w:right="859" w:hanging="328"/>
        <w:spacing w:after="0" w:line="229" w:lineRule="auto"/>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investors therein);</w:t>
      </w:r>
    </w:p>
    <w:p>
      <w:pPr>
        <w:spacing w:after="0" w:line="64"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ADSs as compensation for the performance of services;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-582295</wp:posOffset>
            </wp:positionV>
            <wp:extent cx="7016115" cy="1579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16115" cy="157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8544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16115" cy="885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right="459" w:hanging="328"/>
        <w:spacing w:after="0" w:line="237"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in connection with a trade or business, permanent establishment, or fixed base outside the United States.</w:t>
      </w:r>
    </w:p>
    <w:p>
      <w:pPr>
        <w:spacing w:after="0" w:line="168" w:lineRule="exact"/>
        <w:rPr>
          <w:sz w:val="20"/>
          <w:szCs w:val="20"/>
          <w:color w:val="auto"/>
        </w:rPr>
      </w:pPr>
    </w:p>
    <w:p>
      <w:pPr>
        <w:ind w:left="300" w:right="339" w:firstLine="441"/>
        <w:spacing w:after="0" w:line="217" w:lineRule="auto"/>
        <w:rPr>
          <w:sz w:val="20"/>
          <w:szCs w:val="20"/>
          <w:color w:val="auto"/>
        </w:rPr>
      </w:pPr>
      <w:r>
        <w:rPr>
          <w:rFonts w:ascii="Times New Roman" w:cs="Times New Roman" w:eastAsia="Times New Roman" w:hAnsi="Times New Roman"/>
          <w:sz w:val="18"/>
          <w:szCs w:val="18"/>
          <w:b w:val="1"/>
          <w:bCs w:val="1"/>
          <w:color w:val="auto"/>
        </w:rPr>
        <w:t>This summary is for general information only. Prospective Investors considering the purchase, ownership or disposition of the ADSs are advised to consult their own tax advisers concerning the French and U.S. federal income tax consequences in light of their particular facts and circumstances, as well as any</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arising under the laws of any other taxing jurisdiction.</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French Income Tax Considerations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describes the material French income tax consequences to U.S. Holders (as defined below) of</w:t>
      </w:r>
    </w:p>
    <w:p>
      <w:pPr>
        <w:spacing w:after="0" w:line="2"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purchasing, owning and disposing of our ADSs and, unless otherwise noted, this discussion is the opinion of Dechert, our French tax counsel, insofar as it relates to matters of French tax law and legal conclusions with respect to those matters.</w:t>
      </w:r>
    </w:p>
    <w:p>
      <w:pPr>
        <w:spacing w:after="0" w:line="6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following is subject to change. Such changes could apply retroactively and could affect the consequences described below.</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2011, France introduced a comprehensive set of new tax rules applicable to French assets that are held by or</w:t>
      </w:r>
    </w:p>
    <w:p>
      <w:pPr>
        <w:spacing w:after="0" w:line="14"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in foreign trusts. These rules, among other things, provide for the inclusion of trust assets in the settlor’s net assets for purpose of applying the former French wealth tax (replaced by the French real estate wealth tax as from January 1, 2018), for the application of French gift and death duties to French assets held in trust, for a specific tax</w:t>
      </w:r>
    </w:p>
    <w:p>
      <w:pPr>
        <w:spacing w:after="0" w:line="2" w:lineRule="exact"/>
        <w:rPr>
          <w:sz w:val="20"/>
          <w:szCs w:val="20"/>
          <w:color w:val="auto"/>
        </w:rPr>
      </w:pPr>
    </w:p>
    <w:p>
      <w:pPr>
        <w:ind w:left="300" w:right="399"/>
        <w:spacing w:after="0" w:line="208" w:lineRule="auto"/>
        <w:rPr>
          <w:sz w:val="20"/>
          <w:szCs w:val="20"/>
          <w:color w:val="auto"/>
        </w:rPr>
      </w:pPr>
      <w:r>
        <w:rPr>
          <w:rFonts w:ascii="Times New Roman" w:cs="Times New Roman" w:eastAsia="Times New Roman" w:hAnsi="Times New Roman"/>
          <w:sz w:val="18"/>
          <w:szCs w:val="18"/>
          <w:color w:val="auto"/>
        </w:rPr>
        <w:t>on capital on the French assets of foreign trusts not already subject to the former French wealth tax (replaced by the French real estate wealth tax as from January 1, 2018) and for a number of French tax reporting and disclosure obligations. The following discussion does not address the French tax consequences applicable to ADSs held in</w:t>
      </w:r>
    </w:p>
    <w:p>
      <w:pPr>
        <w:spacing w:after="0" w:line="2" w:lineRule="exact"/>
        <w:rPr>
          <w:sz w:val="20"/>
          <w:szCs w:val="20"/>
          <w:color w:val="auto"/>
        </w:rPr>
      </w:pPr>
    </w:p>
    <w:p>
      <w:pPr>
        <w:ind w:left="300" w:right="859"/>
        <w:spacing w:after="0" w:line="226" w:lineRule="auto"/>
        <w:rPr>
          <w:sz w:val="20"/>
          <w:szCs w:val="20"/>
          <w:color w:val="auto"/>
        </w:rPr>
      </w:pPr>
      <w:r>
        <w:rPr>
          <w:rFonts w:ascii="Times New Roman" w:cs="Times New Roman" w:eastAsia="Times New Roman" w:hAnsi="Times New Roman"/>
          <w:sz w:val="18"/>
          <w:szCs w:val="18"/>
          <w:color w:val="auto"/>
        </w:rPr>
        <w:t>trusts. If ADSs are held in trust, the grantor, trustee and beneficiary are urged to consult their own tax adviser regarding the specific tax consequences of acquiring, owning and disposing of ADSs.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description of the French income tax and real estate wealth tax consequences set forth below is based on</w:t>
      </w:r>
    </w:p>
    <w:p>
      <w:pPr>
        <w:spacing w:after="0" w:line="2" w:lineRule="exact"/>
        <w:rPr>
          <w:sz w:val="20"/>
          <w:szCs w:val="20"/>
          <w:color w:val="auto"/>
        </w:rPr>
      </w:pPr>
    </w:p>
    <w:p>
      <w:pPr>
        <w:ind w:left="300" w:right="759"/>
        <w:spacing w:after="0" w:line="208" w:lineRule="auto"/>
        <w:rPr>
          <w:sz w:val="20"/>
          <w:szCs w:val="20"/>
          <w:color w:val="auto"/>
        </w:rPr>
      </w:pPr>
      <w:r>
        <w:rPr>
          <w:rFonts w:ascii="Times New Roman" w:cs="Times New Roman" w:eastAsia="Times New Roman" w:hAnsi="Times New Roman"/>
          <w:sz w:val="18"/>
          <w:szCs w:val="18"/>
          <w:color w:val="auto"/>
        </w:rPr>
        <w:t>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w:t>
      </w:r>
    </w:p>
    <w:p>
      <w:pPr>
        <w:spacing w:after="0" w:line="2" w:lineRule="exact"/>
        <w:rPr>
          <w:sz w:val="20"/>
          <w:szCs w:val="20"/>
          <w:color w:val="auto"/>
        </w:rPr>
      </w:pP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subsequent protocols, including the protocol of January 13, 2009, or the "Treaty") and the tax guidelines issued by the French tax authorities in force as of the date of this Annual Report on Form 20-F.</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purposes of this discussion, the term “U.S. Holder” means a beneficial owner of ADSs that is (or is</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treated as), for U.S. federal income tax purposes: (1) an individual who is a U.S. citizen or resident, (2) a corporation or other entity that is treated as a corporation for U.S. federal income tax purposes, created or organized in or under the laws of the United States or any state thereof, including the District of Colombia, (3) otherwise subject to U.S.</w:t>
      </w:r>
    </w:p>
    <w:p>
      <w:pPr>
        <w:spacing w:after="0" w:line="2" w:lineRule="exact"/>
        <w:rPr>
          <w:sz w:val="20"/>
          <w:szCs w:val="20"/>
          <w:color w:val="auto"/>
        </w:rPr>
      </w:pPr>
    </w:p>
    <w:p>
      <w:pPr>
        <w:jc w:val="both"/>
        <w:ind w:left="300" w:right="379"/>
        <w:spacing w:after="0" w:line="220" w:lineRule="auto"/>
        <w:rPr>
          <w:sz w:val="20"/>
          <w:szCs w:val="20"/>
          <w:color w:val="auto"/>
        </w:rPr>
      </w:pPr>
      <w:r>
        <w:rPr>
          <w:rFonts w:ascii="Times New Roman" w:cs="Times New Roman" w:eastAsia="Times New Roman" w:hAnsi="Times New Roman"/>
          <w:sz w:val="17"/>
          <w:szCs w:val="17"/>
          <w:color w:val="auto"/>
        </w:rPr>
        <w:t>federal income taxation or (4) 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person.</w:t>
      </w:r>
    </w:p>
    <w:p>
      <w:pPr>
        <w:spacing w:after="0" w:line="57"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If a partnership (or any other entity treated as partnership for U.S. federal income tax purposes) holds ADSs, the tax treatment of the partnership and a partner in such partnership generally will depend upon the status of the</w:t>
      </w: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partner and the activities of the partnership. If a U.S. Holder is a partnership or a partner in a partnership that holds ADSs, such holder is urged to consult its own tax adviser regarding the specific tax consequences of acquiring, owning and disposing of securities.</w:t>
      </w:r>
    </w:p>
    <w:p>
      <w:pPr>
        <w:spacing w:after="0" w:line="64" w:lineRule="exact"/>
        <w:rPr>
          <w:sz w:val="20"/>
          <w:szCs w:val="20"/>
          <w:color w:val="auto"/>
        </w:rPr>
      </w:pPr>
    </w:p>
    <w:p>
      <w:pPr>
        <w:jc w:val="both"/>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w:t>
      </w:r>
    </w:p>
    <w:p>
      <w:pPr>
        <w:spacing w:after="0" w:line="2" w:lineRule="exact"/>
        <w:rPr>
          <w:sz w:val="20"/>
          <w:szCs w:val="20"/>
          <w:color w:val="auto"/>
        </w:rPr>
      </w:pP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w:t>
      </w:r>
    </w:p>
    <w:p>
      <w:pPr>
        <w:spacing w:after="0" w:line="2" w:lineRule="exact"/>
        <w:rPr>
          <w:sz w:val="20"/>
          <w:szCs w:val="20"/>
          <w:color w:val="auto"/>
        </w:rPr>
      </w:pPr>
    </w:p>
    <w:p>
      <w:pPr>
        <w:ind w:left="300" w:right="719"/>
        <w:spacing w:after="0" w:line="226" w:lineRule="auto"/>
        <w:rPr>
          <w:sz w:val="20"/>
          <w:szCs w:val="20"/>
          <w:color w:val="auto"/>
        </w:rPr>
      </w:pPr>
      <w:r>
        <w:rPr>
          <w:rFonts w:ascii="Times New Roman" w:cs="Times New Roman" w:eastAsia="Times New Roman" w:hAnsi="Times New Roman"/>
          <w:sz w:val="18"/>
          <w:szCs w:val="18"/>
          <w:color w:val="auto"/>
        </w:rPr>
        <w:t>U.S. federal income tax purposes and persons holding securities as a position in a synthetic security, straddle or conversion transaction) may be subject to special rules not discussed below.</w:t>
      </w:r>
    </w:p>
    <w:p>
      <w:pPr>
        <w:sectPr>
          <w:pgSz w:w="11900" w:h="16838" w:orient="portrait"/>
          <w:cols w:equalWidth="0" w:num="1">
            <w:col w:w="9019"/>
          </w:cols>
          <w:pgMar w:left="1440" w:top="108" w:right="1440" w:bottom="987" w:gutter="0" w:footer="0" w:header="0"/>
        </w:sectPr>
      </w:pPr>
    </w:p>
    <w:bookmarkStart w:id="120" w:name="page121"/>
    <w:bookmarkEnd w:id="120"/>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93630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16115" cy="9363075"/>
                    </a:xfrm>
                    <a:prstGeom prst="rect">
                      <a:avLst/>
                    </a:prstGeom>
                    <a:noFill/>
                  </pic:spPr>
                </pic:pic>
              </a:graphicData>
            </a:graphic>
          </wp:anchor>
        </w:drawing>
      </w:r>
    </w:p>
    <w:p>
      <w:pPr>
        <w:sectPr>
          <w:pgSz w:w="11900" w:h="16924"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right="779" w:firstLine="441"/>
        <w:spacing w:after="0" w:line="236" w:lineRule="auto"/>
        <w:rPr>
          <w:sz w:val="20"/>
          <w:szCs w:val="20"/>
          <w:color w:val="auto"/>
        </w:rPr>
      </w:pPr>
      <w:r>
        <w:rPr>
          <w:rFonts w:ascii="Times New Roman" w:cs="Times New Roman" w:eastAsia="Times New Roman" w:hAnsi="Times New Roman"/>
          <w:sz w:val="17"/>
          <w:szCs w:val="17"/>
          <w:color w:val="auto"/>
        </w:rPr>
        <w:t>U.S. Holders are urged to consult their own tax advisers regarding the tax consequences of the purchase, ownership and disposition of securities in light of their particular circumstances, especially with regard to the</w:t>
      </w:r>
    </w:p>
    <w:p>
      <w:pPr>
        <w:ind w:left="300"/>
        <w:spacing w:after="0"/>
        <w:rPr>
          <w:sz w:val="20"/>
          <w:szCs w:val="20"/>
          <w:color w:val="auto"/>
        </w:rPr>
      </w:pPr>
      <w:r>
        <w:rPr>
          <w:rFonts w:ascii="Times New Roman" w:cs="Times New Roman" w:eastAsia="Times New Roman" w:hAnsi="Times New Roman"/>
          <w:sz w:val="18"/>
          <w:szCs w:val="18"/>
          <w:color w:val="auto"/>
        </w:rPr>
        <w:t>“Limitations on Benefits” provision.</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Estate and Gift Taxes and Transfer Taxes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general, a transfer of securities by gift or by reason of death of a U.S. Holder that would otherwise be</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Inheritances and Gifts, dated November 24, 1978 (as amended by any subsequent protocols, including the protocol of December 8, 2004), unless (i) the donor or the transferor is domiciled in France at the time of making the gift or at the time of his or her death, or (ii) the securities were used in, or held for use in, the conduct of a business through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permanent establishment or a fixed base in France.</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Transactions Tax</w:t>
      </w:r>
    </w:p>
    <w:p>
      <w:pPr>
        <w:spacing w:after="0" w:line="308" w:lineRule="exact"/>
        <w:rPr>
          <w:sz w:val="20"/>
          <w:szCs w:val="20"/>
          <w:color w:val="auto"/>
        </w:rPr>
      </w:pPr>
    </w:p>
    <w:p>
      <w:pPr>
        <w:ind w:left="300" w:right="479" w:firstLine="441"/>
        <w:spacing w:after="0" w:line="217" w:lineRule="auto"/>
        <w:rPr>
          <w:sz w:val="20"/>
          <w:szCs w:val="20"/>
          <w:color w:val="auto"/>
        </w:rPr>
      </w:pPr>
      <w:r>
        <w:rPr>
          <w:rFonts w:ascii="Times New Roman" w:cs="Times New Roman" w:eastAsia="Times New Roman" w:hAnsi="Times New Roman"/>
          <w:sz w:val="18"/>
          <w:szCs w:val="18"/>
          <w:color w:val="auto"/>
        </w:rPr>
        <w:t>Pursuant to Article 235 ter ZD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(the “FTC”), purchases of certain securities issued by a French company, including ordinary shares (which may be in the form of ADSs), which are listed on a regulated market of the EU or an exchange market formally acknowledged by the AMF (in</w:t>
      </w:r>
    </w:p>
    <w:p>
      <w:pPr>
        <w:spacing w:after="0" w:line="1" w:lineRule="exact"/>
        <w:rPr>
          <w:sz w:val="20"/>
          <w:szCs w:val="20"/>
          <w:color w:val="auto"/>
        </w:rPr>
      </w:pPr>
    </w:p>
    <w:p>
      <w:pPr>
        <w:jc w:val="both"/>
        <w:ind w:left="300" w:right="439"/>
        <w:spacing w:after="0" w:line="199" w:lineRule="auto"/>
        <w:rPr>
          <w:sz w:val="20"/>
          <w:szCs w:val="20"/>
          <w:color w:val="auto"/>
        </w:rPr>
      </w:pPr>
      <w:r>
        <w:rPr>
          <w:rFonts w:ascii="Times New Roman" w:cs="Times New Roman" w:eastAsia="Times New Roman" w:hAnsi="Times New Roman"/>
          <w:sz w:val="18"/>
          <w:szCs w:val="18"/>
          <w:color w:val="auto"/>
        </w:rPr>
        <w:t>each case within the meaning of the French Monetary and Financial Code (the “FMFC”)) are subject in France to a 0.3% tax (increased to 0.4% as from April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2025) on financial transactions (the “TFT”), provided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issuer’s market capitalization exceeds €1 billion as of December 1 of the year preceding the taxation year.</w:t>
      </w:r>
    </w:p>
    <w:p>
      <w:pPr>
        <w:spacing w:after="0" w:line="65" w:lineRule="exact"/>
        <w:rPr>
          <w:sz w:val="20"/>
          <w:szCs w:val="20"/>
          <w:color w:val="auto"/>
        </w:rPr>
      </w:pPr>
    </w:p>
    <w:p>
      <w:pPr>
        <w:ind w:left="300" w:right="339" w:firstLine="441"/>
        <w:spacing w:after="0" w:line="239" w:lineRule="auto"/>
        <w:rPr>
          <w:sz w:val="20"/>
          <w:szCs w:val="20"/>
          <w:color w:val="auto"/>
        </w:rPr>
      </w:pPr>
      <w:r>
        <w:rPr>
          <w:rFonts w:ascii="Times New Roman" w:cs="Times New Roman" w:eastAsia="Times New Roman" w:hAnsi="Times New Roman"/>
          <w:sz w:val="17"/>
          <w:szCs w:val="17"/>
          <w:color w:val="auto"/>
        </w:rPr>
        <w:t>A list of French relevant companies whose market capitalization exceeds €1 billion as of December 1 of the year preceding the taxation year is published annually by the French State. The last version of such list was dated December 17, 2025 (BOI-ANNX-000467). It included Abivax SA as its market capitalization exceeded €1.0 billion.</w:t>
      </w:r>
    </w:p>
    <w:p>
      <w:pPr>
        <w:spacing w:after="0" w:line="64" w:lineRule="exact"/>
        <w:rPr>
          <w:sz w:val="20"/>
          <w:szCs w:val="20"/>
          <w:color w:val="auto"/>
        </w:rPr>
      </w:pPr>
    </w:p>
    <w:p>
      <w:pPr>
        <w:ind w:left="300" w:right="499" w:firstLine="441"/>
        <w:spacing w:after="0" w:line="237" w:lineRule="auto"/>
        <w:rPr>
          <w:sz w:val="20"/>
          <w:szCs w:val="20"/>
          <w:color w:val="auto"/>
        </w:rPr>
      </w:pPr>
      <w:r>
        <w:rPr>
          <w:rFonts w:ascii="Times New Roman" w:cs="Times New Roman" w:eastAsia="Times New Roman" w:hAnsi="Times New Roman"/>
          <w:sz w:val="18"/>
          <w:szCs w:val="18"/>
          <w:color w:val="auto"/>
        </w:rPr>
        <w:t>However, the Nasdaq Global Market, on which ADSs are listed, is not currently acknowledged by the AMF, but it may change in the future.</w:t>
      </w:r>
    </w:p>
    <w:p>
      <w:pPr>
        <w:spacing w:after="0" w:line="50" w:lineRule="exact"/>
        <w:rPr>
          <w:sz w:val="20"/>
          <w:szCs w:val="20"/>
          <w:color w:val="auto"/>
        </w:rPr>
      </w:pPr>
    </w:p>
    <w:p>
      <w:pPr>
        <w:ind w:left="300" w:right="759" w:firstLine="441"/>
        <w:spacing w:after="0" w:line="250" w:lineRule="auto"/>
        <w:rPr>
          <w:sz w:val="20"/>
          <w:szCs w:val="20"/>
          <w:color w:val="auto"/>
        </w:rPr>
      </w:pPr>
      <w:r>
        <w:rPr>
          <w:rFonts w:ascii="Times New Roman" w:cs="Times New Roman" w:eastAsia="Times New Roman" w:hAnsi="Times New Roman"/>
          <w:sz w:val="18"/>
          <w:szCs w:val="18"/>
          <w:color w:val="auto"/>
        </w:rPr>
        <w:t>As a result, the ADSs are not currently within the scope of the TFT. Under current law, purchases of our ADSs will not be subject to the TFT as long as the Nasdaq Global Market is not acknowledged by the AMF.</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Duties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the case where the TFT is not applicable, (1) transfers of shares issued by a French company which are</w:t>
      </w:r>
    </w:p>
    <w:p>
      <w:pPr>
        <w:spacing w:after="0" w:line="2" w:lineRule="exact"/>
        <w:rPr>
          <w:sz w:val="20"/>
          <w:szCs w:val="20"/>
          <w:color w:val="auto"/>
        </w:rPr>
      </w:pPr>
    </w:p>
    <w:p>
      <w:pPr>
        <w:ind w:left="300" w:right="579"/>
        <w:spacing w:after="0" w:line="220" w:lineRule="auto"/>
        <w:rPr>
          <w:sz w:val="20"/>
          <w:szCs w:val="20"/>
          <w:color w:val="auto"/>
        </w:rPr>
      </w:pPr>
      <w:r>
        <w:rPr>
          <w:rFonts w:ascii="Times New Roman" w:cs="Times New Roman" w:eastAsia="Times New Roman" w:hAnsi="Times New Roman"/>
          <w:sz w:val="17"/>
          <w:szCs w:val="17"/>
          <w:color w:val="auto"/>
        </w:rPr>
        <w:t>listed on a regulated or organized market within the meaning of the FMFC are subject to uncapped registration duties at the rate of 0.1% if the transfer is evidenced by a written statement (“acte”) executed either in France or outside France, whereas (2) transfers of shares issued by a French company which are not listed on a regulated or</w:t>
      </w:r>
    </w:p>
    <w:p>
      <w:pPr>
        <w:spacing w:after="0" w:line="2" w:lineRule="exact"/>
        <w:rPr>
          <w:sz w:val="20"/>
          <w:szCs w:val="20"/>
          <w:color w:val="auto"/>
        </w:rPr>
      </w:pPr>
    </w:p>
    <w:p>
      <w:pPr>
        <w:ind w:left="300" w:right="619"/>
        <w:spacing w:after="0" w:line="226" w:lineRule="auto"/>
        <w:rPr>
          <w:sz w:val="20"/>
          <w:szCs w:val="20"/>
          <w:color w:val="auto"/>
        </w:rPr>
      </w:pPr>
      <w:r>
        <w:rPr>
          <w:rFonts w:ascii="Times New Roman" w:cs="Times New Roman" w:eastAsia="Times New Roman" w:hAnsi="Times New Roman"/>
          <w:sz w:val="18"/>
          <w:szCs w:val="18"/>
          <w:color w:val="auto"/>
        </w:rPr>
        <w:t>organized market within the meaning of the FMFC are subject to uncapped registration duties at the rate of 0.1% notwithstanding the existence of a written statement.</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As ordinary shares of Abivax SA are listed on Euronext Paris, which is a regulated market within the meaning</w:t>
      </w:r>
    </w:p>
    <w:p>
      <w:pPr>
        <w:spacing w:after="0" w:line="14"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of the FMFC, their transfer should be subject to uncapped registration duties at the rate of 0.1% only if such transfer is evidenced by a written agreement. Although the official guidelines published by the French tax authorities are silent on this point (BOI-ENR-DMTOM-40-10-10-24/04/2024), ADSs should remain outside of the scope of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aforementioned 0.1% registration duties.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Real Estate Wealth Tax</w:t>
      </w:r>
    </w:p>
    <w:p>
      <w:pPr>
        <w:spacing w:after="0" w:line="79" w:lineRule="exact"/>
        <w:rPr>
          <w:sz w:val="20"/>
          <w:szCs w:val="20"/>
          <w:color w:val="auto"/>
        </w:rPr>
      </w:pPr>
    </w:p>
    <w:p>
      <w:pPr>
        <w:ind w:left="300" w:right="879" w:firstLine="441"/>
        <w:spacing w:after="0" w:line="253" w:lineRule="auto"/>
        <w:rPr>
          <w:sz w:val="20"/>
          <w:szCs w:val="20"/>
          <w:color w:val="auto"/>
        </w:rPr>
      </w:pPr>
      <w:r>
        <w:rPr>
          <w:rFonts w:ascii="Times New Roman" w:cs="Times New Roman" w:eastAsia="Times New Roman" w:hAnsi="Times New Roman"/>
          <w:sz w:val="18"/>
          <w:szCs w:val="18"/>
          <w:color w:val="auto"/>
        </w:rPr>
        <w:t>Since January 1, 2018, the French wealth tax (</w:t>
      </w:r>
      <w:r>
        <w:rPr>
          <w:rFonts w:ascii="Times New Roman" w:cs="Times New Roman" w:eastAsia="Times New Roman" w:hAnsi="Times New Roman"/>
          <w:sz w:val="18"/>
          <w:szCs w:val="18"/>
          <w:i w:val="1"/>
          <w:iCs w:val="1"/>
          <w:color w:val="auto"/>
        </w:rPr>
        <w:t>impôt de solidarité sur la fortune</w:t>
      </w:r>
      <w:r>
        <w:rPr>
          <w:rFonts w:ascii="Times New Roman" w:cs="Times New Roman" w:eastAsia="Times New Roman" w:hAnsi="Times New Roman"/>
          <w:sz w:val="18"/>
          <w:szCs w:val="18"/>
          <w:color w:val="auto"/>
        </w:rPr>
        <w:t>) has been repealed and replaced by the French real estate wealth tax (</w:t>
      </w:r>
      <w:r>
        <w:rPr>
          <w:rFonts w:ascii="Times New Roman" w:cs="Times New Roman" w:eastAsia="Times New Roman" w:hAnsi="Times New Roman"/>
          <w:sz w:val="18"/>
          <w:szCs w:val="18"/>
          <w:i w:val="1"/>
          <w:iCs w:val="1"/>
          <w:color w:val="auto"/>
        </w:rPr>
        <w:t>impôt sur la fortune immobilière</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The scope of such new tax is narrowed to real estate assets (and certain assets deemed to be real estate assets) or rights, held directly or indirectly through one or more legal entities and whose net taxable assets amount at least</w:t>
      </w:r>
    </w:p>
    <w:p>
      <w:pPr>
        <w:ind w:left="300"/>
        <w:spacing w:after="0"/>
        <w:rPr>
          <w:sz w:val="20"/>
          <w:szCs w:val="20"/>
          <w:color w:val="auto"/>
        </w:rPr>
      </w:pPr>
      <w:r>
        <w:rPr>
          <w:rFonts w:ascii="Times New Roman" w:cs="Times New Roman" w:eastAsia="Times New Roman" w:hAnsi="Times New Roman"/>
          <w:sz w:val="18"/>
          <w:szCs w:val="18"/>
          <w:color w:val="auto"/>
        </w:rPr>
        <w:t>to €1,300,000.</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Broadly, subject to provisions of double tax treaties and to certain exceptions, individuals who are not</w:t>
      </w:r>
    </w:p>
    <w:p>
      <w:pPr>
        <w:ind w:left="300"/>
        <w:spacing w:after="0" w:line="219" w:lineRule="auto"/>
        <w:rPr>
          <w:sz w:val="20"/>
          <w:szCs w:val="20"/>
          <w:color w:val="auto"/>
        </w:rPr>
      </w:pPr>
      <w:r>
        <w:rPr>
          <w:rFonts w:ascii="Times New Roman" w:cs="Times New Roman" w:eastAsia="Times New Roman" w:hAnsi="Times New Roman"/>
          <w:sz w:val="18"/>
          <w:szCs w:val="18"/>
          <w:color w:val="auto"/>
        </w:rPr>
        <w:t>residents of France for tax purposes within the meaning of Article 4 B of the FTC, are subject to real estate wealth</w:t>
      </w: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tax (</w:t>
      </w:r>
      <w:r>
        <w:rPr>
          <w:rFonts w:ascii="Times New Roman" w:cs="Times New Roman" w:eastAsia="Times New Roman" w:hAnsi="Times New Roman"/>
          <w:sz w:val="17"/>
          <w:szCs w:val="17"/>
          <w:i w:val="1"/>
          <w:iCs w:val="1"/>
          <w:color w:val="auto"/>
        </w:rPr>
        <w:t>impôt sur la fortune immobilière</w:t>
      </w:r>
      <w:r>
        <w:rPr>
          <w:rFonts w:ascii="Times New Roman" w:cs="Times New Roman" w:eastAsia="Times New Roman" w:hAnsi="Times New Roman"/>
          <w:sz w:val="17"/>
          <w:szCs w:val="17"/>
          <w:color w:val="auto"/>
        </w:rPr>
        <w:t>)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real estate for the professional use of the company considered shall not fall within the scope of the French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0706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16115" cy="1070610"/>
                    </a:xfrm>
                    <a:prstGeom prst="rect">
                      <a:avLst/>
                    </a:prstGeom>
                    <a:noFill/>
                  </pic:spPr>
                </pic:pic>
              </a:graphicData>
            </a:graphic>
          </wp:anchor>
        </w:drawing>
      </w:r>
    </w:p>
    <w:p>
      <w:pPr>
        <w:sectPr>
          <w:pgSz w:w="11900" w:h="16924" w:orient="portrait"/>
          <w:cols w:equalWidth="0" w:num="1">
            <w:col w:w="9019"/>
          </w:cols>
          <w:pgMar w:left="144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wealth tax (</w:t>
      </w:r>
      <w:r>
        <w:rPr>
          <w:rFonts w:ascii="Times New Roman" w:cs="Times New Roman" w:eastAsia="Times New Roman" w:hAnsi="Times New Roman"/>
          <w:sz w:val="17"/>
          <w:szCs w:val="17"/>
          <w:i w:val="1"/>
          <w:iCs w:val="1"/>
          <w:color w:val="auto"/>
        </w:rPr>
        <w:t>impôt sur la fortune immobilière</w:t>
      </w:r>
      <w:r>
        <w:rPr>
          <w:rFonts w:ascii="Times New Roman" w:cs="Times New Roman" w:eastAsia="Times New Roman" w:hAnsi="Times New Roman"/>
          <w:sz w:val="17"/>
          <w:szCs w:val="17"/>
          <w:color w:val="auto"/>
        </w:rPr>
        <w:t>). Under the Treaty (the provisions of which should be applicable to this new real estate wealth tax (</w:t>
      </w:r>
      <w:r>
        <w:rPr>
          <w:rFonts w:ascii="Times New Roman" w:cs="Times New Roman" w:eastAsia="Times New Roman" w:hAnsi="Times New Roman"/>
          <w:sz w:val="17"/>
          <w:szCs w:val="17"/>
          <w:i w:val="1"/>
          <w:iCs w:val="1"/>
          <w:color w:val="auto"/>
        </w:rPr>
        <w:t>impôt sur la fortune immobilière</w:t>
      </w:r>
      <w:r>
        <w:rPr>
          <w:rFonts w:ascii="Times New Roman" w:cs="Times New Roman" w:eastAsia="Times New Roman" w:hAnsi="Times New Roman"/>
          <w:sz w:val="17"/>
          <w:szCs w:val="17"/>
          <w:color w:val="auto"/>
        </w:rPr>
        <w:t>) in France), the French real estate wealth tax (</w:t>
      </w:r>
      <w:r>
        <w:rPr>
          <w:rFonts w:ascii="Times New Roman" w:cs="Times New Roman" w:eastAsia="Times New Roman" w:hAnsi="Times New Roman"/>
          <w:sz w:val="17"/>
          <w:szCs w:val="17"/>
          <w:i w:val="1"/>
          <w:iCs w:val="1"/>
          <w:color w:val="auto"/>
        </w:rPr>
        <w:t>impôt sur</w:t>
      </w:r>
    </w:p>
    <w:p>
      <w:pPr>
        <w:sectPr>
          <w:pgSz w:w="11900" w:h="16924" w:orient="portrait"/>
          <w:cols w:equalWidth="0" w:num="1">
            <w:col w:w="9019"/>
          </w:cols>
          <w:pgMar w:left="1440" w:top="108" w:right="1440" w:bottom="0" w:gutter="0" w:footer="0" w:header="0"/>
          <w:type w:val="continuous"/>
        </w:sectPr>
      </w:pPr>
    </w:p>
    <w:bookmarkStart w:id="121" w:name="page122"/>
    <w:bookmarkEnd w:id="121"/>
    <w:p>
      <w:pPr>
        <w:spacing w:after="0" w:line="32" w:lineRule="exact"/>
        <w:rPr>
          <w:sz w:val="20"/>
          <w:szCs w:val="20"/>
          <w:color w:val="auto"/>
        </w:rPr>
      </w:pPr>
    </w:p>
    <w:p>
      <w:pPr>
        <w:ind w:left="300" w:right="419"/>
        <w:spacing w:after="0" w:line="212" w:lineRule="auto"/>
        <w:rPr>
          <w:sz w:val="20"/>
          <w:szCs w:val="20"/>
          <w:color w:val="auto"/>
        </w:rPr>
      </w:pPr>
      <w:r>
        <w:rPr>
          <w:rFonts w:ascii="Times New Roman" w:cs="Times New Roman" w:eastAsia="Times New Roman" w:hAnsi="Times New Roman"/>
          <w:sz w:val="17"/>
          <w:szCs w:val="17"/>
          <w:i w:val="1"/>
          <w:iCs w:val="1"/>
          <w:color w:val="auto"/>
        </w:rPr>
        <w:t>la fortune immobilière</w:t>
      </w:r>
      <w:r>
        <w:rPr>
          <w:rFonts w:ascii="Times New Roman" w:cs="Times New Roman" w:eastAsia="Times New Roman" w:hAnsi="Times New Roman"/>
          <w:sz w:val="17"/>
          <w:szCs w:val="17"/>
          <w:color w:val="auto"/>
        </w:rPr>
        <w:t>) will however generally not apply to securities held by an eligible U.S. Holder who is a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resident, as defined pursuant to the provisions of the Treaty, provided that such (i) U.S. Holder (a) does not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-196850</wp:posOffset>
            </wp:positionV>
            <wp:extent cx="7016115" cy="79914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16115" cy="7991475"/>
                    </a:xfrm>
                    <a:prstGeom prst="rect">
                      <a:avLst/>
                    </a:prstGeom>
                    <a:noFill/>
                  </pic:spPr>
                </pic:pic>
              </a:graphicData>
            </a:graphic>
          </wp:anchor>
        </w:drawing>
      </w:r>
    </w:p>
    <w:p>
      <w:pPr>
        <w:ind w:left="300"/>
        <w:spacing w:after="0" w:line="220" w:lineRule="auto"/>
        <w:rPr>
          <w:sz w:val="20"/>
          <w:szCs w:val="20"/>
          <w:color w:val="auto"/>
        </w:rPr>
      </w:pPr>
      <w:r>
        <w:rPr>
          <w:rFonts w:ascii="Times New Roman" w:cs="Times New Roman" w:eastAsia="Times New Roman" w:hAnsi="Times New Roman"/>
          <w:sz w:val="18"/>
          <w:szCs w:val="18"/>
          <w:color w:val="auto"/>
        </w:rPr>
        <w:t>directly or indirectly more than 25% of the issuer’s financial rights and (b) that the ADSs do not form part of the</w:t>
      </w:r>
    </w:p>
    <w:p>
      <w:pPr>
        <w:jc w:val="both"/>
        <w:ind w:left="300" w:right="339"/>
        <w:spacing w:after="0" w:line="218" w:lineRule="auto"/>
        <w:rPr>
          <w:sz w:val="20"/>
          <w:szCs w:val="20"/>
          <w:color w:val="auto"/>
        </w:rPr>
      </w:pPr>
      <w:r>
        <w:rPr>
          <w:rFonts w:ascii="Times New Roman" w:cs="Times New Roman" w:eastAsia="Times New Roman" w:hAnsi="Times New Roman"/>
          <w:sz w:val="18"/>
          <w:szCs w:val="18"/>
          <w:color w:val="auto"/>
        </w:rPr>
        <w:t>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spacing w:after="0" w:line="64" w:lineRule="exact"/>
        <w:rPr>
          <w:sz w:val="20"/>
          <w:szCs w:val="20"/>
          <w:color w:val="auto"/>
        </w:rPr>
      </w:pPr>
    </w:p>
    <w:p>
      <w:pPr>
        <w:ind w:left="300" w:right="439" w:firstLine="441"/>
        <w:spacing w:after="0" w:line="226" w:lineRule="auto"/>
        <w:rPr>
          <w:sz w:val="20"/>
          <w:szCs w:val="20"/>
          <w:color w:val="auto"/>
        </w:rPr>
      </w:pPr>
      <w:r>
        <w:rPr>
          <w:rFonts w:ascii="Times New Roman" w:cs="Times New Roman" w:eastAsia="Times New Roman" w:hAnsi="Times New Roman"/>
          <w:sz w:val="18"/>
          <w:szCs w:val="18"/>
          <w:color w:val="auto"/>
        </w:rPr>
        <w:t>U.S. Holders are advised to consult their own tax advisor regarding the specific tax consequences which may apply to their particular situation with respect to such French real estate wealth tax (</w:t>
      </w:r>
      <w:r>
        <w:rPr>
          <w:rFonts w:ascii="Times New Roman" w:cs="Times New Roman" w:eastAsia="Times New Roman" w:hAnsi="Times New Roman"/>
          <w:sz w:val="18"/>
          <w:szCs w:val="18"/>
          <w:i w:val="1"/>
          <w:iCs w:val="1"/>
          <w:color w:val="auto"/>
        </w:rPr>
        <w:t>impôt sur la fortune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immobilière</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on Patrimonial Holding Companies</w:t>
      </w:r>
    </w:p>
    <w:p>
      <w:pPr>
        <w:spacing w:after="0" w:line="40" w:lineRule="exact"/>
        <w:rPr>
          <w:sz w:val="20"/>
          <w:szCs w:val="20"/>
          <w:color w:val="auto"/>
        </w:rPr>
      </w:pPr>
    </w:p>
    <w:p>
      <w:pPr>
        <w:ind w:left="300" w:right="599" w:firstLine="441"/>
        <w:spacing w:after="0" w:line="212" w:lineRule="exact"/>
        <w:rPr>
          <w:sz w:val="20"/>
          <w:szCs w:val="20"/>
          <w:color w:val="auto"/>
        </w:rPr>
      </w:pPr>
      <w:r>
        <w:rPr>
          <w:rFonts w:ascii="Times New Roman" w:cs="Times New Roman" w:eastAsia="Times New Roman" w:hAnsi="Times New Roman"/>
          <w:sz w:val="17"/>
          <w:szCs w:val="17"/>
          <w:color w:val="auto"/>
        </w:rPr>
        <w:t>The French Finance Act for 2026 introduced a tax on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business assets held by patrimonial holding companies that (i) have their registered office in France and are subject to corporate income tax, or (ii) have their</w:t>
      </w:r>
    </w:p>
    <w:p>
      <w:pPr>
        <w:spacing w:after="0" w:line="2" w:lineRule="exact"/>
        <w:rPr>
          <w:sz w:val="20"/>
          <w:szCs w:val="20"/>
          <w:color w:val="auto"/>
        </w:rPr>
      </w:pPr>
    </w:p>
    <w:p>
      <w:pPr>
        <w:jc w:val="both"/>
        <w:ind w:left="300" w:right="479"/>
        <w:spacing w:after="0" w:line="218" w:lineRule="auto"/>
        <w:rPr>
          <w:sz w:val="20"/>
          <w:szCs w:val="20"/>
          <w:color w:val="auto"/>
        </w:rPr>
      </w:pPr>
      <w:r>
        <w:rPr>
          <w:rFonts w:ascii="Times New Roman" w:cs="Times New Roman" w:eastAsia="Times New Roman" w:hAnsi="Times New Roman"/>
          <w:sz w:val="18"/>
          <w:szCs w:val="18"/>
          <w:color w:val="auto"/>
        </w:rPr>
        <w:t>registered office outside France and are either subject to a tax equivalent to corporate income tax or are companies limited by shares. The tax base is the sum of the fair market values of certain expressly enumerated assets held by the company as of the close of the fiscal year for which the tax is due.</w:t>
      </w:r>
    </w:p>
    <w:p>
      <w:pPr>
        <w:spacing w:after="0" w:line="64" w:lineRule="exact"/>
        <w:rPr>
          <w:sz w:val="20"/>
          <w:szCs w:val="20"/>
          <w:color w:val="auto"/>
        </w:rPr>
      </w:pPr>
    </w:p>
    <w:p>
      <w:pPr>
        <w:ind w:left="300" w:right="439" w:firstLine="441"/>
        <w:spacing w:after="0" w:line="237" w:lineRule="auto"/>
        <w:rPr>
          <w:sz w:val="20"/>
          <w:szCs w:val="20"/>
          <w:color w:val="auto"/>
        </w:rPr>
      </w:pPr>
      <w:r>
        <w:rPr>
          <w:rFonts w:ascii="Times New Roman" w:cs="Times New Roman" w:eastAsia="Times New Roman" w:hAnsi="Times New Roman"/>
          <w:sz w:val="18"/>
          <w:szCs w:val="18"/>
          <w:color w:val="auto"/>
        </w:rPr>
        <w:t>U.S. Holders are advised to consult their own tax advisor regarding the specific tax consequences which may apply to their situation with respect to such tax on patrimonial holding companies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Dividends paid by a French corporation, when their beneficial owners are not French tax residents, are</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State or territory, as defined in Article 238-0 A of the FTC, other than those states or territories mentioned in 2° of 2 bis of the same Article 238-0 A will generally be subject to French withholding tax at a rate of 75%. However, eligible U.S. Holders entitled to Treaty benefits under the “Limitation on Benefits” provision contained in the Treaty</w:t>
      </w:r>
    </w:p>
    <w:p>
      <w:pPr>
        <w:spacing w:after="0" w:line="2" w:lineRule="exact"/>
        <w:rPr>
          <w:sz w:val="20"/>
          <w:szCs w:val="20"/>
          <w:color w:val="auto"/>
        </w:rPr>
      </w:pP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who are U.S. residents, as defined pursuant to the provisions of the Treaty, will not be subject to this 12.8%, 25% or 75% withholding tax rate, but may be subject to the withholding tax at a reduced rate (as described below).</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Under the Treaty, the rate of French withholding tax on dividends paid to an eligible U.S. Holder who is a</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U.S. resident as defined pursuant to the provisions of the Treaty and the beneficial owner of these dividends, and whose ownership of the ordinary shares (which may be in the form of ADSs) is not effectively connected with a permanent establishment or fixed base that such U.S. Holder has in France, is generally reduced to 15%, or to 5% if</w:t>
      </w:r>
    </w:p>
    <w:p>
      <w:pPr>
        <w:spacing w:after="0" w:line="2" w:lineRule="exact"/>
        <w:rPr>
          <w:sz w:val="20"/>
          <w:szCs w:val="20"/>
          <w:color w:val="auto"/>
        </w:rPr>
      </w:pPr>
    </w:p>
    <w:p>
      <w:pPr>
        <w:jc w:val="both"/>
        <w:ind w:left="300" w:right="379"/>
        <w:spacing w:after="0" w:line="218" w:lineRule="auto"/>
        <w:rPr>
          <w:sz w:val="20"/>
          <w:szCs w:val="20"/>
          <w:color w:val="auto"/>
        </w:rPr>
      </w:pPr>
      <w:r>
        <w:rPr>
          <w:rFonts w:ascii="Times New Roman" w:cs="Times New Roman" w:eastAsia="Times New Roman" w:hAnsi="Times New Roman"/>
          <w:sz w:val="18"/>
          <w:szCs w:val="18"/>
          <w:color w:val="auto"/>
        </w:rPr>
        <w:t>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64" w:lineRule="exact"/>
        <w:rPr>
          <w:sz w:val="20"/>
          <w:szCs w:val="20"/>
          <w:color w:val="auto"/>
        </w:rPr>
      </w:pPr>
    </w:p>
    <w:p>
      <w:pPr>
        <w:jc w:val="both"/>
        <w:ind w:left="300" w:right="539" w:firstLine="441"/>
        <w:spacing w:after="0" w:line="229" w:lineRule="auto"/>
        <w:rPr>
          <w:sz w:val="20"/>
          <w:szCs w:val="20"/>
          <w:color w:val="auto"/>
        </w:rPr>
      </w:pPr>
      <w:r>
        <w:rPr>
          <w:rFonts w:ascii="Times New Roman" w:cs="Times New Roman" w:eastAsia="Times New Roman" w:hAnsi="Times New Roman"/>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complicated, and certain technical changes</w:t>
      </w:r>
    </w:p>
    <w:p>
      <w:pPr>
        <w:ind w:left="300" w:right="379"/>
        <w:spacing w:after="0" w:line="226" w:lineRule="auto"/>
        <w:rPr>
          <w:sz w:val="20"/>
          <w:szCs w:val="20"/>
          <w:color w:val="auto"/>
        </w:rPr>
      </w:pPr>
      <w:r>
        <w:rPr>
          <w:rFonts w:ascii="Times New Roman" w:cs="Times New Roman" w:eastAsia="Times New Roman" w:hAnsi="Times New Roman"/>
          <w:sz w:val="18"/>
          <w:szCs w:val="18"/>
          <w:color w:val="auto"/>
        </w:rPr>
        <w:t>were made to these requirements by the protocol of January 13, 2009. U.S. Holders are advised to consult their own tax advisers regarding their eligibility for Treaty benefits in light of their own particular circumstances.</w:t>
      </w:r>
    </w:p>
    <w:p>
      <w:pPr>
        <w:spacing w:after="0" w:line="49" w:lineRule="exact"/>
        <w:rPr>
          <w:sz w:val="20"/>
          <w:szCs w:val="20"/>
          <w:color w:val="auto"/>
        </w:rPr>
      </w:pPr>
    </w:p>
    <w:p>
      <w:pPr>
        <w:ind w:left="300" w:right="739" w:firstLine="441"/>
        <w:spacing w:after="0" w:line="250" w:lineRule="auto"/>
        <w:rPr>
          <w:sz w:val="20"/>
          <w:szCs w:val="20"/>
          <w:color w:val="auto"/>
        </w:rPr>
      </w:pPr>
      <w:r>
        <w:rPr>
          <w:rFonts w:ascii="Times New Roman" w:cs="Times New Roman" w:eastAsia="Times New Roman" w:hAnsi="Times New Roman"/>
          <w:sz w:val="18"/>
          <w:szCs w:val="18"/>
          <w:color w:val="auto"/>
        </w:rPr>
        <w:t>Dividends paid to an eligible U.S. Holder may immediately be subject to the reduced rates of 5% or 15% provided that:</w:t>
      </w:r>
    </w:p>
    <w:p>
      <w:pPr>
        <w:spacing w:after="0" w:line="41" w:lineRule="exact"/>
        <w:rPr>
          <w:sz w:val="20"/>
          <w:szCs w:val="20"/>
          <w:color w:val="auto"/>
        </w:rPr>
      </w:pPr>
    </w:p>
    <w:p>
      <w:pPr>
        <w:ind w:left="1280" w:right="579" w:hanging="328"/>
        <w:spacing w:after="0" w:line="231"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establishes before the date of payment that it is a U.S. resident under the Treaty by completing and providing the depositary with a treaty form (Form 5000) in accordance with French guidelines (BOI-INT-DG-20-20-20-20-12/09/2012); or</w:t>
      </w:r>
    </w:p>
    <w:p>
      <w:pPr>
        <w:spacing w:after="0" w:line="50" w:lineRule="exact"/>
        <w:rPr>
          <w:rFonts w:ascii="Times New Roman" w:cs="Times New Roman" w:eastAsia="Times New Roman" w:hAnsi="Times New Roman"/>
          <w:sz w:val="18"/>
          <w:szCs w:val="18"/>
          <w:color w:val="auto"/>
        </w:rPr>
      </w:pPr>
    </w:p>
    <w:p>
      <w:pPr>
        <w:ind w:left="1280" w:right="359" w:hanging="328"/>
        <w:spacing w:after="0" w:line="220"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other financial institution managing the securities account in the U.S. of such U.S. Holder provides the French paying agent with a document listing certain information about the U.S. Holder and its ordinary shares or ADSs and a certificate (BOI-LETTRE-000138-28/07/2014) whereby the financial institution managing the U.S. Holder’s securities account in the United States takes full responsibility for the accuracy of the information provided in the document.</w:t>
      </w:r>
    </w:p>
    <w:p>
      <w:pPr>
        <w:spacing w:after="0" w:line="64" w:lineRule="exact"/>
        <w:rPr>
          <w:sz w:val="20"/>
          <w:szCs w:val="20"/>
          <w:color w:val="auto"/>
        </w:rPr>
      </w:pPr>
    </w:p>
    <w:p>
      <w:pPr>
        <w:ind w:left="300" w:right="359" w:firstLine="441"/>
        <w:spacing w:after="0" w:line="216" w:lineRule="auto"/>
        <w:rPr>
          <w:sz w:val="20"/>
          <w:szCs w:val="20"/>
          <w:color w:val="auto"/>
        </w:rPr>
      </w:pPr>
      <w:r>
        <w:rPr>
          <w:rFonts w:ascii="Times New Roman" w:cs="Times New Roman" w:eastAsia="Times New Roman" w:hAnsi="Times New Roman"/>
          <w:sz w:val="18"/>
          <w:szCs w:val="18"/>
          <w:color w:val="auto"/>
        </w:rPr>
        <w:t>Otherwise, dividends paid to a U.S. Holder, if such U.S. Holder is a legal person, will be subject to French withholding tax at the rate of 25%, or 75% if paid in a non-cooperative State or territory (as defined in Article 238-0 A of the FTC, but other than those states or territories mentioned in 2° of 2 bis of the same Article 238-0 A), and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then reduced at a later date to 5% or 15%, provided that such holder duly completes and provides the French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442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1611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39"/>
        <w:spacing w:after="0" w:line="236" w:lineRule="auto"/>
        <w:rPr>
          <w:sz w:val="20"/>
          <w:szCs w:val="20"/>
          <w:color w:val="auto"/>
        </w:rPr>
      </w:pPr>
      <w:r>
        <w:rPr>
          <w:rFonts w:ascii="Times New Roman" w:cs="Times New Roman" w:eastAsia="Times New Roman" w:hAnsi="Times New Roman"/>
          <w:sz w:val="17"/>
          <w:szCs w:val="17"/>
          <w:color w:val="auto"/>
        </w:rPr>
        <w:t>authorities with the treaty forms Form 5000 and Form 5001 before December 31 of the year following the year during which the dividend is paid (due to recent case law regarding the statute of limitation for filing a withholding</w:t>
      </w:r>
    </w:p>
    <w:p>
      <w:pPr>
        <w:ind w:left="300"/>
        <w:spacing w:after="0"/>
        <w:rPr>
          <w:sz w:val="20"/>
          <w:szCs w:val="20"/>
          <w:color w:val="auto"/>
        </w:rPr>
      </w:pPr>
      <w:r>
        <w:rPr>
          <w:rFonts w:ascii="Times New Roman" w:cs="Times New Roman" w:eastAsia="Times New Roman" w:hAnsi="Times New Roman"/>
          <w:sz w:val="18"/>
          <w:szCs w:val="18"/>
          <w:color w:val="auto"/>
        </w:rPr>
        <w:t>tax claim: U.S. Holders are advised to consult their own tax advisor in this respect).</w:t>
      </w:r>
    </w:p>
    <w:p>
      <w:pPr>
        <w:spacing w:after="0" w:line="57"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Certain qualifying pension funds and certain other tax-exempt entities are subject to the same general filing requirements as other U.S. Holders except that they may have to supply additional documentation evidencing their</w:t>
      </w:r>
    </w:p>
    <w:p>
      <w:pPr>
        <w:ind w:left="300"/>
        <w:spacing w:after="0"/>
        <w:rPr>
          <w:sz w:val="20"/>
          <w:szCs w:val="20"/>
          <w:color w:val="auto"/>
        </w:rPr>
      </w:pPr>
      <w:r>
        <w:rPr>
          <w:rFonts w:ascii="Times New Roman" w:cs="Times New Roman" w:eastAsia="Times New Roman" w:hAnsi="Times New Roman"/>
          <w:sz w:val="18"/>
          <w:szCs w:val="18"/>
          <w:color w:val="auto"/>
        </w:rPr>
        <w:t>entitlement to these benefits.</w:t>
      </w:r>
    </w:p>
    <w:p>
      <w:pPr>
        <w:spacing w:after="0" w:line="57" w:lineRule="exact"/>
        <w:rPr>
          <w:sz w:val="20"/>
          <w:szCs w:val="20"/>
          <w:color w:val="auto"/>
        </w:rPr>
      </w:pPr>
    </w:p>
    <w:p>
      <w:pPr>
        <w:ind w:left="300" w:right="339" w:firstLine="441"/>
        <w:spacing w:after="0" w:line="236" w:lineRule="auto"/>
        <w:rPr>
          <w:sz w:val="20"/>
          <w:szCs w:val="20"/>
          <w:color w:val="auto"/>
        </w:rPr>
      </w:pPr>
      <w:r>
        <w:rPr>
          <w:rFonts w:ascii="Times New Roman" w:cs="Times New Roman" w:eastAsia="Times New Roman" w:hAnsi="Times New Roman"/>
          <w:sz w:val="17"/>
          <w:szCs w:val="17"/>
          <w:color w:val="auto"/>
        </w:rPr>
        <w:t>Since the withholding tax rate applicable under French domestic law to U.S. Holders who are individuals does not exceed the cap provided in the Treaty (i.e., 15%), the 12.8% rate shall apply, without any reduction provided</w:t>
      </w:r>
    </w:p>
    <w:p>
      <w:pPr>
        <w:ind w:left="300"/>
        <w:spacing w:after="0"/>
        <w:rPr>
          <w:sz w:val="20"/>
          <w:szCs w:val="20"/>
          <w:color w:val="auto"/>
        </w:rPr>
      </w:pPr>
      <w:r>
        <w:rPr>
          <w:rFonts w:ascii="Times New Roman" w:cs="Times New Roman" w:eastAsia="Times New Roman" w:hAnsi="Times New Roman"/>
          <w:sz w:val="18"/>
          <w:szCs w:val="18"/>
          <w:color w:val="auto"/>
        </w:rPr>
        <w:t>under the Treaty.</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Besides, please note that pursuant to Article 235 </w:t>
      </w:r>
      <w:r>
        <w:rPr>
          <w:rFonts w:ascii="Times New Roman" w:cs="Times New Roman" w:eastAsia="Times New Roman" w:hAnsi="Times New Roman"/>
          <w:sz w:val="18"/>
          <w:szCs w:val="18"/>
          <w:i w:val="1"/>
          <w:iCs w:val="1"/>
          <w:color w:val="auto"/>
        </w:rPr>
        <w:t>quater</w:t>
      </w:r>
      <w:r>
        <w:rPr>
          <w:rFonts w:ascii="Times New Roman" w:cs="Times New Roman" w:eastAsia="Times New Roman" w:hAnsi="Times New Roman"/>
          <w:sz w:val="18"/>
          <w:szCs w:val="18"/>
          <w:color w:val="auto"/>
        </w:rPr>
        <w:t xml:space="preserve"> of the FTC (introduced by the French finance bill</w:t>
      </w:r>
    </w:p>
    <w:p>
      <w:pPr>
        <w:ind w:left="300"/>
        <w:spacing w:after="0" w:line="219" w:lineRule="auto"/>
        <w:rPr>
          <w:sz w:val="20"/>
          <w:szCs w:val="20"/>
          <w:color w:val="auto"/>
        </w:rPr>
      </w:pPr>
      <w:r>
        <w:rPr>
          <w:rFonts w:ascii="Times New Roman" w:cs="Times New Roman" w:eastAsia="Times New Roman" w:hAnsi="Times New Roman"/>
          <w:sz w:val="18"/>
          <w:szCs w:val="18"/>
          <w:color w:val="auto"/>
        </w:rPr>
        <w:t>No. 2019-1479 for 2020) and under certain conditions, a corporate U.S. Holder which is in a tax loss position for the</w:t>
      </w:r>
    </w:p>
    <w:p>
      <w:pPr>
        <w:ind w:left="300"/>
        <w:spacing w:after="0"/>
        <w:rPr>
          <w:sz w:val="20"/>
          <w:szCs w:val="20"/>
          <w:color w:val="auto"/>
        </w:rPr>
      </w:pPr>
      <w:r>
        <w:rPr>
          <w:rFonts w:ascii="Times New Roman" w:cs="Times New Roman" w:eastAsia="Times New Roman" w:hAnsi="Times New Roman"/>
          <w:sz w:val="18"/>
          <w:szCs w:val="18"/>
          <w:color w:val="auto"/>
        </w:rPr>
        <w:t>fiscal year during which the dividend is received may be entitled to a deferral regime, and obtain a withholding tax</w:t>
      </w:r>
    </w:p>
    <w:p>
      <w:pPr>
        <w:sectPr>
          <w:pgSz w:w="11900" w:h="16870" w:orient="portrait"/>
          <w:cols w:equalWidth="0" w:num="1">
            <w:col w:w="9019"/>
          </w:cols>
          <w:pgMar w:left="1440" w:top="105" w:right="1440" w:bottom="0" w:gutter="0" w:footer="0" w:header="0"/>
        </w:sectPr>
      </w:pPr>
    </w:p>
    <w:bookmarkStart w:id="122" w:name="page123"/>
    <w:bookmarkEnd w:id="122"/>
    <w:p>
      <w:pPr>
        <w:jc w:val="both"/>
        <w:ind w:left="300" w:right="319"/>
        <w:spacing w:after="0" w:line="194" w:lineRule="auto"/>
        <w:rPr>
          <w:sz w:val="20"/>
          <w:szCs w:val="20"/>
          <w:color w:val="auto"/>
        </w:rPr>
      </w:pPr>
      <w:r>
        <w:rPr>
          <w:rFonts w:ascii="Times New Roman" w:cs="Times New Roman" w:eastAsia="Times New Roman" w:hAnsi="Times New Roman"/>
          <w:sz w:val="17"/>
          <w:szCs w:val="17"/>
          <w:color w:val="auto"/>
        </w:rPr>
        <w:t xml:space="preserve">refund. The tax deferral ends in respect of the first financial year during which this U.S. Holder is in a profit making position, as well as in the cases set out in Article 235 </w:t>
      </w:r>
      <w:r>
        <w:rPr>
          <w:rFonts w:ascii="Times New Roman" w:cs="Times New Roman" w:eastAsia="Times New Roman" w:hAnsi="Times New Roman"/>
          <w:sz w:val="17"/>
          <w:szCs w:val="17"/>
          <w:i w:val="1"/>
          <w:iCs w:val="1"/>
          <w:color w:val="auto"/>
        </w:rPr>
        <w:t>quater</w:t>
      </w:r>
      <w:r>
        <w:rPr>
          <w:rFonts w:ascii="Times New Roman" w:cs="Times New Roman" w:eastAsia="Times New Roman" w:hAnsi="Times New Roman"/>
          <w:sz w:val="17"/>
          <w:szCs w:val="17"/>
          <w:color w:val="auto"/>
        </w:rPr>
        <w:t xml:space="preserve"> of the FTC. Finance Bill for 2022 extended the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-179705</wp:posOffset>
            </wp:positionV>
            <wp:extent cx="7016115" cy="6619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16115" cy="6619875"/>
                    </a:xfrm>
                    <a:prstGeom prst="rect">
                      <a:avLst/>
                    </a:prstGeom>
                    <a:noFill/>
                  </pic:spPr>
                </pic:pic>
              </a:graphicData>
            </a:graphic>
          </wp:anchor>
        </w:drawing>
      </w:r>
    </w:p>
    <w:p>
      <w:pPr>
        <w:jc w:val="both"/>
        <w:ind w:left="300" w:right="339"/>
        <w:spacing w:after="0" w:line="220" w:lineRule="auto"/>
        <w:rPr>
          <w:sz w:val="20"/>
          <w:szCs w:val="20"/>
          <w:color w:val="auto"/>
        </w:rPr>
      </w:pPr>
      <w:r>
        <w:rPr>
          <w:rFonts w:ascii="Times New Roman" w:cs="Times New Roman" w:eastAsia="Times New Roman" w:hAnsi="Times New Roman"/>
          <w:sz w:val="17"/>
          <w:szCs w:val="17"/>
          <w:color w:val="auto"/>
        </w:rPr>
        <w:t>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 Also, pursuant to newly</w:t>
      </w:r>
    </w:p>
    <w:p>
      <w:pPr>
        <w:spacing w:after="0" w:line="2" w:lineRule="exact"/>
        <w:rPr>
          <w:sz w:val="20"/>
          <w:szCs w:val="20"/>
          <w:color w:val="auto"/>
        </w:rPr>
      </w:pPr>
    </w:p>
    <w:p>
      <w:pPr>
        <w:ind w:left="300" w:right="479"/>
        <w:spacing w:after="0" w:line="208" w:lineRule="auto"/>
        <w:rPr>
          <w:sz w:val="20"/>
          <w:szCs w:val="20"/>
          <w:color w:val="auto"/>
        </w:rPr>
      </w:pPr>
      <w:r>
        <w:rPr>
          <w:rFonts w:ascii="Times New Roman" w:cs="Times New Roman" w:eastAsia="Times New Roman" w:hAnsi="Times New Roman"/>
          <w:sz w:val="18"/>
          <w:szCs w:val="18"/>
          <w:color w:val="auto"/>
        </w:rPr>
        <w:t xml:space="preserve">introduced Article 235 </w:t>
      </w:r>
      <w:r>
        <w:rPr>
          <w:rFonts w:ascii="Times New Roman" w:cs="Times New Roman" w:eastAsia="Times New Roman" w:hAnsi="Times New Roman"/>
          <w:sz w:val="18"/>
          <w:szCs w:val="18"/>
          <w:i w:val="1"/>
          <w:iCs w:val="1"/>
          <w:color w:val="auto"/>
        </w:rPr>
        <w:t>quinquies</w:t>
      </w:r>
      <w:r>
        <w:rPr>
          <w:rFonts w:ascii="Times New Roman" w:cs="Times New Roman" w:eastAsia="Times New Roman" w:hAnsi="Times New Roman"/>
          <w:sz w:val="18"/>
          <w:szCs w:val="18"/>
          <w:color w:val="auto"/>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w:t>
      </w:r>
    </w:p>
    <w:p>
      <w:pPr>
        <w:spacing w:after="0" w:line="2" w:lineRule="exact"/>
        <w:rPr>
          <w:sz w:val="20"/>
          <w:szCs w:val="20"/>
          <w:color w:val="auto"/>
        </w:rPr>
      </w:pP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on Sale or Other Disposition</w:t>
      </w:r>
    </w:p>
    <w:p>
      <w:pPr>
        <w:spacing w:after="0" w:line="81" w:lineRule="exact"/>
        <w:rPr>
          <w:sz w:val="20"/>
          <w:szCs w:val="20"/>
          <w:color w:val="auto"/>
        </w:rPr>
      </w:pPr>
    </w:p>
    <w:p>
      <w:pPr>
        <w:ind w:left="300" w:right="719" w:firstLine="441"/>
        <w:spacing w:after="0" w:line="236" w:lineRule="auto"/>
        <w:rPr>
          <w:sz w:val="20"/>
          <w:szCs w:val="20"/>
          <w:color w:val="auto"/>
        </w:rPr>
      </w:pPr>
      <w:r>
        <w:rPr>
          <w:rFonts w:ascii="Times New Roman" w:cs="Times New Roman" w:eastAsia="Times New Roman" w:hAnsi="Times New Roman"/>
          <w:sz w:val="17"/>
          <w:szCs w:val="17"/>
          <w:color w:val="auto"/>
        </w:rPr>
        <w:t>In general, under the Treaty, a U.S. Holder who is a U.S. resident for purposes of the Treaty will not be subject to French tax on any capital gain from the redemption (other than redemption proceeds characterized as</w:t>
      </w:r>
    </w:p>
    <w:p>
      <w:pPr>
        <w:ind w:left="300" w:right="459"/>
        <w:spacing w:after="0" w:line="239" w:lineRule="auto"/>
        <w:rPr>
          <w:sz w:val="20"/>
          <w:szCs w:val="20"/>
          <w:color w:val="auto"/>
        </w:rPr>
      </w:pPr>
      <w:r>
        <w:rPr>
          <w:rFonts w:ascii="Times New Roman" w:cs="Times New Roman" w:eastAsia="Times New Roman" w:hAnsi="Times New Roman"/>
          <w:sz w:val="17"/>
          <w:szCs w:val="17"/>
          <w:color w:val="auto"/>
        </w:rPr>
        <w:t>dividends under French domestic tax law or administrative guidelines), sale or exchange of ADSs unless the ADSs form part of the business property of a permanent establishment or fixed base that the U.S. Holder has in France.</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Special rules apply to U.S. Holders who are residents of more than one country.</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81" w:lineRule="exact"/>
        <w:rPr>
          <w:sz w:val="20"/>
          <w:szCs w:val="20"/>
          <w:color w:val="auto"/>
        </w:rPr>
      </w:pPr>
    </w:p>
    <w:p>
      <w:pPr>
        <w:ind w:left="300" w:right="599" w:firstLine="441"/>
        <w:spacing w:after="0" w:line="236" w:lineRule="auto"/>
        <w:rPr>
          <w:sz w:val="20"/>
          <w:szCs w:val="20"/>
          <w:color w:val="auto"/>
        </w:rPr>
      </w:pPr>
      <w:r>
        <w:rPr>
          <w:rFonts w:ascii="Times New Roman" w:cs="Times New Roman" w:eastAsia="Times New Roman" w:hAnsi="Times New Roman"/>
          <w:sz w:val="17"/>
          <w:szCs w:val="17"/>
          <w:color w:val="auto"/>
        </w:rPr>
        <w:t>The following is a description of the material U.S. federal income tax consequences to the U.S. Holders described below of acquiring, owning and disposing of the ADSs. It is not a comprehensive description of all tax</w:t>
      </w:r>
    </w:p>
    <w:p>
      <w:pPr>
        <w:jc w:val="both"/>
        <w:ind w:left="300" w:right="559"/>
        <w:spacing w:after="0" w:line="208" w:lineRule="auto"/>
        <w:rPr>
          <w:sz w:val="20"/>
          <w:szCs w:val="20"/>
          <w:color w:val="auto"/>
        </w:rPr>
      </w:pPr>
      <w:r>
        <w:rPr>
          <w:rFonts w:ascii="Times New Roman" w:cs="Times New Roman" w:eastAsia="Times New Roman" w:hAnsi="Times New Roman"/>
          <w:sz w:val="18"/>
          <w:szCs w:val="18"/>
          <w:color w:val="auto"/>
        </w:rPr>
        <w:t>considerations that may be relevant to a particular person’s decision to acquire securities. This discussion applies only to a U.S. Holder that holds ADSs as “capital assets” (generally, property held for investment) under the U.S. Internal Revenue Code of 1986, as amended (the “Code”). In addition, it does not describe all of the tax</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considerations that may be relevant in light of a U.S. Holder’s particular circumstances, including U.S. federal estate and gift taxes, the Medicare contribution tax on net investment income, the alternative minimum tax provisions of the Code, the special tax accounting rules under Section 451(b) of the Code, any state, local, or non-U.S. tax</w:t>
      </w:r>
    </w:p>
    <w:p>
      <w:pPr>
        <w:spacing w:after="0" w:line="2" w:lineRule="exact"/>
        <w:rPr>
          <w:sz w:val="20"/>
          <w:szCs w:val="20"/>
          <w:color w:val="auto"/>
        </w:rPr>
      </w:pPr>
    </w:p>
    <w:p>
      <w:pPr>
        <w:ind w:left="300" w:right="959"/>
        <w:spacing w:after="0" w:line="226" w:lineRule="auto"/>
        <w:rPr>
          <w:sz w:val="20"/>
          <w:szCs w:val="20"/>
          <w:color w:val="auto"/>
        </w:rPr>
      </w:pPr>
      <w:r>
        <w:rPr>
          <w:rFonts w:ascii="Times New Roman" w:cs="Times New Roman" w:eastAsia="Times New Roman" w:hAnsi="Times New Roman"/>
          <w:sz w:val="18"/>
          <w:szCs w:val="18"/>
          <w:color w:val="auto"/>
        </w:rPr>
        <w:t>considerations, and tax considerations applicable to U.S. Holders subject to special rules, including, without limitation:</w:t>
      </w:r>
    </w:p>
    <w:p>
      <w:pPr>
        <w:spacing w:after="0" w:line="49" w:lineRule="exact"/>
        <w:rPr>
          <w:sz w:val="20"/>
          <w:szCs w:val="20"/>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use a mark-to-market method of tax accounting;</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76" w:lineRule="exact"/>
        <w:rPr>
          <w:rFonts w:ascii="Times New Roman" w:cs="Times New Roman" w:eastAsia="Times New Roman" w:hAnsi="Times New Roman"/>
          <w:sz w:val="18"/>
          <w:szCs w:val="18"/>
          <w:color w:val="auto"/>
        </w:rPr>
      </w:pPr>
    </w:p>
    <w:p>
      <w:pPr>
        <w:ind w:left="1280" w:right="299" w:hanging="328"/>
        <w:spacing w:after="0" w:line="237" w:lineRule="auto"/>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as part of a hedging transaction, “straddle,” wash sale, conversion transaction or integrated transaction or persons entering into a constructive sale with respect to the ADSs;</w:t>
      </w:r>
    </w:p>
    <w:p>
      <w:pPr>
        <w:spacing w:after="0" w:line="5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grantor trusts or other trusts;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90"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of the United States;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entities, including “individual retirement accounts” and “Roth IRAs”;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8138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16115" cy="381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right="859" w:hanging="328"/>
        <w:spacing w:after="0" w:line="237" w:lineRule="auto"/>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investors therein);</w:t>
      </w:r>
    </w:p>
    <w:p>
      <w:pPr>
        <w:spacing w:after="0" w:line="63"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ADSs as compensation for the performance of services;</w:t>
      </w:r>
    </w:p>
    <w:p>
      <w:pPr>
        <w:spacing w:after="0" w:line="76" w:lineRule="exact"/>
        <w:rPr>
          <w:rFonts w:ascii="Times New Roman" w:cs="Times New Roman" w:eastAsia="Times New Roman" w:hAnsi="Times New Roman"/>
          <w:sz w:val="18"/>
          <w:szCs w:val="18"/>
          <w:color w:val="auto"/>
        </w:rPr>
      </w:pPr>
    </w:p>
    <w:p>
      <w:pPr>
        <w:ind w:left="1280" w:hanging="328"/>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 and</w:t>
      </w:r>
    </w:p>
    <w:p>
      <w:pPr>
        <w:spacing w:after="0" w:line="76" w:lineRule="exact"/>
        <w:rPr>
          <w:rFonts w:ascii="Times New Roman" w:cs="Times New Roman" w:eastAsia="Times New Roman" w:hAnsi="Times New Roman"/>
          <w:sz w:val="18"/>
          <w:szCs w:val="18"/>
          <w:color w:val="auto"/>
        </w:rPr>
      </w:pPr>
    </w:p>
    <w:p>
      <w:pPr>
        <w:ind w:left="1280" w:right="459" w:hanging="328"/>
        <w:spacing w:after="0" w:line="250" w:lineRule="auto"/>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in connection with a trade or business, permanent establishment, or fixed base outside the United States.</w:t>
      </w:r>
    </w:p>
    <w:p>
      <w:pPr>
        <w:spacing w:after="0" w:line="41"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If an entity or arrangement that is classified as a partnership for U.S. federal income tax purposes holds the ADSs, the U.S. federal income tax treatment of a partner in that partnership will generally depend on the status of</w:t>
      </w:r>
    </w:p>
    <w:p>
      <w:pPr>
        <w:jc w:val="both"/>
        <w:ind w:left="300" w:right="379"/>
        <w:spacing w:after="0" w:line="218" w:lineRule="auto"/>
        <w:rPr>
          <w:sz w:val="20"/>
          <w:szCs w:val="20"/>
          <w:color w:val="auto"/>
        </w:rPr>
      </w:pPr>
      <w:r>
        <w:rPr>
          <w:rFonts w:ascii="Times New Roman" w:cs="Times New Roman" w:eastAsia="Times New Roman" w:hAnsi="Times New Roman"/>
          <w:sz w:val="18"/>
          <w:szCs w:val="18"/>
          <w:color w:val="auto"/>
        </w:rPr>
        <w:t>the partner and the activities of the partnership. Partnerships holding the ADSs and partners in such partnerships are encouraged to consult their own tax advisers as to the particular U.S. federal income tax consequences of acquiring, owning, and disposing of the ADSs.</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This description is based on the Code, existing, proposed and temporary U.S. Treasury Regulations promulgated thereunder and administrative and judicial interpretations thereof, in each case as in effect and available on the date hereof. All of the foregoing is subject to change, which change could apply retroactively, and to differing</w:t>
      </w: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interpretations, all of which could affect the tax considerations described below. No rulings have been sought from the U.S. Internal Revenue Service (the “IRS”), regarding the matters discussed herein and there can be no assurance that the IRS will not take a contrary position concerning the tax consequences of the acquisition, ownership and</w:t>
      </w:r>
    </w:p>
    <w:p>
      <w:pPr>
        <w:spacing w:after="0" w:line="2"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disposition of the ADSs or that such a position would not be sustained. U.S. Holders should consult their own tax advisers concerning the U.S. federal, state, local and non-U.S. tax consequences of acquiring, owning, and disposing of the ADSs in their particular circumstances.</w:t>
      </w:r>
    </w:p>
    <w:p>
      <w:pPr>
        <w:spacing w:after="0" w:line="64" w:lineRule="exact"/>
        <w:rPr>
          <w:sz w:val="20"/>
          <w:szCs w:val="20"/>
          <w:color w:val="auto"/>
        </w:rPr>
      </w:pPr>
    </w:p>
    <w:p>
      <w:pPr>
        <w:ind w:left="300" w:right="339" w:firstLine="441"/>
        <w:spacing w:after="0" w:line="237" w:lineRule="auto"/>
        <w:rPr>
          <w:sz w:val="20"/>
          <w:szCs w:val="20"/>
          <w:color w:val="auto"/>
        </w:rPr>
      </w:pPr>
      <w:r>
        <w:rPr>
          <w:rFonts w:ascii="Times New Roman" w:cs="Times New Roman" w:eastAsia="Times New Roman" w:hAnsi="Times New Roman"/>
          <w:sz w:val="18"/>
          <w:szCs w:val="18"/>
          <w:color w:val="auto"/>
        </w:rPr>
        <w:t>As used for purposes of this section “—Material U.S. Federal Income Tax Considerations for U.S. Holders”, a “U.S. Holder” is a holder who, for U.S. federal income tax purposes, is a beneficial owner of the ADSs that is an</w:t>
      </w:r>
    </w:p>
    <w:p>
      <w:pPr>
        <w:sectPr>
          <w:pgSz w:w="11900" w:h="16838" w:orient="portrait"/>
          <w:cols w:equalWidth="0" w:num="1">
            <w:col w:w="9019"/>
          </w:cols>
          <w:pgMar w:left="1440" w:top="108" w:right="1440" w:bottom="0" w:gutter="0" w:footer="0" w:header="0"/>
        </w:sectPr>
      </w:pPr>
    </w:p>
    <w:bookmarkStart w:id="123" w:name="page124"/>
    <w:bookmarkEnd w:id="123"/>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initial purchaser of the ADSs sold in our initial public offering of our ADSs in the United States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5248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16115" cy="5248275"/>
                    </a:xfrm>
                    <a:prstGeom prst="rect">
                      <a:avLst/>
                    </a:prstGeom>
                    <a:noFill/>
                  </pic:spPr>
                </pic:pic>
              </a:graphicData>
            </a:graphic>
          </wp:anchor>
        </w:drawing>
      </w:r>
    </w:p>
    <w:p>
      <w:pPr>
        <w:ind w:left="1280" w:hanging="328"/>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56" w:lineRule="exact"/>
        <w:rPr>
          <w:rFonts w:ascii="Times New Roman" w:cs="Times New Roman" w:eastAsia="Times New Roman" w:hAnsi="Times New Roman"/>
          <w:sz w:val="18"/>
          <w:szCs w:val="18"/>
          <w:color w:val="auto"/>
        </w:rPr>
      </w:pPr>
    </w:p>
    <w:p>
      <w:pPr>
        <w:ind w:left="1280" w:right="419" w:hanging="328"/>
        <w:spacing w:after="0" w:line="237"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63" w:lineRule="exact"/>
        <w:rPr>
          <w:rFonts w:ascii="Times New Roman" w:cs="Times New Roman" w:eastAsia="Times New Roman" w:hAnsi="Times New Roman"/>
          <w:sz w:val="18"/>
          <w:szCs w:val="18"/>
          <w:color w:val="auto"/>
        </w:rPr>
      </w:pPr>
    </w:p>
    <w:p>
      <w:pPr>
        <w:ind w:left="1280" w:right="399" w:hanging="328"/>
        <w:spacing w:after="0" w:line="237"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eligible for inclusion in gross income for U.S. federal income tax purposes, regardless of its source; or</w:t>
      </w:r>
    </w:p>
    <w:p>
      <w:pPr>
        <w:spacing w:after="0" w:line="50" w:lineRule="exact"/>
        <w:rPr>
          <w:rFonts w:ascii="Times New Roman" w:cs="Times New Roman" w:eastAsia="Times New Roman" w:hAnsi="Times New Roman"/>
          <w:sz w:val="18"/>
          <w:szCs w:val="18"/>
          <w:color w:val="auto"/>
        </w:rPr>
      </w:pPr>
    </w:p>
    <w:p>
      <w:pPr>
        <w:ind w:left="1280" w:right="399" w:hanging="328"/>
        <w:spacing w:after="0" w:line="223"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 (as such term is defined under the Code).</w:t>
      </w:r>
    </w:p>
    <w:p>
      <w:pPr>
        <w:spacing w:after="0" w:line="51"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The discussion below assumes that the representations contained in the depositary agreement are true and that the obligations in the deposit agreement and any related agreement will be complied with in accordance with its</w:t>
      </w:r>
    </w:p>
    <w:p>
      <w:pPr>
        <w:jc w:val="both"/>
        <w:ind w:left="300" w:right="519"/>
        <w:spacing w:after="0" w:line="220" w:lineRule="auto"/>
        <w:rPr>
          <w:sz w:val="20"/>
          <w:szCs w:val="20"/>
          <w:color w:val="auto"/>
        </w:rPr>
      </w:pPr>
      <w:r>
        <w:rPr>
          <w:rFonts w:ascii="Times New Roman" w:cs="Times New Roman" w:eastAsia="Times New Roman" w:hAnsi="Times New Roman"/>
          <w:sz w:val="17"/>
          <w:szCs w:val="17"/>
          <w:color w:val="auto"/>
        </w:rPr>
        <w:t>terms. For U.S. federal income tax purposes, it is generally expected that a U.S. Holder of ADSs will be treated as the beneficial owner of the underlying ordinary shares represented by the ADSs. The remainder of this discussion assumes that a U.S. Holder of our ADSs will be treated in this manner. Accordingly, deposits or withdrawals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ADSs for ordinary shares will generally not be subject to U.S. federal income tax.</w:t>
      </w:r>
    </w:p>
    <w:p>
      <w:pPr>
        <w:spacing w:after="0" w:line="161" w:lineRule="exact"/>
        <w:rPr>
          <w:sz w:val="20"/>
          <w:szCs w:val="20"/>
          <w:color w:val="auto"/>
        </w:rPr>
      </w:pPr>
    </w:p>
    <w:p>
      <w:pPr>
        <w:jc w:val="both"/>
        <w:ind w:left="300" w:right="519" w:firstLine="441"/>
        <w:spacing w:after="0" w:line="225" w:lineRule="auto"/>
        <w:rPr>
          <w:sz w:val="20"/>
          <w:szCs w:val="20"/>
          <w:color w:val="auto"/>
        </w:rPr>
      </w:pPr>
      <w:r>
        <w:rPr>
          <w:rFonts w:ascii="Times New Roman" w:cs="Times New Roman" w:eastAsia="Times New Roman" w:hAnsi="Times New Roman"/>
          <w:sz w:val="18"/>
          <w:szCs w:val="18"/>
          <w:b w:val="1"/>
          <w:bCs w:val="1"/>
          <w:color w:val="auto"/>
        </w:rPr>
        <w:t>U.S. Holders are encouraged to consult their own tax advisers concerning the U.S. federal, state, local and foreign tax consequences of acquiring, owning and disposing of the ADSs in their particular</w:t>
      </w:r>
    </w:p>
    <w:p>
      <w:pPr>
        <w:ind w:left="300"/>
        <w:spacing w:after="0"/>
        <w:rPr>
          <w:sz w:val="20"/>
          <w:szCs w:val="20"/>
          <w:color w:val="auto"/>
        </w:rPr>
      </w:pPr>
      <w:r>
        <w:rPr>
          <w:rFonts w:ascii="Times New Roman" w:cs="Times New Roman" w:eastAsia="Times New Roman" w:hAnsi="Times New Roman"/>
          <w:sz w:val="18"/>
          <w:szCs w:val="18"/>
          <w:b w:val="1"/>
          <w:bCs w:val="1"/>
          <w:color w:val="auto"/>
        </w:rPr>
        <w:t>circumstances.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the passive foreign investment company (“PFIC”) rules described below, distributions paid on the</w:t>
      </w:r>
    </w:p>
    <w:p>
      <w:pPr>
        <w:spacing w:after="0" w:line="2" w:lineRule="exact"/>
        <w:rPr>
          <w:sz w:val="20"/>
          <w:szCs w:val="20"/>
          <w:color w:val="auto"/>
        </w:rPr>
      </w:pPr>
    </w:p>
    <w:p>
      <w:pPr>
        <w:jc w:val="both"/>
        <w:ind w:left="300" w:right="379"/>
        <w:spacing w:after="0" w:line="220" w:lineRule="auto"/>
        <w:rPr>
          <w:sz w:val="20"/>
          <w:szCs w:val="20"/>
          <w:color w:val="auto"/>
        </w:rPr>
      </w:pPr>
      <w:r>
        <w:rPr>
          <w:rFonts w:ascii="Times New Roman" w:cs="Times New Roman" w:eastAsia="Times New Roman" w:hAnsi="Times New Roman"/>
          <w:sz w:val="17"/>
          <w:szCs w:val="17"/>
          <w:color w:val="auto"/>
        </w:rPr>
        <w:t>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w:t>
      </w:r>
    </w:p>
    <w:p>
      <w:pPr>
        <w:spacing w:after="0" w:line="2" w:lineRule="exact"/>
        <w:rPr>
          <w:sz w:val="20"/>
          <w:szCs w:val="20"/>
          <w:color w:val="auto"/>
        </w:rPr>
      </w:pPr>
    </w:p>
    <w:p>
      <w:pPr>
        <w:ind w:left="300" w:right="459"/>
        <w:spacing w:after="0" w:line="231" w:lineRule="auto"/>
        <w:rPr>
          <w:sz w:val="20"/>
          <w:szCs w:val="20"/>
          <w:color w:val="auto"/>
        </w:rPr>
      </w:pPr>
      <w:r>
        <w:rPr>
          <w:rFonts w:ascii="Times New Roman" w:cs="Times New Roman" w:eastAsia="Times New Roman" w:hAnsi="Times New Roman"/>
          <w:sz w:val="17"/>
          <w:szCs w:val="17"/>
          <w:color w:val="auto"/>
        </w:rPr>
        <w:t>we are a PFIC (or treated as a PFIC with respect to the U.S. Holder) for the taxable year in which the dividend is paid or the preceding taxable year (see discussion below under “Passive Foreign Investment Company Rules”), we will not be treated as a qualified foreign corporation, and therefore the preferential capital gains tax rate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1854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16115" cy="518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959"/>
        <w:spacing w:after="0" w:line="237" w:lineRule="auto"/>
        <w:rPr>
          <w:sz w:val="20"/>
          <w:szCs w:val="20"/>
          <w:color w:val="auto"/>
        </w:rPr>
      </w:pPr>
      <w:r>
        <w:rPr>
          <w:rFonts w:ascii="Times New Roman" w:cs="Times New Roman" w:eastAsia="Times New Roman" w:hAnsi="Times New Roman"/>
          <w:sz w:val="18"/>
          <w:szCs w:val="18"/>
          <w:color w:val="auto"/>
        </w:rPr>
        <w:t>above will not apply. Each U.S. Holder is advised to consult its tax advisors regarding the availability of the preferential tax rate on dividends with regard to its particular circumstances.</w:t>
      </w:r>
    </w:p>
    <w:p>
      <w:pPr>
        <w:spacing w:after="0" w:line="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 non-U.S. corporation (other than a corporation classified as a PFIC for the taxable year in which the</w:t>
      </w:r>
    </w:p>
    <w:p>
      <w:pPr>
        <w:jc w:val="center"/>
        <w:ind w:right="159"/>
        <w:spacing w:after="0" w:line="215" w:lineRule="auto"/>
        <w:rPr>
          <w:sz w:val="20"/>
          <w:szCs w:val="20"/>
          <w:color w:val="auto"/>
        </w:rPr>
      </w:pPr>
      <w:r>
        <w:rPr>
          <w:rFonts w:ascii="Times New Roman" w:cs="Times New Roman" w:eastAsia="Times New Roman" w:hAnsi="Times New Roman"/>
          <w:sz w:val="17"/>
          <w:szCs w:val="17"/>
          <w:color w:val="auto"/>
        </w:rPr>
        <w:t>dividend is paid or the preceding taxable year) generally will be considered to be a qualified foreign corporation if:</w:t>
      </w:r>
    </w:p>
    <w:p>
      <w:pPr>
        <w:ind w:left="300" w:right="319" w:hanging="8"/>
        <w:spacing w:after="0" w:line="211" w:lineRule="auto"/>
        <w:tabs>
          <w:tab w:leader="none" w:pos="5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marked in the United States, including the Nasdaq Global Market. Therefore, subject to the discussion below under “Passive Foreign Investment Company Rules”, if the income tax treaty between France and the United States is applicable, or if the ADSs are readily tradable on an established securities market in the United States, dividends paid on the ADSs will generally be “qualified dividend income” in the hands of individual U.S. Holders, provided that certain conditions are met, including conditions relating to the holding period and the absence of certain risk reduction transactions.</w:t>
      </w:r>
    </w:p>
    <w:p>
      <w:pPr>
        <w:spacing w:after="0" w:line="71"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A U.S. Holder must include the gross amount of a dividend without reduction for amounts withheld by us in respect of French income taxes (see “Material United States Federal Income and French Tax Considerations— Certain French Considerations”), even though the U.S. Holder did not in fact receive the amount associated with the</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withheld French tax. The amount of the dividend will be treated as foreign-source dividend income to U.S. Holders and will not be eligible for the dividends-received deduction generally available to U.S. corporations under the Code. Dividends generally will be included in a U.S. Holder’s income on the date of the U.S. Holder’s receipt (or</w:t>
      </w:r>
    </w:p>
    <w:p>
      <w:pPr>
        <w:spacing w:after="0" w:line="2" w:lineRule="exact"/>
        <w:rPr>
          <w:sz w:val="20"/>
          <w:szCs w:val="20"/>
          <w:color w:val="auto"/>
        </w:rPr>
      </w:pP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deemed receipt) of the dividend. The amount of any distribution of property other than cash (excluding certain pro rata distributions of ordinary shares or ADSs or rights to acquire ordinary shares or ADSs) will be the fair market value of such property on the date of the distribution. The amount of any dividend income paid in euros will be the</w:t>
      </w:r>
    </w:p>
    <w:p>
      <w:pPr>
        <w:spacing w:after="0" w:line="2" w:lineRule="exact"/>
        <w:rPr>
          <w:sz w:val="20"/>
          <w:szCs w:val="20"/>
          <w:color w:val="auto"/>
        </w:rPr>
      </w:pPr>
    </w:p>
    <w:p>
      <w:pPr>
        <w:jc w:val="both"/>
        <w:ind w:left="300" w:right="319"/>
        <w:spacing w:after="0" w:line="220" w:lineRule="auto"/>
        <w:rPr>
          <w:sz w:val="20"/>
          <w:szCs w:val="20"/>
          <w:color w:val="auto"/>
        </w:rPr>
      </w:pPr>
      <w:r>
        <w:rPr>
          <w:rFonts w:ascii="Times New Roman" w:cs="Times New Roman" w:eastAsia="Times New Roman" w:hAnsi="Times New Roman"/>
          <w:sz w:val="17"/>
          <w:szCs w:val="17"/>
          <w:color w:val="auto"/>
        </w:rPr>
        <w:t>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w:t>
      </w:r>
    </w:p>
    <w:p>
      <w:pPr>
        <w:ind w:left="300"/>
        <w:spacing w:after="0" w:line="206" w:lineRule="auto"/>
        <w:rPr>
          <w:sz w:val="20"/>
          <w:szCs w:val="20"/>
          <w:color w:val="auto"/>
        </w:rPr>
      </w:pPr>
      <w:r>
        <w:rPr>
          <w:rFonts w:ascii="Times New Roman" w:cs="Times New Roman" w:eastAsia="Times New Roman" w:hAnsi="Times New Roman"/>
          <w:sz w:val="18"/>
          <w:szCs w:val="18"/>
          <w:color w:val="auto"/>
        </w:rPr>
        <w:t>the dividend income. A U.S. Holder may have foreign currency gain or loss if the dividend is converted into U.S.</w:t>
      </w:r>
    </w:p>
    <w:p>
      <w:pPr>
        <w:ind w:left="300"/>
        <w:spacing w:after="0"/>
        <w:rPr>
          <w:sz w:val="20"/>
          <w:szCs w:val="20"/>
          <w:color w:val="auto"/>
        </w:rPr>
      </w:pPr>
      <w:r>
        <w:rPr>
          <w:rFonts w:ascii="Times New Roman" w:cs="Times New Roman" w:eastAsia="Times New Roman" w:hAnsi="Times New Roman"/>
          <w:sz w:val="18"/>
          <w:szCs w:val="18"/>
          <w:color w:val="auto"/>
        </w:rPr>
        <w:t>dollars after the date of receipt.</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w:t>
      </w:r>
    </w:p>
    <w:p>
      <w:pPr>
        <w:spacing w:after="0" w:line="2" w:lineRule="exact"/>
        <w:rPr>
          <w:sz w:val="20"/>
          <w:szCs w:val="20"/>
          <w:color w:val="auto"/>
        </w:rPr>
      </w:pPr>
    </w:p>
    <w:p>
      <w:pPr>
        <w:jc w:val="both"/>
        <w:ind w:left="300" w:right="359"/>
        <w:spacing w:after="0" w:line="220" w:lineRule="auto"/>
        <w:rPr>
          <w:sz w:val="20"/>
          <w:szCs w:val="20"/>
          <w:color w:val="auto"/>
        </w:rPr>
      </w:pPr>
      <w:r>
        <w:rPr>
          <w:rFonts w:ascii="Times New Roman" w:cs="Times New Roman" w:eastAsia="Times New Roman" w:hAnsi="Times New Roman"/>
          <w:sz w:val="17"/>
          <w:szCs w:val="17"/>
          <w:color w:val="auto"/>
        </w:rPr>
        <w:t>circumstances, French income taxes withheld from dividends on the ADSs at a rate not exceeding the rate provided by the income tax treaty between France and the United States generally will be creditable against the U.S. Holder’s U.S. federal income tax liability. U.S. Treasury regulations may in some circumstances prohibit a U.S. Holder from</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claiming a foreign tax credit with respect to certain foreign taxes that are not creditable under applicable tax treaties.</w:t>
      </w:r>
    </w:p>
    <w:p>
      <w:pPr>
        <w:sectPr>
          <w:pgSz w:w="11900" w:h="16870" w:orient="portrait"/>
          <w:cols w:equalWidth="0" w:num="1">
            <w:col w:w="9019"/>
          </w:cols>
          <w:pgMar w:left="1440" w:top="108" w:right="1440" w:bottom="0" w:gutter="0" w:footer="0" w:header="0"/>
        </w:sectPr>
      </w:pPr>
    </w:p>
    <w:bookmarkStart w:id="124" w:name="page125"/>
    <w:bookmarkEnd w:id="124"/>
    <w:p>
      <w:pPr>
        <w:ind w:left="300" w:right="339"/>
        <w:spacing w:after="0" w:line="194" w:lineRule="auto"/>
        <w:rPr>
          <w:sz w:val="20"/>
          <w:szCs w:val="20"/>
          <w:color w:val="auto"/>
        </w:rPr>
      </w:pPr>
      <w:r>
        <w:rPr>
          <w:rFonts w:ascii="Times New Roman" w:cs="Times New Roman" w:eastAsia="Times New Roman" w:hAnsi="Times New Roman"/>
          <w:sz w:val="17"/>
          <w:szCs w:val="17"/>
          <w:color w:val="auto"/>
        </w:rPr>
        <w:t>Dividend distributions with respect to the ADSs generally will be treated as "passive category" income from sources outside the United States for purposes of determining a U.S. Holder’s U.S. foreign tax credit limitation.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-179705</wp:posOffset>
            </wp:positionV>
            <wp:extent cx="7016115" cy="38766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16115" cy="3876675"/>
                    </a:xfrm>
                    <a:prstGeom prst="rect">
                      <a:avLst/>
                    </a:prstGeom>
                    <a:noFill/>
                  </pic:spPr>
                </pic:pic>
              </a:graphicData>
            </a:graphic>
          </wp:anchor>
        </w:drawing>
      </w:r>
    </w:p>
    <w:p>
      <w:pPr>
        <w:ind w:left="300" w:right="459"/>
        <w:spacing w:after="0" w:line="220" w:lineRule="auto"/>
        <w:rPr>
          <w:sz w:val="20"/>
          <w:szCs w:val="20"/>
          <w:color w:val="auto"/>
        </w:rPr>
      </w:pPr>
      <w:r>
        <w:rPr>
          <w:rFonts w:ascii="Times New Roman" w:cs="Times New Roman" w:eastAsia="Times New Roman" w:hAnsi="Times New Roman"/>
          <w:sz w:val="17"/>
          <w:szCs w:val="17"/>
          <w:color w:val="auto"/>
        </w:rPr>
        <w:t>governing foreign tax credits are complex and U.S. Holders should consult their tax advisers regarding the creditability of foreign taxes in their particular circumstances. In lieu of claiming a foreign tax credit, U.S. Holders may, at their election, deduct foreign taxes, including any French income tax, in computing their taxable income,</w:t>
      </w:r>
    </w:p>
    <w:p>
      <w:pPr>
        <w:spacing w:after="0" w:line="2" w:lineRule="exact"/>
        <w:rPr>
          <w:sz w:val="20"/>
          <w:szCs w:val="20"/>
          <w:color w:val="auto"/>
        </w:rPr>
      </w:pPr>
    </w:p>
    <w:p>
      <w:pPr>
        <w:ind w:left="300" w:right="579"/>
        <w:spacing w:after="0" w:line="226" w:lineRule="auto"/>
        <w:rPr>
          <w:sz w:val="20"/>
          <w:szCs w:val="20"/>
          <w:color w:val="auto"/>
        </w:rPr>
      </w:pPr>
      <w:r>
        <w:rPr>
          <w:rFonts w:ascii="Times New Roman" w:cs="Times New Roman" w:eastAsia="Times New Roman" w:hAnsi="Times New Roman"/>
          <w:sz w:val="18"/>
          <w:szCs w:val="18"/>
          <w:color w:val="auto"/>
        </w:rPr>
        <w:t>subject to generally applicable limitations under U.S. law. An election to deduct foreign taxes instead of claiming foreign tax credits applies to all foreign taxes paid or accrued in the taxable year.</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ADSs</w:t>
      </w:r>
    </w:p>
    <w:p>
      <w:pPr>
        <w:spacing w:after="0" w:line="9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A U.S. Holder generally will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the PFIC rules described below, this gain or loss generally will be a capital gain or loss. The adjusted tax basis in an ADS generally will be equal to the cost of such ADS. Capital gain from the sale, exchange or other taxable disposition of ADSs of a non-corporate U.S. Holder is generally eligible for a preferential rate of taxation applicable</w:t>
      </w:r>
    </w:p>
    <w:p>
      <w:pPr>
        <w:spacing w:after="0" w:line="2" w:lineRule="exact"/>
        <w:rPr>
          <w:sz w:val="20"/>
          <w:szCs w:val="20"/>
          <w:color w:val="auto"/>
        </w:rPr>
      </w:pPr>
    </w:p>
    <w:p>
      <w:pPr>
        <w:ind w:left="300" w:right="459"/>
        <w:spacing w:after="0" w:line="208" w:lineRule="auto"/>
        <w:rPr>
          <w:sz w:val="20"/>
          <w:szCs w:val="20"/>
          <w:color w:val="auto"/>
        </w:rPr>
      </w:pPr>
      <w:r>
        <w:rPr>
          <w:rFonts w:ascii="Times New Roman" w:cs="Times New Roman" w:eastAsia="Times New Roman" w:hAnsi="Times New Roman"/>
          <w:sz w:val="18"/>
          <w:szCs w:val="18"/>
          <w:color w:val="auto"/>
        </w:rPr>
        <w:t>to capital gains, if the non-corporate U.S. Holder’s holding period determined at the time of such sale, exchange or other taxable disposition for such ADSs exceeds one year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such gain is long-term taxable gain). The deductibility of capital losses for U.S. federal income tax purposes is subject to limitations under the Code. Any</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such gain or loss that a U.S. Holder recognizes generally will be treated as U.S. source income or loss for foreign tax credit limitation purposes. The deductibility of capital losses is subject to limitations.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sales of the ADSs that are traded on an established securities market, provided the election is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5570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16115" cy="655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639"/>
        <w:spacing w:after="0" w:line="236" w:lineRule="auto"/>
        <w:rPr>
          <w:sz w:val="20"/>
          <w:szCs w:val="20"/>
          <w:color w:val="auto"/>
        </w:rPr>
      </w:pPr>
      <w:r>
        <w:rPr>
          <w:rFonts w:ascii="Times New Roman" w:cs="Times New Roman" w:eastAsia="Times New Roman" w:hAnsi="Times New Roman"/>
          <w:sz w:val="17"/>
          <w:szCs w:val="17"/>
          <w:color w:val="auto"/>
        </w:rPr>
        <w:t>consistently from year to year. Such election may not be changed without the consent of the IRS. For an accrual basis taxpayer who does not make such an election, units of foreign currency paid or received are translated into</w:t>
      </w: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81" w:lineRule="exact"/>
        <w:rPr>
          <w:sz w:val="20"/>
          <w:szCs w:val="20"/>
          <w:color w:val="auto"/>
        </w:rPr>
      </w:pPr>
    </w:p>
    <w:p>
      <w:pPr>
        <w:ind w:left="300" w:right="839" w:firstLine="441"/>
        <w:spacing w:after="0" w:line="236" w:lineRule="auto"/>
        <w:rPr>
          <w:sz w:val="20"/>
          <w:szCs w:val="20"/>
          <w:color w:val="auto"/>
        </w:rPr>
      </w:pPr>
      <w:r>
        <w:rPr>
          <w:rFonts w:ascii="Times New Roman" w:cs="Times New Roman" w:eastAsia="Times New Roman" w:hAnsi="Times New Roman"/>
          <w:sz w:val="17"/>
          <w:szCs w:val="17"/>
          <w:color w:val="auto"/>
        </w:rPr>
        <w:t>Under the Code, we will be a PFIC for any taxable year in which, after the application of certain “look-through” rules with respect to subsidiaries, either (i) 75% or more of our gross income consists of “passive</w:t>
      </w:r>
    </w:p>
    <w:p>
      <w:pPr>
        <w:jc w:val="both"/>
        <w:ind w:left="300" w:right="479"/>
        <w:spacing w:after="0" w:line="220" w:lineRule="auto"/>
        <w:rPr>
          <w:sz w:val="20"/>
          <w:szCs w:val="20"/>
          <w:color w:val="auto"/>
        </w:rPr>
      </w:pPr>
      <w:r>
        <w:rPr>
          <w:rFonts w:ascii="Times New Roman" w:cs="Times New Roman" w:eastAsia="Times New Roman" w:hAnsi="Times New Roman"/>
          <w:sz w:val="17"/>
          <w:szCs w:val="17"/>
          <w:color w:val="auto"/>
        </w:rPr>
        <w:t>income,” (“income test”) or (ii) 50% or more of the average quarterly value of our assets (generally determined on the basis of a weighted quarterly average) consist of assets that produce, or are held for the production of, “passive income.” Passive income generally includes dividends, interest, and gains from the sale or exchange of investment</w:t>
      </w:r>
    </w:p>
    <w:p>
      <w:pPr>
        <w:spacing w:after="0" w:line="2" w:lineRule="exact"/>
        <w:rPr>
          <w:sz w:val="20"/>
          <w:szCs w:val="20"/>
          <w:color w:val="auto"/>
        </w:rPr>
      </w:pPr>
    </w:p>
    <w:p>
      <w:pPr>
        <w:ind w:left="300" w:right="479"/>
        <w:spacing w:after="0" w:line="220" w:lineRule="auto"/>
        <w:rPr>
          <w:sz w:val="20"/>
          <w:szCs w:val="20"/>
          <w:color w:val="auto"/>
        </w:rPr>
      </w:pPr>
      <w:r>
        <w:rPr>
          <w:rFonts w:ascii="Times New Roman" w:cs="Times New Roman" w:eastAsia="Times New Roman" w:hAnsi="Times New Roman"/>
          <w:sz w:val="17"/>
          <w:szCs w:val="17"/>
          <w:color w:val="auto"/>
        </w:rPr>
        <w:t>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 activities</w:t>
      </w:r>
    </w:p>
    <w:p>
      <w:pPr>
        <w:spacing w:after="0" w:line="2" w:lineRule="exact"/>
        <w:rPr>
          <w:sz w:val="20"/>
          <w:szCs w:val="20"/>
          <w:color w:val="auto"/>
        </w:rPr>
      </w:pPr>
    </w:p>
    <w:p>
      <w:pPr>
        <w:ind w:left="300" w:right="559"/>
        <w:spacing w:after="0" w:line="208" w:lineRule="auto"/>
        <w:rPr>
          <w:sz w:val="20"/>
          <w:szCs w:val="20"/>
          <w:color w:val="auto"/>
        </w:rPr>
      </w:pPr>
      <w:r>
        <w:rPr>
          <w:rFonts w:ascii="Times New Roman" w:cs="Times New Roman" w:eastAsia="Times New Roman" w:hAnsi="Times New Roman"/>
          <w:sz w:val="18"/>
          <w:szCs w:val="18"/>
          <w:color w:val="auto"/>
        </w:rPr>
        <w:t>may generally be treated as non-passive assets. In addition, for purposes of the above calculations, a non-U.S. corporation that owns, directly or indirectly, at least 25% by value of the equity interests of another corporation is treated as if it held its proportionate share of the assets of the other corporation, and received directly its</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proportionate share of the income of the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years, unless certain elections are made.</w:t>
      </w:r>
    </w:p>
    <w:p>
      <w:pPr>
        <w:spacing w:after="0" w:line="57"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Based on our analysis of our financial statements, activities and relevant market and shareholder data, we do not believe that we were a PFIC for the taxable year ended December 31, 2025. The determination of whether we</w:t>
      </w: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are a PFIC is a fact-intensive determination made on an annual basis and the applicable law is subject to varying interpretation. Whether we are a PFIC for any taxable year will depend on the composition of our income and the composition, nature and value of our assets from time to time (including the value or our goodwill, which may be</w:t>
      </w:r>
    </w:p>
    <w:p>
      <w:pPr>
        <w:spacing w:after="0" w:line="2" w:lineRule="exact"/>
        <w:rPr>
          <w:sz w:val="20"/>
          <w:szCs w:val="20"/>
          <w:color w:val="auto"/>
        </w:rPr>
      </w:pP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determined by reference to the value of our ADSs, which could fluctuate considerably). We currently do not generate product revenues and therefore we may be a PFIC for any taxable year in which we do not generate sufficient amounts of non-passive income to offset our passive income. As a result, there can be no assurance that</w:t>
      </w:r>
    </w:p>
    <w:p>
      <w:pPr>
        <w:spacing w:after="0" w:line="2" w:lineRule="exact"/>
        <w:rPr>
          <w:sz w:val="20"/>
          <w:szCs w:val="20"/>
          <w:color w:val="auto"/>
        </w:rPr>
      </w:pP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would not successfully challenge our position.</w:t>
      </w:r>
    </w:p>
    <w:p>
      <w:pPr>
        <w:spacing w:after="0" w:line="57" w:lineRule="exact"/>
        <w:rPr>
          <w:sz w:val="20"/>
          <w:szCs w:val="20"/>
          <w:color w:val="auto"/>
        </w:rPr>
      </w:pPr>
    </w:p>
    <w:p>
      <w:pPr>
        <w:ind w:left="300" w:right="599" w:firstLine="441"/>
        <w:spacing w:after="0" w:line="236"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the ADSs, the U.S. Holder may be subject to adverse tax consequences, regardless of whether we remain a PFIC. Generally, gain recognized upon a</w:t>
      </w:r>
    </w:p>
    <w:p>
      <w:pPr>
        <w:ind w:left="300" w:right="559"/>
        <w:spacing w:after="0" w:line="220" w:lineRule="auto"/>
        <w:rPr>
          <w:sz w:val="20"/>
          <w:szCs w:val="20"/>
          <w:color w:val="auto"/>
        </w:rPr>
      </w:pPr>
      <w:r>
        <w:rPr>
          <w:rFonts w:ascii="Times New Roman" w:cs="Times New Roman" w:eastAsia="Times New Roman" w:hAnsi="Times New Roman"/>
          <w:sz w:val="17"/>
          <w:szCs w:val="17"/>
          <w:color w:val="auto"/>
        </w:rPr>
        <w:t>disposition (including, under certain circumstances, a pledge) of the ADSs by the U.S. Holder would be allocated ratably over the U.S. Holder’s holding period for such ADSs. The amounts allocated to the taxable year of disposition and to years before we became a PFIC (“pre-PFIC Years”) would be taxed as ordinary income. The</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amount allocated to each other taxable years would be subject to tax at the highest rate in effect for that taxable year for individuals or corporations, as appropriate, and would be subject to an interest charge on the resulting tax deemed deferred with respect to each such other taxable year. Further, to the extent that any distribution received by</w:t>
      </w:r>
    </w:p>
    <w:p>
      <w:pPr>
        <w:spacing w:after="0" w:line="2" w:lineRule="exact"/>
        <w:rPr>
          <w:sz w:val="20"/>
          <w:szCs w:val="20"/>
          <w:color w:val="auto"/>
        </w:rPr>
      </w:pPr>
    </w:p>
    <w:p>
      <w:pPr>
        <w:jc w:val="both"/>
        <w:ind w:left="300" w:right="519"/>
        <w:spacing w:after="0" w:line="220" w:lineRule="auto"/>
        <w:rPr>
          <w:sz w:val="20"/>
          <w:szCs w:val="20"/>
          <w:color w:val="auto"/>
        </w:rPr>
      </w:pPr>
      <w:r>
        <w:rPr>
          <w:rFonts w:ascii="Times New Roman" w:cs="Times New Roman" w:eastAsia="Times New Roman" w:hAnsi="Times New Roman"/>
          <w:sz w:val="17"/>
          <w:szCs w:val="17"/>
          <w:color w:val="auto"/>
        </w:rPr>
        <w:t>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disposition.</w:t>
      </w:r>
    </w:p>
    <w:p>
      <w:pPr>
        <w:sectPr>
          <w:pgSz w:w="11900" w:h="16838" w:orient="portrait"/>
          <w:cols w:equalWidth="0" w:num="1">
            <w:col w:w="9019"/>
          </w:cols>
          <w:pgMar w:left="1440" w:top="108" w:right="1440" w:bottom="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0"/>
          <w:szCs w:val="10"/>
          <w:color w:val="auto"/>
        </w:rPr>
        <w:t>HolderAlternatively,couldmake aifmarkweare-to-amarketPFIC andelectionifthethatADSswouldare result“regularlyintaxtraded”treatmeo</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0"/>
          <w:szCs w:val="10"/>
          <w:color w:val="auto"/>
        </w:rPr>
        <w:t>t adifferent“qualifiedfromexct</w:t>
      </w:r>
      <w:r>
        <w:rPr>
          <w:rFonts w:ascii="Times New Roman" w:cs="Times New Roman" w:eastAsia="Times New Roman" w:hAnsi="Times New Roman"/>
          <w:sz w:val="10"/>
          <w:szCs w:val="10"/>
          <w:b w:val="1"/>
          <w:bCs w:val="1"/>
          <w:color w:val="auto"/>
        </w:rPr>
        <w:t>h</w:t>
      </w:r>
      <w:r>
        <w:rPr>
          <w:rFonts w:ascii="Times New Roman" w:cs="Times New Roman" w:eastAsia="Times New Roman" w:hAnsi="Times New Roman"/>
          <w:sz w:val="10"/>
          <w:szCs w:val="10"/>
          <w:color w:val="auto"/>
        </w:rPr>
        <w:t>ange,”egener</w:t>
      </w:r>
      <w:r>
        <w:rPr>
          <w:rFonts w:ascii="Times New Roman" w:cs="Times New Roman" w:eastAsia="Times New Roman" w:hAnsi="Times New Roman"/>
          <w:sz w:val="10"/>
          <w:szCs w:val="10"/>
          <w:b w:val="1"/>
          <w:bCs w:val="1"/>
          <w:color w:val="auto"/>
        </w:rPr>
        <w:t>a</w:t>
      </w:r>
      <w:r>
        <w:rPr>
          <w:rFonts w:ascii="Times New Roman" w:cs="Times New Roman" w:eastAsia="Times New Roman" w:hAnsi="Times New Roman"/>
          <w:sz w:val="10"/>
          <w:szCs w:val="10"/>
          <w:color w:val="auto"/>
        </w:rPr>
        <w:t>lUtax.S.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-52070</wp:posOffset>
            </wp:positionV>
            <wp:extent cx="7016115" cy="25050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16115" cy="2505075"/>
                    </a:xfrm>
                    <a:prstGeom prst="rect">
                      <a:avLst/>
                    </a:prstGeom>
                    <a:noFill/>
                  </pic:spPr>
                </pic:pic>
              </a:graphicData>
            </a:graphic>
          </wp:anchor>
        </w:drawing>
      </w:r>
    </w:p>
    <w:p>
      <w:pPr>
        <w:spacing w:after="0" w:line="74"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 xml:space="preserve">treatment described in the preceding paragraph. The ADSs would be treated as “regularly traded” in any calendar year in which more than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quantity of the ADSs are traded on a qualified exchange, including the Nasdaq Global Market, on at least 15 days during each calendar quarter. The ADSs are listed on the Nasdaq Global Market,</w:t>
      </w:r>
    </w:p>
    <w:p>
      <w:pPr>
        <w:spacing w:after="0" w:line="2" w:lineRule="exact"/>
        <w:rPr>
          <w:sz w:val="20"/>
          <w:szCs w:val="20"/>
          <w:color w:val="auto"/>
        </w:rPr>
      </w:pPr>
    </w:p>
    <w:p>
      <w:pPr>
        <w:ind w:left="300" w:right="399"/>
        <w:spacing w:after="0" w:line="218" w:lineRule="auto"/>
        <w:rPr>
          <w:sz w:val="20"/>
          <w:szCs w:val="20"/>
          <w:color w:val="auto"/>
        </w:rPr>
      </w:pPr>
      <w:r>
        <w:rPr>
          <w:rFonts w:ascii="Times New Roman" w:cs="Times New Roman" w:eastAsia="Times New Roman" w:hAnsi="Times New Roman"/>
          <w:sz w:val="18"/>
          <w:szCs w:val="18"/>
          <w:color w:val="auto"/>
        </w:rPr>
        <w:t>and we expect, although no assurance can be given, that they will be regularly traded on the Nasdaq Global Market. U.S. Holders should consult with their own tax advisors regarding potential availability of the mark-to-market election.</w:t>
      </w:r>
    </w:p>
    <w:p>
      <w:pPr>
        <w:spacing w:after="0" w:line="64" w:lineRule="exact"/>
        <w:rPr>
          <w:sz w:val="20"/>
          <w:szCs w:val="20"/>
          <w:color w:val="auto"/>
        </w:rPr>
      </w:pPr>
    </w:p>
    <w:p>
      <w:pPr>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ADSs in a year when we are a PFIC will be treated as ordinary income and any loss will be treated as an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9286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16115" cy="792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59"/>
        <w:spacing w:after="0" w:line="236" w:lineRule="auto"/>
        <w:rPr>
          <w:sz w:val="20"/>
          <w:szCs w:val="20"/>
          <w:color w:val="auto"/>
        </w:rPr>
      </w:pPr>
      <w:r>
        <w:rPr>
          <w:rFonts w:ascii="Times New Roman" w:cs="Times New Roman" w:eastAsia="Times New Roman" w:hAnsi="Times New Roman"/>
          <w:sz w:val="17"/>
          <w:szCs w:val="17"/>
          <w:color w:val="auto"/>
        </w:rPr>
        <w:t>loss (but only to the extent of the net amount of income previously included as a result of the mark-to-market election). If a U.S. Holder makes a mark-to-market election in respect of a corporation classified as a PFIC and such</w:t>
      </w:r>
    </w:p>
    <w:p>
      <w:pPr>
        <w:ind w:left="300" w:right="659"/>
        <w:spacing w:after="0" w:line="226" w:lineRule="auto"/>
        <w:rPr>
          <w:sz w:val="20"/>
          <w:szCs w:val="20"/>
          <w:color w:val="auto"/>
        </w:rPr>
      </w:pPr>
      <w:r>
        <w:rPr>
          <w:rFonts w:ascii="Times New Roman" w:cs="Times New Roman" w:eastAsia="Times New Roman" w:hAnsi="Times New Roman"/>
          <w:sz w:val="18"/>
          <w:szCs w:val="18"/>
          <w:color w:val="auto"/>
        </w:rPr>
        <w:t>corporation ceases to be classified as a PFIC, the holder will not be required to take into account the gain or loss described above during any period that such corporation is not classified as a PFIC.</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 timely election to treat a PFIC as a qualified electing fund under Section 1295 of the Code (“QEF Election”)</w:t>
      </w:r>
    </w:p>
    <w:p>
      <w:pPr>
        <w:spacing w:after="0" w:line="14"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currently include in gross income such U.S. Holder’s (a) pro rata share of our ordinary earnings as ordinary income and (b) pro rata share of our net capital gain as long-term capital gain, regardless of whether we have made any distributions of such earnings or gain. The U.S. Holder’s basis in its ADSs would be increased to reflect the amount</w:t>
      </w:r>
    </w:p>
    <w:p>
      <w:pPr>
        <w:spacing w:after="0" w:line="2" w:lineRule="exact"/>
        <w:rPr>
          <w:sz w:val="20"/>
          <w:szCs w:val="20"/>
          <w:color w:val="auto"/>
        </w:rPr>
      </w:pPr>
    </w:p>
    <w:p>
      <w:pPr>
        <w:ind w:left="300" w:right="299"/>
        <w:spacing w:after="0" w:line="218" w:lineRule="auto"/>
        <w:rPr>
          <w:sz w:val="20"/>
          <w:szCs w:val="20"/>
          <w:color w:val="auto"/>
        </w:rPr>
      </w:pPr>
      <w:r>
        <w:rPr>
          <w:rFonts w:ascii="Times New Roman" w:cs="Times New Roman" w:eastAsia="Times New Roman" w:hAnsi="Times New Roman"/>
          <w:sz w:val="18"/>
          <w:szCs w:val="18"/>
          <w:color w:val="auto"/>
        </w:rPr>
        <w:t>of such income inclusions. Generally, for this purpose, “ordinary earnings” are the excess of our (a) “earnings and profits” over (b) net capital gain, and “net capital gain” is the excess of our (a) net long-term capital gain over (b) net short-term capital loss.</w:t>
      </w:r>
    </w:p>
    <w:p>
      <w:pPr>
        <w:spacing w:after="0" w:line="64" w:lineRule="exact"/>
        <w:rPr>
          <w:sz w:val="20"/>
          <w:szCs w:val="20"/>
          <w:color w:val="auto"/>
        </w:rPr>
      </w:pPr>
    </w:p>
    <w:p>
      <w:pPr>
        <w:ind w:left="300" w:right="519" w:firstLine="441"/>
        <w:spacing w:after="0" w:line="229" w:lineRule="auto"/>
        <w:rPr>
          <w:sz w:val="20"/>
          <w:szCs w:val="20"/>
          <w:color w:val="auto"/>
        </w:rPr>
      </w:pPr>
      <w:r>
        <w:rPr>
          <w:rFonts w:ascii="Times New Roman" w:cs="Times New Roman" w:eastAsia="Times New Roman" w:hAnsi="Times New Roman"/>
          <w:sz w:val="17"/>
          <w:szCs w:val="17"/>
          <w:color w:val="auto"/>
        </w:rPr>
        <w:t>A U.S. Holder that has made such a timely and effective QEF Election generally may receive a distribution tax-free as a return of capital to the extent that such distribution represents “earnings and profits” that were previously included in income by the U.S. Holder because of such QEF Election and such distribution will reduce</w:t>
      </w: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such U.S. holder’s adjusted tax basis in our ADSs to reflect the amount allowed as a tax free distribution because of such QEF Election. A U.S. Holder that makes a QEF Election would generally recognize capital gain or loss on the sale, exchange or other taxable disposition of its ADSs</w:t>
      </w:r>
      <w:r>
        <w:rPr>
          <w:rFonts w:ascii="Times New Roman" w:cs="Times New Roman" w:eastAsia="Times New Roman" w:hAnsi="Times New Roman"/>
          <w:sz w:val="18"/>
          <w:szCs w:val="18"/>
          <w:b w:val="1"/>
          <w:bCs w:val="1"/>
          <w:color w:val="auto"/>
        </w:rPr>
        <w:t>.</w:t>
      </w:r>
    </w:p>
    <w:p>
      <w:pPr>
        <w:spacing w:after="0" w:line="64" w:lineRule="exact"/>
        <w:rPr>
          <w:sz w:val="20"/>
          <w:szCs w:val="20"/>
          <w:color w:val="auto"/>
        </w:rPr>
      </w:pPr>
    </w:p>
    <w:p>
      <w:pPr>
        <w:ind w:left="300" w:right="339" w:firstLine="441"/>
        <w:spacing w:after="0" w:line="216" w:lineRule="auto"/>
        <w:rPr>
          <w:sz w:val="20"/>
          <w:szCs w:val="20"/>
          <w:color w:val="auto"/>
        </w:rPr>
      </w:pPr>
      <w:r>
        <w:rPr>
          <w:rFonts w:ascii="Times New Roman" w:cs="Times New Roman" w:eastAsia="Times New Roman" w:hAnsi="Times New Roman"/>
          <w:sz w:val="18"/>
          <w:szCs w:val="18"/>
          <w:color w:val="auto"/>
        </w:rPr>
        <w:t>However, a U.S. Holder will only be able to make a QEF Election if we provide such U.S. Holder with certain tax information annually, and we may determine not to provide such information. Furthermore, if the IRS determines that we were a PFIC for a year with respect to which we had determined that we were not (or believed</w:t>
      </w:r>
    </w:p>
    <w:p>
      <w:pPr>
        <w:spacing w:after="0" w:line="1"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we were not) a PFIC, it might be too late for a U.S. Holder to make a timely QEF Election, unless the U.S. Holder qualifies under the applicable Treasury Regulations to make a retroactive (late) election. U.S. Holders should consult their own tax advisors regarding the making of any such QEF Election.</w:t>
      </w:r>
    </w:p>
    <w:p>
      <w:pPr>
        <w:spacing w:after="0" w:line="64" w:lineRule="exact"/>
        <w:rPr>
          <w:sz w:val="20"/>
          <w:szCs w:val="20"/>
          <w:color w:val="auto"/>
        </w:rPr>
      </w:pPr>
    </w:p>
    <w:p>
      <w:pPr>
        <w:jc w:val="both"/>
        <w:ind w:left="300" w:right="439" w:firstLine="441"/>
        <w:spacing w:after="0" w:line="226" w:lineRule="auto"/>
        <w:rPr>
          <w:sz w:val="20"/>
          <w:szCs w:val="20"/>
          <w:color w:val="auto"/>
        </w:rPr>
      </w:pPr>
      <w:r>
        <w:rPr>
          <w:rFonts w:ascii="Times New Roman" w:cs="Times New Roman" w:eastAsia="Times New Roman" w:hAnsi="Times New Roman"/>
          <w:sz w:val="18"/>
          <w:szCs w:val="18"/>
          <w:color w:val="auto"/>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spacing w:after="0" w:line="63" w:lineRule="exact"/>
        <w:rPr>
          <w:sz w:val="20"/>
          <w:szCs w:val="20"/>
          <w:color w:val="auto"/>
        </w:rPr>
      </w:pPr>
    </w:p>
    <w:p>
      <w:pPr>
        <w:jc w:val="both"/>
        <w:ind w:left="300" w:right="519" w:firstLine="441"/>
        <w:spacing w:after="0" w:line="226" w:lineRule="auto"/>
        <w:rPr>
          <w:sz w:val="20"/>
          <w:szCs w:val="20"/>
          <w:color w:val="auto"/>
        </w:rPr>
      </w:pPr>
      <w:r>
        <w:rPr>
          <w:rFonts w:ascii="Times New Roman" w:cs="Times New Roman" w:eastAsia="Times New Roman" w:hAnsi="Times New Roman"/>
          <w:sz w:val="18"/>
          <w:szCs w:val="18"/>
          <w:color w:val="auto"/>
        </w:rPr>
        <w:t>If a U.S. Holder owns ADSs during any year in which we are a PFIC, the holder generally must file an IRS Form 8621, or such other form as is required by the U.S. Treasury Department, generally with the holder’s federal income tax return for that year.</w:t>
      </w:r>
    </w:p>
    <w:p>
      <w:pPr>
        <w:spacing w:after="0" w:line="63" w:lineRule="exact"/>
        <w:rPr>
          <w:sz w:val="20"/>
          <w:szCs w:val="20"/>
          <w:color w:val="auto"/>
        </w:rPr>
      </w:pPr>
    </w:p>
    <w:p>
      <w:pPr>
        <w:ind w:left="300" w:right="839" w:firstLine="441"/>
        <w:spacing w:after="0" w:line="237" w:lineRule="auto"/>
        <w:rPr>
          <w:sz w:val="20"/>
          <w:szCs w:val="20"/>
          <w:color w:val="auto"/>
        </w:rPr>
      </w:pPr>
      <w:r>
        <w:rPr>
          <w:rFonts w:ascii="Times New Roman" w:cs="Times New Roman" w:eastAsia="Times New Roman" w:hAnsi="Times New Roman"/>
          <w:sz w:val="18"/>
          <w:szCs w:val="18"/>
          <w:color w:val="auto"/>
        </w:rPr>
        <w:t>U.S. Holders should consult their tax advisers regarding whether we are or may become a PFIC and the potential application of the PFIC rules.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94" w:lineRule="exact"/>
        <w:rPr>
          <w:sz w:val="20"/>
          <w:szCs w:val="20"/>
          <w:color w:val="auto"/>
        </w:rPr>
      </w:pPr>
    </w:p>
    <w:p>
      <w:pPr>
        <w:ind w:left="300" w:right="519" w:firstLine="441"/>
        <w:spacing w:after="0" w:line="216" w:lineRule="auto"/>
        <w:rPr>
          <w:sz w:val="20"/>
          <w:szCs w:val="20"/>
          <w:color w:val="auto"/>
        </w:rPr>
      </w:pPr>
      <w:r>
        <w:rPr>
          <w:rFonts w:ascii="Times New Roman" w:cs="Times New Roman" w:eastAsia="Times New Roman" w:hAnsi="Times New Roman"/>
          <w:sz w:val="18"/>
          <w:szCs w:val="18"/>
          <w:color w:val="auto"/>
        </w:rPr>
        <w:t>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withholding, the U.S. Holder provides a correct taxpayer identification number and certifies that it is not subject to backup withholding.</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w:t>
      </w:r>
    </w:p>
    <w:p>
      <w:pPr>
        <w:spacing w:after="0" w:line="2" w:lineRule="exact"/>
        <w:rPr>
          <w:sz w:val="20"/>
          <w:szCs w:val="20"/>
          <w:color w:val="auto"/>
        </w:rPr>
      </w:pPr>
    </w:p>
    <w:p>
      <w:pPr>
        <w:ind w:left="300" w:right="319"/>
        <w:spacing w:after="0" w:line="226" w:lineRule="auto"/>
        <w:rPr>
          <w:sz w:val="20"/>
          <w:szCs w:val="20"/>
          <w:color w:val="auto"/>
        </w:rPr>
      </w:pPr>
      <w:r>
        <w:rPr>
          <w:rFonts w:ascii="Times New Roman" w:cs="Times New Roman" w:eastAsia="Times New Roman" w:hAnsi="Times New Roman"/>
          <w:sz w:val="18"/>
          <w:szCs w:val="18"/>
          <w:color w:val="auto"/>
        </w:rPr>
        <w:t>Holder will be allowed as a credit against the holder’s U.S. federal income tax liability and may entitle it to a refund, provided that the required information is timely furnished to the IRS.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8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Certain U.S. Holders who are individuals may be required to report information relating to their ownership of an interest in certain foreign financial assets, including stock of a non-U.S. person, generally on Form 8938, subject</w:t>
      </w: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regarding their reporting obligations with respect to the ADSs.</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w:t>
      </w:r>
    </w:p>
    <w:p>
      <w:pPr>
        <w:sectPr>
          <w:pgSz w:w="11900" w:h="16838" w:orient="portrait"/>
          <w:cols w:equalWidth="0" w:num="1">
            <w:col w:w="9019"/>
          </w:cols>
          <w:pgMar w:left="1440" w:top="108" w:right="1440" w:bottom="0" w:gutter="0" w:footer="0" w:header="0"/>
        </w:sectPr>
      </w:pPr>
    </w:p>
    <w:bookmarkStart w:id="126" w:name="page127"/>
    <w:bookmarkEnd w:id="126"/>
    <w:p>
      <w:pPr>
        <w:ind w:left="300" w:right="319"/>
        <w:spacing w:after="0" w:line="190" w:lineRule="auto"/>
        <w:rPr>
          <w:sz w:val="20"/>
          <w:szCs w:val="20"/>
          <w:color w:val="auto"/>
        </w:rPr>
      </w:pPr>
      <w:r>
        <w:rPr>
          <w:rFonts w:ascii="Times New Roman" w:cs="Times New Roman" w:eastAsia="Times New Roman" w:hAnsi="Times New Roman"/>
          <w:sz w:val="16"/>
          <w:szCs w:val="16"/>
          <w:b w:val="1"/>
          <w:bCs w:val="1"/>
          <w:color w:val="auto"/>
        </w:rPr>
        <w:t>to acquisition, ownership and disposition of the ADSs. You should consult your tax advisor concerning the tax consequences of your particular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-161290</wp:posOffset>
            </wp:positionV>
            <wp:extent cx="7016115" cy="1133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1611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40" w:hanging="324"/>
        <w:spacing w:after="0"/>
        <w:tabs>
          <w:tab w:leader="none" w:pos="9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jc w:val="both"/>
        <w:ind w:left="300" w:right="339" w:firstLine="441"/>
        <w:spacing w:after="0" w:line="22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that are applicable to foreign private issuers. Under the Exchange Act, we file annual reports on Form 20-F and other information with the SEC. We also furnish to the SEC under cover of Form 6-K material information required to be made public in France, filed with and made</w:t>
      </w: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public by any stock exchange on which we are listed or distributed by us to our shareholders. As a foreign private issuer, we are exempt from, among other things, the rules under the Exchange Act prescribing the furnishing and content of proxy statements, and our principal shareholders are exempt from the reporting provisions contained 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16 of the Exchange Act.</w:t>
      </w:r>
    </w:p>
    <w:p>
      <w:pPr>
        <w:spacing w:after="0" w:line="57" w:lineRule="exact"/>
        <w:rPr>
          <w:sz w:val="20"/>
          <w:szCs w:val="20"/>
          <w:color w:val="auto"/>
        </w:rPr>
      </w:pPr>
    </w:p>
    <w:p>
      <w:pPr>
        <w:ind w:left="300" w:right="299" w:firstLine="441"/>
        <w:spacing w:after="0" w:line="236" w:lineRule="auto"/>
        <w:rPr>
          <w:sz w:val="20"/>
          <w:szCs w:val="20"/>
          <w:color w:val="auto"/>
        </w:rPr>
      </w:pPr>
      <w:r>
        <w:rPr>
          <w:rFonts w:ascii="Times New Roman" w:cs="Times New Roman" w:eastAsia="Times New Roman" w:hAnsi="Times New Roman"/>
          <w:sz w:val="17"/>
          <w:szCs w:val="17"/>
          <w:color w:val="auto"/>
        </w:rPr>
        <w:t>We maintain a corporate website at www.abivax.com. We make available free of charge on our website our Annual Reports on Form 20-F and Current Reports on Form 6-K as soon as reasonably practicable after we file them</w:t>
      </w:r>
    </w:p>
    <w:p>
      <w:pPr>
        <w:ind w:left="300" w:right="539"/>
        <w:spacing w:after="0" w:line="218" w:lineRule="auto"/>
        <w:rPr>
          <w:sz w:val="20"/>
          <w:szCs w:val="20"/>
          <w:color w:val="auto"/>
        </w:rPr>
      </w:pPr>
      <w:r>
        <w:rPr>
          <w:rFonts w:ascii="Times New Roman" w:cs="Times New Roman" w:eastAsia="Times New Roman" w:hAnsi="Times New Roman"/>
          <w:sz w:val="18"/>
          <w:szCs w:val="18"/>
          <w:color w:val="auto"/>
        </w:rPr>
        <w:t>with the SEC. Information contained on, or that can be accessed through, our website does not constitute a part of this Annual Report. We have included our website address in this Annual Report solely as an inactive textual reference.</w:t>
      </w:r>
    </w:p>
    <w:p>
      <w:pPr>
        <w:spacing w:after="0" w:line="64" w:lineRule="exact"/>
        <w:rPr>
          <w:sz w:val="20"/>
          <w:szCs w:val="20"/>
          <w:color w:val="auto"/>
        </w:rPr>
      </w:pPr>
    </w:p>
    <w:p>
      <w:pPr>
        <w:ind w:left="300" w:right="419" w:firstLine="441"/>
        <w:spacing w:after="0" w:line="237" w:lineRule="auto"/>
        <w:rPr>
          <w:sz w:val="20"/>
          <w:szCs w:val="20"/>
          <w:color w:val="auto"/>
        </w:rPr>
      </w:pPr>
      <w:r>
        <w:rPr>
          <w:rFonts w:ascii="Times New Roman" w:cs="Times New Roman" w:eastAsia="Times New Roman" w:hAnsi="Times New Roman"/>
          <w:sz w:val="18"/>
          <w:szCs w:val="18"/>
          <w:color w:val="auto"/>
        </w:rPr>
        <w:t>The Securities and Exchange Commission maintains a website (www.sec.gov) that contains reports and other information regarding foreign private issuers, such as us, that file electronically with the SEC.</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With respect to references made in this Annual Report to any contract or other document of our company,</w:t>
      </w:r>
    </w:p>
    <w:p>
      <w:pPr>
        <w:spacing w:after="0" w:line="2" w:lineRule="exact"/>
        <w:rPr>
          <w:sz w:val="20"/>
          <w:szCs w:val="20"/>
          <w:color w:val="auto"/>
        </w:rPr>
      </w:pPr>
    </w:p>
    <w:p>
      <w:pPr>
        <w:ind w:left="300" w:right="919"/>
        <w:spacing w:after="0" w:line="226" w:lineRule="auto"/>
        <w:rPr>
          <w:sz w:val="20"/>
          <w:szCs w:val="20"/>
          <w:color w:val="auto"/>
        </w:rPr>
      </w:pPr>
      <w:r>
        <w:rPr>
          <w:rFonts w:ascii="Times New Roman" w:cs="Times New Roman" w:eastAsia="Times New Roman" w:hAnsi="Times New Roman"/>
          <w:sz w:val="18"/>
          <w:szCs w:val="18"/>
          <w:color w:val="auto"/>
        </w:rPr>
        <w:t>such references are not necessarily complete and you should refer to the exhibits attached or incorporated by reference to this Annual Report for copies of the actual contract or document.</w:t>
      </w:r>
    </w:p>
    <w:p>
      <w:pPr>
        <w:spacing w:after="0" w:line="153" w:lineRule="exact"/>
        <w:rPr>
          <w:sz w:val="20"/>
          <w:szCs w:val="20"/>
          <w:color w:val="auto"/>
        </w:rPr>
      </w:pPr>
    </w:p>
    <w:p>
      <w:pPr>
        <w:ind w:left="940" w:hanging="324"/>
        <w:spacing w:after="0"/>
        <w:tabs>
          <w:tab w:leader="none" w:pos="9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required.</w:t>
      </w:r>
    </w:p>
    <w:p>
      <w:pPr>
        <w:spacing w:after="0" w:line="194" w:lineRule="exact"/>
        <w:rPr>
          <w:sz w:val="20"/>
          <w:szCs w:val="20"/>
          <w:color w:val="auto"/>
        </w:rPr>
      </w:pPr>
    </w:p>
    <w:p>
      <w:pPr>
        <w:ind w:left="940" w:hanging="324"/>
        <w:spacing w:after="0"/>
        <w:tabs>
          <w:tab w:leader="none" w:pos="9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16" w:lineRule="exact"/>
        <w:rPr>
          <w:sz w:val="20"/>
          <w:szCs w:val="20"/>
          <w:color w:val="auto"/>
        </w:rPr>
      </w:pPr>
    </w:p>
    <w:p>
      <w:pPr>
        <w:ind w:left="300" w:right="459" w:firstLine="441"/>
        <w:spacing w:after="0" w:line="282" w:lineRule="auto"/>
        <w:rPr>
          <w:sz w:val="20"/>
          <w:szCs w:val="20"/>
          <w:color w:val="auto"/>
        </w:rPr>
      </w:pPr>
      <w:r>
        <w:rPr>
          <w:rFonts w:ascii="Times New Roman" w:cs="Times New Roman" w:eastAsia="Times New Roman" w:hAnsi="Times New Roman"/>
          <w:sz w:val="18"/>
          <w:szCs w:val="18"/>
          <w:color w:val="auto"/>
          <w:highlight w:val="white"/>
        </w:rPr>
        <w:t>To the extent we furnish an annual report to security holders, we will furnish any such report under the cover of Form 6-K.</w:t>
      </w:r>
    </w:p>
    <w:p>
      <w:pPr>
        <w:sectPr>
          <w:pgSz w:w="11900" w:h="16838" w:orient="portrait"/>
          <w:cols w:equalWidth="0" w:num="1">
            <w:col w:w="9019"/>
          </w:cols>
          <w:pgMar w:left="1440" w:top="104"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447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16115" cy="144780"/>
                    </a:xfrm>
                    <a:prstGeom prst="rect">
                      <a:avLst/>
                    </a:prstGeom>
                    <a:noFill/>
                  </pic:spPr>
                </pic:pic>
              </a:graphicData>
            </a:graphic>
          </wp:anchor>
        </w:drawing>
      </w:r>
    </w:p>
    <w:p>
      <w:pPr>
        <w:sectPr>
          <w:pgSz w:w="11900" w:h="16838" w:orient="portrait"/>
          <w:cols w:equalWidth="0" w:num="1">
            <w:col w:w="9019"/>
          </w:cols>
          <w:pgMar w:left="1440" w:top="104" w:right="1440" w:bottom="177" w:gutter="0" w:footer="0" w:header="0"/>
          <w:type w:val="continuous"/>
        </w:sectPr>
      </w:pPr>
    </w:p>
    <w:bookmarkStart w:id="127" w:name="page128"/>
    <w:bookmarkEnd w:id="127"/>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917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16115" cy="8917305"/>
                    </a:xfrm>
                    <a:prstGeom prst="rect">
                      <a:avLst/>
                    </a:prstGeom>
                    <a:noFill/>
                  </pic:spPr>
                </pic:pic>
              </a:graphicData>
            </a:graphic>
          </wp:anchor>
        </w:drawing>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337"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A description of quantitative and qualitative disclosures about market risk is disclosed in Note 27 to our financial statements as of and for the year ended December 31, 2025 appearing elsewhere in this Annual Report on</w:t>
      </w:r>
    </w:p>
    <w:p>
      <w:pPr>
        <w:ind w:left="300"/>
        <w:spacing w:after="0"/>
        <w:rPr>
          <w:sz w:val="20"/>
          <w:szCs w:val="20"/>
          <w:color w:val="auto"/>
        </w:rPr>
      </w:pPr>
      <w:r>
        <w:rPr>
          <w:rFonts w:ascii="Times New Roman" w:cs="Times New Roman" w:eastAsia="Times New Roman" w:hAnsi="Times New Roman"/>
          <w:sz w:val="18"/>
          <w:szCs w:val="18"/>
          <w:color w:val="auto"/>
        </w:rPr>
        <w:t>Form 20-F.</w:t>
      </w:r>
    </w:p>
    <w:p>
      <w:pPr>
        <w:spacing w:after="0" w:line="57" w:lineRule="exact"/>
        <w:rPr>
          <w:sz w:val="20"/>
          <w:szCs w:val="20"/>
          <w:color w:val="auto"/>
        </w:rPr>
      </w:pPr>
    </w:p>
    <w:p>
      <w:pPr>
        <w:ind w:left="300" w:right="619" w:firstLine="441"/>
        <w:spacing w:after="0" w:line="236" w:lineRule="auto"/>
        <w:rPr>
          <w:sz w:val="20"/>
          <w:szCs w:val="20"/>
          <w:color w:val="auto"/>
        </w:rPr>
      </w:pPr>
      <w:r>
        <w:rPr>
          <w:rFonts w:ascii="Times New Roman" w:cs="Times New Roman" w:eastAsia="Times New Roman" w:hAnsi="Times New Roman"/>
          <w:sz w:val="17"/>
          <w:szCs w:val="17"/>
          <w:color w:val="auto"/>
        </w:rPr>
        <w:t>The principal financial instruments we hold are cash and cash equivalents. The purpose of holding these instruments is to finance our ongoing business activities. It is not our policy to invest in financial instruments for</w:t>
      </w:r>
    </w:p>
    <w:p>
      <w:pPr>
        <w:ind w:left="300"/>
        <w:spacing w:after="0"/>
        <w:rPr>
          <w:sz w:val="20"/>
          <w:szCs w:val="20"/>
          <w:color w:val="auto"/>
        </w:rPr>
      </w:pPr>
      <w:r>
        <w:rPr>
          <w:rFonts w:ascii="Times New Roman" w:cs="Times New Roman" w:eastAsia="Times New Roman" w:hAnsi="Times New Roman"/>
          <w:sz w:val="18"/>
          <w:szCs w:val="18"/>
          <w:color w:val="auto"/>
        </w:rPr>
        <w:t>speculative purposes. We do not use derivative financial instruments for hedging purposes.</w:t>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principal risks to which we are exposed are foreign currency exchange risk and credit risk.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9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We are exposed to a risk of exchange rate fluctuations on commercial transactions performed in currencies different from our functional currency in which we record the transactions. We have not adopted any other recurring mechanism of hedging to protect against currency fluctuations. From time to time, we may nevertheless subscribe</w:t>
      </w:r>
    </w:p>
    <w:p>
      <w:pPr>
        <w:ind w:left="300" w:right="819"/>
        <w:spacing w:after="0" w:line="226" w:lineRule="auto"/>
        <w:rPr>
          <w:sz w:val="20"/>
          <w:szCs w:val="20"/>
          <w:color w:val="auto"/>
        </w:rPr>
      </w:pPr>
      <w:r>
        <w:rPr>
          <w:rFonts w:ascii="Times New Roman" w:cs="Times New Roman" w:eastAsia="Times New Roman" w:hAnsi="Times New Roman"/>
          <w:sz w:val="18"/>
          <w:szCs w:val="18"/>
          <w:color w:val="auto"/>
        </w:rPr>
        <w:t>for currency term accounts in order to cover a commitment in currency. We may consider in the future using a suitable policy to hedge exchange risks in a more significant manner, if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5163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16115"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439" w:firstLine="441"/>
        <w:spacing w:after="0" w:line="236" w:lineRule="auto"/>
        <w:rPr>
          <w:sz w:val="20"/>
          <w:szCs w:val="20"/>
          <w:color w:val="auto"/>
        </w:rPr>
      </w:pPr>
      <w:r>
        <w:rPr>
          <w:rFonts w:ascii="Times New Roman" w:cs="Times New Roman" w:eastAsia="Times New Roman" w:hAnsi="Times New Roman"/>
          <w:sz w:val="17"/>
          <w:szCs w:val="17"/>
          <w:color w:val="auto"/>
        </w:rPr>
        <w:t>The following tables set forth the operating expenses we incurred in foreign currencies in the years ended December 31, 2023, 2024 and 2025. Some figures have been rounded. Accordingly, the totals in the tables may not</w:t>
      </w:r>
    </w:p>
    <w:p>
      <w:pPr>
        <w:ind w:left="300"/>
        <w:spacing w:after="0"/>
        <w:rPr>
          <w:sz w:val="20"/>
          <w:szCs w:val="20"/>
          <w:color w:val="auto"/>
        </w:rPr>
      </w:pPr>
      <w:r>
        <w:rPr>
          <w:rFonts w:ascii="Times New Roman" w:cs="Times New Roman" w:eastAsia="Times New Roman" w:hAnsi="Times New Roman"/>
          <w:sz w:val="18"/>
          <w:szCs w:val="18"/>
          <w:color w:val="auto"/>
        </w:rPr>
        <w:t>be the exact sums of component items.</w:t>
      </w:r>
    </w:p>
    <w:p>
      <w:pPr>
        <w:sectPr>
          <w:pgSz w:w="11900" w:h="16838" w:orient="portrait"/>
          <w:cols w:equalWidth="0" w:num="1">
            <w:col w:w="9019"/>
          </w:cols>
          <w:pgMar w:left="1440" w:top="1170" w:right="1440" w:bottom="90" w:gutter="0" w:footer="0" w:header="0"/>
        </w:sectPr>
      </w:pPr>
    </w:p>
    <w:bookmarkStart w:id="128" w:name="page129"/>
    <w:bookmarkEnd w:id="128"/>
    <w:tbl>
      <w:tblPr>
        <w:tblLayout w:type="fixed"/>
        <w:tblInd w:w="44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6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6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11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31, 2023</w:t>
            </w:r>
          </w:p>
        </w:tc>
        <w:tc>
          <w:tcPr>
            <w:tcW w:w="960" w:type="dxa"/>
            <w:vAlign w:val="bottom"/>
          </w:tcPr>
          <w:p>
            <w:pPr>
              <w:spacing w:after="0"/>
              <w:rPr>
                <w:sz w:val="16"/>
                <w:szCs w:val="16"/>
                <w:color w:val="auto"/>
              </w:rPr>
            </w:pPr>
          </w:p>
        </w:tc>
        <w:tc>
          <w:tcPr>
            <w:tcW w:w="12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31, 2024</w:t>
            </w:r>
          </w:p>
        </w:tc>
        <w:tc>
          <w:tcPr>
            <w:tcW w:w="960" w:type="dxa"/>
            <w:vAlign w:val="bottom"/>
          </w:tcPr>
          <w:p>
            <w:pPr>
              <w:spacing w:after="0"/>
              <w:rPr>
                <w:sz w:val="16"/>
                <w:szCs w:val="16"/>
                <w:color w:val="auto"/>
              </w:rPr>
            </w:pPr>
          </w:p>
        </w:tc>
        <w:tc>
          <w:tcPr>
            <w:tcW w:w="12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31, 2025</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Currency (thousands)</w:t>
            </w:r>
          </w:p>
        </w:tc>
        <w:tc>
          <w:tcPr>
            <w:tcW w:w="1180" w:type="dxa"/>
            <w:vAlign w:val="bottom"/>
          </w:tcPr>
          <w:p>
            <w:pPr>
              <w:jc w:val="right"/>
              <w:ind w:right="270"/>
              <w:spacing w:after="0" w:line="154" w:lineRule="exact"/>
              <w:rPr>
                <w:sz w:val="20"/>
                <w:szCs w:val="20"/>
                <w:color w:val="auto"/>
              </w:rPr>
            </w:pPr>
            <w:r>
              <w:rPr>
                <w:rFonts w:ascii="Times New Roman" w:cs="Times New Roman" w:eastAsia="Times New Roman" w:hAnsi="Times New Roman"/>
                <w:sz w:val="17"/>
                <w:szCs w:val="17"/>
                <w:b w:val="1"/>
                <w:bCs w:val="1"/>
                <w:color w:val="auto"/>
              </w:rPr>
              <w:t>Foreign</w:t>
            </w:r>
          </w:p>
        </w:tc>
        <w:tc>
          <w:tcPr>
            <w:tcW w:w="9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Euros</w:t>
            </w:r>
          </w:p>
        </w:tc>
        <w:tc>
          <w:tcPr>
            <w:tcW w:w="1200" w:type="dxa"/>
            <w:vAlign w:val="bottom"/>
          </w:tcPr>
          <w:p>
            <w:pPr>
              <w:jc w:val="right"/>
              <w:ind w:right="270"/>
              <w:spacing w:after="0" w:line="154" w:lineRule="exact"/>
              <w:rPr>
                <w:sz w:val="20"/>
                <w:szCs w:val="20"/>
                <w:color w:val="auto"/>
              </w:rPr>
            </w:pPr>
            <w:r>
              <w:rPr>
                <w:rFonts w:ascii="Times New Roman" w:cs="Times New Roman" w:eastAsia="Times New Roman" w:hAnsi="Times New Roman"/>
                <w:sz w:val="17"/>
                <w:szCs w:val="17"/>
                <w:b w:val="1"/>
                <w:bCs w:val="1"/>
                <w:color w:val="auto"/>
              </w:rPr>
              <w:t>Foreign</w:t>
            </w:r>
          </w:p>
        </w:tc>
        <w:tc>
          <w:tcPr>
            <w:tcW w:w="9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Euros</w:t>
            </w:r>
          </w:p>
        </w:tc>
        <w:tc>
          <w:tcPr>
            <w:tcW w:w="1240" w:type="dxa"/>
            <w:vAlign w:val="bottom"/>
          </w:tcPr>
          <w:p>
            <w:pPr>
              <w:jc w:val="right"/>
              <w:ind w:right="310"/>
              <w:spacing w:after="0" w:line="154" w:lineRule="exact"/>
              <w:rPr>
                <w:sz w:val="20"/>
                <w:szCs w:val="20"/>
                <w:color w:val="auto"/>
              </w:rPr>
            </w:pPr>
            <w:r>
              <w:rPr>
                <w:rFonts w:ascii="Times New Roman" w:cs="Times New Roman" w:eastAsia="Times New Roman" w:hAnsi="Times New Roman"/>
                <w:sz w:val="17"/>
                <w:szCs w:val="17"/>
                <w:b w:val="1"/>
                <w:bCs w:val="1"/>
                <w:color w:val="auto"/>
              </w:rPr>
              <w:t>Foreign</w:t>
            </w: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Euros</w:t>
            </w:r>
          </w:p>
        </w:tc>
        <w:tc>
          <w:tcPr>
            <w:tcW w:w="0" w:type="dxa"/>
            <w:vAlign w:val="bottom"/>
          </w:tcPr>
          <w:p>
            <w:pPr>
              <w:spacing w:after="0"/>
              <w:rPr>
                <w:sz w:val="1"/>
                <w:szCs w:val="1"/>
                <w:color w:val="auto"/>
              </w:rPr>
            </w:pPr>
          </w:p>
        </w:tc>
      </w:tr>
      <w:tr>
        <w:trPr>
          <w:trHeight w:val="117"/>
        </w:trPr>
        <w:tc>
          <w:tcPr>
            <w:tcW w:w="1800" w:type="dxa"/>
            <w:vAlign w:val="bottom"/>
            <w:vMerge w:val="continue"/>
          </w:tcPr>
          <w:p>
            <w:pPr>
              <w:spacing w:after="0"/>
              <w:rPr>
                <w:sz w:val="10"/>
                <w:szCs w:val="10"/>
                <w:color w:val="auto"/>
              </w:rPr>
            </w:pP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60" w:type="dxa"/>
            <w:vAlign w:val="bottom"/>
            <w:vMerge w:val="continue"/>
          </w:tcPr>
          <w:p>
            <w:pPr>
              <w:spacing w:after="0"/>
              <w:rPr>
                <w:sz w:val="10"/>
                <w:szCs w:val="10"/>
                <w:color w:val="auto"/>
              </w:rPr>
            </w:pP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60" w:type="dxa"/>
            <w:vAlign w:val="bottom"/>
            <w:vMerge w:val="continue"/>
          </w:tcPr>
          <w:p>
            <w:pPr>
              <w:spacing w:after="0"/>
              <w:rPr>
                <w:sz w:val="10"/>
                <w:szCs w:val="10"/>
                <w:color w:val="auto"/>
              </w:rPr>
            </w:pPr>
          </w:p>
        </w:tc>
        <w:tc>
          <w:tcPr>
            <w:tcW w:w="12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Australian dollar </w:t>
            </w:r>
            <w:r>
              <w:rPr>
                <w:rFonts w:ascii="Times New Roman" w:cs="Times New Roman" w:eastAsia="Times New Roman" w:hAnsi="Times New Roman"/>
                <w:sz w:val="18"/>
                <w:szCs w:val="18"/>
                <w:color w:val="B4B4B4"/>
              </w:rPr>
              <w:t>.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Brazilian real </w:t>
            </w:r>
            <w:r>
              <w:rPr>
                <w:rFonts w:ascii="Times New Roman" w:cs="Times New Roman" w:eastAsia="Times New Roman" w:hAnsi="Times New Roman"/>
                <w:sz w:val="18"/>
                <w:szCs w:val="18"/>
                <w:color w:val="B4B4B4"/>
              </w:rPr>
              <w:t>.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Canadian dollar </w:t>
            </w:r>
            <w:r>
              <w:rPr>
                <w:rFonts w:ascii="Times New Roman" w:cs="Times New Roman" w:eastAsia="Times New Roman" w:hAnsi="Times New Roman"/>
                <w:sz w:val="18"/>
                <w:szCs w:val="18"/>
                <w:color w:val="B4B4B4"/>
              </w:rPr>
              <w:t>.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Chinese yuan renminbi</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Czech crown </w:t>
            </w:r>
            <w:r>
              <w:rPr>
                <w:rFonts w:ascii="Times New Roman" w:cs="Times New Roman" w:eastAsia="Times New Roman" w:hAnsi="Times New Roman"/>
                <w:sz w:val="18"/>
                <w:szCs w:val="18"/>
                <w:color w:val="B4B4B4"/>
              </w:rPr>
              <w:t>.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Danish kroner  </w:t>
            </w:r>
            <w:r>
              <w:rPr>
                <w:rFonts w:ascii="Times New Roman" w:cs="Times New Roman" w:eastAsia="Times New Roman" w:hAnsi="Times New Roman"/>
                <w:sz w:val="18"/>
                <w:szCs w:val="18"/>
                <w:color w:val="B4B4B4"/>
              </w:rPr>
              <w:t>.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Hungarian forints </w:t>
            </w:r>
            <w:r>
              <w:rPr>
                <w:rFonts w:ascii="Times New Roman" w:cs="Times New Roman" w:eastAsia="Times New Roman" w:hAnsi="Times New Roman"/>
                <w:sz w:val="18"/>
                <w:szCs w:val="18"/>
                <w:color w:val="B4B4B4"/>
              </w:rPr>
              <w:t>.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Israeli shekel </w:t>
            </w:r>
            <w:r>
              <w:rPr>
                <w:rFonts w:ascii="Times New Roman" w:cs="Times New Roman" w:eastAsia="Times New Roman" w:hAnsi="Times New Roman"/>
                <w:sz w:val="18"/>
                <w:szCs w:val="18"/>
                <w:color w:val="B4B4B4"/>
              </w:rPr>
              <w:t>.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Japanese yen </w:t>
            </w:r>
            <w:r>
              <w:rPr>
                <w:rFonts w:ascii="Times New Roman" w:cs="Times New Roman" w:eastAsia="Times New Roman" w:hAnsi="Times New Roman"/>
                <w:sz w:val="18"/>
                <w:szCs w:val="18"/>
                <w:color w:val="B4B4B4"/>
              </w:rPr>
              <w:t>.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Pound sterling </w:t>
            </w:r>
            <w:r>
              <w:rPr>
                <w:rFonts w:ascii="Times New Roman" w:cs="Times New Roman" w:eastAsia="Times New Roman" w:hAnsi="Times New Roman"/>
                <w:sz w:val="18"/>
                <w:szCs w:val="18"/>
                <w:color w:val="B4B4B4"/>
              </w:rPr>
              <w:t>.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Swedish krona </w:t>
            </w:r>
            <w:r>
              <w:rPr>
                <w:rFonts w:ascii="Times New Roman" w:cs="Times New Roman" w:eastAsia="Times New Roman" w:hAnsi="Times New Roman"/>
                <w:sz w:val="18"/>
                <w:szCs w:val="18"/>
                <w:color w:val="B4B4B4"/>
              </w:rPr>
              <w:t>.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Swiss franc </w:t>
            </w:r>
            <w:r>
              <w:rPr>
                <w:rFonts w:ascii="Times New Roman" w:cs="Times New Roman" w:eastAsia="Times New Roman" w:hAnsi="Times New Roman"/>
                <w:sz w:val="18"/>
                <w:szCs w:val="18"/>
                <w:color w:val="B4B4B4"/>
              </w:rPr>
              <w:t>. . .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United States dollar </w:t>
            </w:r>
            <w:r>
              <w:rPr>
                <w:rFonts w:ascii="Times New Roman" w:cs="Times New Roman" w:eastAsia="Times New Roman" w:hAnsi="Times New Roman"/>
                <w:sz w:val="18"/>
                <w:szCs w:val="18"/>
                <w:color w:val="B4B4B4"/>
              </w:rPr>
              <w:t>.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20,730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b w:val="1"/>
                <w:bCs w:val="1"/>
                <w:color w:val="B4B4B4"/>
              </w:rPr>
              <w:t>. . . . . . . . . . . . . .</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10,636</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12,060</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36,103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21,674</w:t>
            </w:r>
          </w:p>
        </w:tc>
        <w:tc>
          <w:tcPr>
            <w:tcW w:w="0" w:type="dxa"/>
            <w:vAlign w:val="bottom"/>
          </w:tcPr>
          <w:p>
            <w:pPr>
              <w:spacing w:after="0"/>
              <w:rPr>
                <w:sz w:val="1"/>
                <w:szCs w:val="1"/>
                <w:color w:val="auto"/>
              </w:rPr>
            </w:pPr>
          </w:p>
        </w:tc>
      </w:tr>
    </w:tbl>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545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16115" cy="7545705"/>
                    </a:xfrm>
                    <a:prstGeom prst="rect">
                      <a:avLst/>
                    </a:prstGeom>
                    <a:noFill/>
                  </pic:spPr>
                </pic:pic>
              </a:graphicData>
            </a:graphic>
          </wp:anchor>
        </w:drawing>
      </w:r>
    </w:p>
    <w:p>
      <w:pPr>
        <w:ind w:left="300" w:right="95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2025, the total amount of operating expenses we incurred in foreign currencies was €21.7 million, or 9% of our total operating expenses of €250.6 million in that year.</w:t>
      </w:r>
    </w:p>
    <w:p>
      <w:pPr>
        <w:spacing w:after="0" w:line="50" w:lineRule="exact"/>
        <w:rPr>
          <w:sz w:val="20"/>
          <w:szCs w:val="20"/>
          <w:color w:val="auto"/>
        </w:rPr>
      </w:pPr>
    </w:p>
    <w:p>
      <w:pPr>
        <w:ind w:left="300" w:right="959" w:firstLine="441"/>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2024, the total amount of operating expenses we incurred in foreign currencies was €12.1 million, or 7% of our total operating expenses of €185.4 million in that year.</w:t>
      </w:r>
    </w:p>
    <w:p>
      <w:pPr>
        <w:spacing w:after="0" w:line="41" w:lineRule="exact"/>
        <w:rPr>
          <w:sz w:val="20"/>
          <w:szCs w:val="20"/>
          <w:color w:val="auto"/>
        </w:rPr>
      </w:pPr>
    </w:p>
    <w:p>
      <w:pPr>
        <w:ind w:left="300" w:right="959" w:firstLine="441"/>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2023, the total amount of operating expenses we incurred in foreign currencies was €10.6 million, or 8% of our total operating expenses of €132.0 million in that year.</w:t>
      </w:r>
    </w:p>
    <w:p>
      <w:pPr>
        <w:spacing w:after="0" w:line="64"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For the years ended December 31, 2025, December 31, 2024 and December 31, 2023, expenses in U.S. dollars totaled €18.4 million, €10.5 million and €10.1 million respectively, based on the average annual exchange rate in effect as of December 31, 2025, December 31, 2024 and December 31, 2023. As a result, an adverse 10% change in</w:t>
      </w:r>
    </w:p>
    <w:p>
      <w:pPr>
        <w:ind w:left="300" w:right="999"/>
        <w:spacing w:after="0" w:line="226" w:lineRule="auto"/>
        <w:rPr>
          <w:sz w:val="20"/>
          <w:szCs w:val="20"/>
          <w:color w:val="auto"/>
        </w:rPr>
      </w:pPr>
      <w:r>
        <w:rPr>
          <w:rFonts w:ascii="Times New Roman" w:cs="Times New Roman" w:eastAsia="Times New Roman" w:hAnsi="Times New Roman"/>
          <w:sz w:val="18"/>
          <w:szCs w:val="18"/>
          <w:color w:val="auto"/>
        </w:rPr>
        <w:t>the exchange rate for the U.S. dollar against the euro would have resulted in a foreign exchange rate loss of approximately €2.0 million for 2025, €0,3 million for 2024, €0.4 million for 2023.</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94" w:lineRule="exact"/>
        <w:rPr>
          <w:sz w:val="20"/>
          <w:szCs w:val="20"/>
          <w:color w:val="auto"/>
        </w:rPr>
      </w:pPr>
    </w:p>
    <w:p>
      <w:pPr>
        <w:ind w:left="300" w:right="359" w:firstLine="441"/>
        <w:spacing w:after="0" w:line="229" w:lineRule="auto"/>
        <w:rPr>
          <w:sz w:val="20"/>
          <w:szCs w:val="20"/>
          <w:color w:val="auto"/>
        </w:rPr>
      </w:pPr>
      <w:r>
        <w:rPr>
          <w:rFonts w:ascii="Times New Roman" w:cs="Times New Roman" w:eastAsia="Times New Roman" w:hAnsi="Times New Roman"/>
          <w:sz w:val="17"/>
          <w:szCs w:val="17"/>
          <w:color w:val="auto"/>
        </w:rPr>
        <w:t>The credit risk related to our cash and cash equivalents is not significant in light of the quality of our co-contracting financial institutions. As of December 31, 2025, substantially all our cash and cash equivalents were maintained with two financial institutions in France and in the United States. While our deposit accounts are insured</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 xml:space="preserve">up to the legal limit, substantially all of our bank deposit balances exceed this insured limit. </w:t>
      </w:r>
      <w:r>
        <w:rPr>
          <w:rFonts w:ascii="Times New Roman" w:cs="Times New Roman" w:eastAsia="Times New Roman" w:hAnsi="Times New Roman"/>
          <w:sz w:val="17"/>
          <w:szCs w:val="17"/>
          <w:color w:val="auto"/>
          <w:highlight w:val="white"/>
        </w:rPr>
        <w:t>As of December</w:t>
      </w:r>
      <w:r>
        <w:rPr>
          <w:rFonts w:ascii="Times New Roman" w:cs="Times New Roman" w:eastAsia="Times New Roman" w:hAnsi="Times New Roman"/>
          <w:sz w:val="17"/>
          <w:szCs w:val="17"/>
          <w:color w:val="auto"/>
        </w:rPr>
        <w:t xml:space="preserve"> 31, 2025, we maintained €92.5 million in bank deposit accounts that are in excess of the legally insured limit in five legally insured financial institutions, in addition to €437.0 million invested in mutual funds and structured notes. We</w:t>
      </w:r>
    </w:p>
    <w:p>
      <w:pPr>
        <w:spacing w:after="0" w:line="2" w:lineRule="exact"/>
        <w:rPr>
          <w:sz w:val="20"/>
          <w:szCs w:val="20"/>
          <w:color w:val="auto"/>
        </w:rPr>
      </w:pPr>
    </w:p>
    <w:p>
      <w:pPr>
        <w:ind w:left="300" w:right="339"/>
        <w:spacing w:after="0" w:line="226" w:lineRule="auto"/>
        <w:rPr>
          <w:sz w:val="20"/>
          <w:szCs w:val="20"/>
          <w:color w:val="auto"/>
        </w:rPr>
      </w:pPr>
      <w:r>
        <w:rPr>
          <w:rFonts w:ascii="Times New Roman" w:cs="Times New Roman" w:eastAsia="Times New Roman" w:hAnsi="Times New Roman"/>
          <w:sz w:val="18"/>
          <w:szCs w:val="18"/>
          <w:color w:val="auto"/>
        </w:rPr>
        <w:t>have not experienced any losses in such accounts and we do not believe we are exposed to any significant credit risk related to these instruments.</w:t>
      </w:r>
    </w:p>
    <w:p>
      <w:pPr>
        <w:spacing w:after="0" w:line="49" w:lineRule="exact"/>
        <w:rPr>
          <w:sz w:val="20"/>
          <w:szCs w:val="20"/>
          <w:color w:val="auto"/>
        </w:rPr>
      </w:pPr>
    </w:p>
    <w:p>
      <w:pPr>
        <w:ind w:left="300" w:right="659" w:firstLine="441"/>
        <w:spacing w:after="0" w:line="250" w:lineRule="auto"/>
        <w:rPr>
          <w:sz w:val="20"/>
          <w:szCs w:val="20"/>
          <w:color w:val="auto"/>
        </w:rPr>
      </w:pPr>
      <w:r>
        <w:rPr>
          <w:rFonts w:ascii="Times New Roman" w:cs="Times New Roman" w:eastAsia="Times New Roman" w:hAnsi="Times New Roman"/>
          <w:sz w:val="18"/>
          <w:szCs w:val="18"/>
          <w:color w:val="auto"/>
        </w:rPr>
        <w:t>The credit risk related to our other receivables and related account is minimal. In particular, the credit risk related to advances made to CROs is deemed insignificant due to their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8879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16115"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C.</w:t>
        <w:tab/>
        <w:t>Other Securities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ectPr>
          <w:pgSz w:w="11900" w:h="16838" w:orient="portrait"/>
          <w:cols w:equalWidth="0" w:num="1">
            <w:col w:w="9019"/>
          </w:cols>
          <w:pgMar w:left="1440" w:top="171" w:right="1440" w:bottom="0" w:gutter="0" w:footer="0" w:header="0"/>
        </w:sectPr>
      </w:pPr>
    </w:p>
    <w:bookmarkStart w:id="129" w:name="page130"/>
    <w:bookmarkEnd w:id="129"/>
    <w:p>
      <w:pPr>
        <w:spacing w:after="0" w:line="11" w:lineRule="exact"/>
        <w:rPr>
          <w:sz w:val="20"/>
          <w:szCs w:val="20"/>
          <w:color w:val="auto"/>
        </w:rPr>
      </w:pPr>
    </w:p>
    <w:p>
      <w:pPr>
        <w:ind w:left="300" w:right="519" w:firstLine="441"/>
        <w:spacing w:after="0" w:line="227" w:lineRule="auto"/>
        <w:rPr>
          <w:sz w:val="20"/>
          <w:szCs w:val="20"/>
          <w:color w:val="auto"/>
        </w:rPr>
      </w:pPr>
      <w:r>
        <w:rPr>
          <w:rFonts w:ascii="Times New Roman" w:cs="Times New Roman" w:eastAsia="Times New Roman" w:hAnsi="Times New Roman"/>
          <w:sz w:val="17"/>
          <w:szCs w:val="17"/>
          <w:color w:val="auto"/>
        </w:rPr>
        <w:t>Citibank, as depositary, registers and delivers our ADSs. Each ADS represents one ordinary share deposited with Citibank Europe plc, located at 1 North Wall Quay, Dublin 1 Ireland, or any successor, as custodian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-213995</wp:posOffset>
            </wp:positionV>
            <wp:extent cx="7016115" cy="61741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16115" cy="6174105"/>
                    </a:xfrm>
                    <a:prstGeom prst="rect">
                      <a:avLst/>
                    </a:prstGeom>
                    <a:noFill/>
                  </pic:spPr>
                </pic:pic>
              </a:graphicData>
            </a:graphic>
          </wp:anchor>
        </w:drawing>
      </w:r>
    </w:p>
    <w:p>
      <w:pPr>
        <w:jc w:val="both"/>
        <w:ind w:left="300" w:right="859"/>
        <w:spacing w:after="0" w:line="218" w:lineRule="auto"/>
        <w:rPr>
          <w:sz w:val="20"/>
          <w:szCs w:val="20"/>
          <w:color w:val="auto"/>
        </w:rPr>
      </w:pPr>
      <w:r>
        <w:rPr>
          <w:rFonts w:ascii="Times New Roman" w:cs="Times New Roman" w:eastAsia="Times New Roman" w:hAnsi="Times New Roman"/>
          <w:sz w:val="18"/>
          <w:szCs w:val="18"/>
          <w:color w:val="auto"/>
        </w:rPr>
        <w:t>depositary. Each ADS will also represent any other securities, cash or other property that may be held by the depositary. The depositary’s corporate trust offices at which the ADSs will be administered are located at 388 Greenwich Street, New York, New York 10013.</w:t>
      </w:r>
    </w:p>
    <w:p>
      <w:pPr>
        <w:spacing w:after="0" w:line="64" w:lineRule="exact"/>
        <w:rPr>
          <w:sz w:val="20"/>
          <w:szCs w:val="20"/>
          <w:color w:val="auto"/>
        </w:rPr>
      </w:pPr>
    </w:p>
    <w:p>
      <w:pPr>
        <w:jc w:val="both"/>
        <w:ind w:left="300" w:right="439" w:firstLine="441"/>
        <w:spacing w:after="0" w:line="226" w:lineRule="auto"/>
        <w:rPr>
          <w:sz w:val="20"/>
          <w:szCs w:val="20"/>
          <w:color w:val="auto"/>
        </w:rPr>
      </w:pPr>
      <w:r>
        <w:rPr>
          <w:rFonts w:ascii="Times New Roman" w:cs="Times New Roman" w:eastAsia="Times New Roman" w:hAnsi="Times New Roman"/>
          <w:sz w:val="18"/>
          <w:szCs w:val="18"/>
          <w:color w:val="auto"/>
        </w:rPr>
        <w:t>A deposit agreement among us, the depositary and the ADS holders sets out the ADS holder rights as well as the rights and obligations of the depositary. New York law governs the deposit agreement and the ADSs. A copy of the deposit agreement is incorporated by reference as an exhibit to this Annual Report on Form 20-F.</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83" w:lineRule="exact"/>
        <w:rPr>
          <w:sz w:val="20"/>
          <w:szCs w:val="20"/>
          <w:color w:val="auto"/>
        </w:rPr>
      </w:pPr>
    </w:p>
    <w:tbl>
      <w:tblPr>
        <w:tblLayout w:type="fixed"/>
        <w:tblInd w:w="310" w:type="dxa"/>
        <w:tblCellMar>
          <w:top w:w="0" w:type="dxa"/>
          <w:left w:w="0" w:type="dxa"/>
          <w:bottom w:w="0" w:type="dxa"/>
          <w:right w:w="0" w:type="dxa"/>
        </w:tblCellMar>
      </w:tblPr>
      <w:tr>
        <w:trPr>
          <w:trHeight w:val="257"/>
        </w:trPr>
        <w:tc>
          <w:tcPr>
            <w:tcW w:w="43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4100" w:type="dxa"/>
            <w:vAlign w:val="bottom"/>
            <w:tcBorders>
              <w:top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Issuance of ADSs (e.g., an issuance of ADS upon a</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issued</w:t>
            </w: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deposit of ordinary shares, upon a change in the ADS(s)-</w:t>
            </w:r>
          </w:p>
        </w:tc>
        <w:tc>
          <w:tcPr>
            <w:tcW w:w="41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to-ordinary share ratio, or for any other reason), excluding</w:t>
            </w:r>
          </w:p>
        </w:tc>
        <w:tc>
          <w:tcPr>
            <w:tcW w:w="41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ADS issuances as a result of distributions of ordinary</w:t>
            </w:r>
          </w:p>
        </w:tc>
        <w:tc>
          <w:tcPr>
            <w:tcW w:w="4100" w:type="dxa"/>
            <w:vAlign w:val="bottom"/>
            <w:tcBorders>
              <w:right w:val="single" w:sz="8" w:color="auto"/>
            </w:tcBorders>
          </w:tcPr>
          <w:p>
            <w:pPr>
              <w:spacing w:after="0"/>
              <w:rPr>
                <w:sz w:val="17"/>
                <w:szCs w:val="17"/>
                <w:color w:val="auto"/>
              </w:rPr>
            </w:pPr>
          </w:p>
        </w:tc>
      </w:tr>
      <w:tr>
        <w:trPr>
          <w:trHeight w:val="234"/>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4100" w:type="dxa"/>
            <w:vAlign w:val="bottom"/>
            <w:tcBorders>
              <w:bottom w:val="single" w:sz="8" w:color="auto"/>
              <w:right w:val="single" w:sz="8" w:color="auto"/>
            </w:tcBorders>
          </w:tcPr>
          <w:p>
            <w:pPr>
              <w:spacing w:after="0"/>
              <w:rPr>
                <w:sz w:val="20"/>
                <w:szCs w:val="20"/>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Cancellation of ADSs (e.g., a cancellation of ADSs for</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cancelled</w:t>
            </w: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delivery of deposited property, upon a change in the</w:t>
            </w:r>
          </w:p>
        </w:tc>
        <w:tc>
          <w:tcPr>
            <w:tcW w:w="4100" w:type="dxa"/>
            <w:vAlign w:val="bottom"/>
            <w:tcBorders>
              <w:right w:val="single" w:sz="8" w:color="auto"/>
            </w:tcBorders>
          </w:tcPr>
          <w:p>
            <w:pPr>
              <w:spacing w:after="0"/>
              <w:rPr>
                <w:sz w:val="17"/>
                <w:szCs w:val="17"/>
                <w:color w:val="auto"/>
              </w:rPr>
            </w:pPr>
          </w:p>
        </w:tc>
      </w:tr>
      <w:tr>
        <w:trPr>
          <w:trHeight w:val="221"/>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ADS(s)-to-ordinary share ratio, or for any other reason)</w:t>
            </w:r>
          </w:p>
        </w:tc>
        <w:tc>
          <w:tcPr>
            <w:tcW w:w="4100" w:type="dxa"/>
            <w:vAlign w:val="bottom"/>
            <w:tcBorders>
              <w:bottom w:val="single" w:sz="8" w:color="auto"/>
              <w:right w:val="single" w:sz="8" w:color="auto"/>
            </w:tcBorders>
          </w:tcPr>
          <w:p>
            <w:pPr>
              <w:spacing w:after="0"/>
              <w:rPr>
                <w:sz w:val="19"/>
                <w:szCs w:val="19"/>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Distribution of cash dividends or other cash distributions</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held</w:t>
            </w:r>
          </w:p>
        </w:tc>
      </w:tr>
      <w:tr>
        <w:trPr>
          <w:trHeight w:val="221"/>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(e.g., upon a sale of rights and other entitlements)</w:t>
            </w:r>
          </w:p>
        </w:tc>
        <w:tc>
          <w:tcPr>
            <w:tcW w:w="4100" w:type="dxa"/>
            <w:vAlign w:val="bottom"/>
            <w:tcBorders>
              <w:bottom w:val="single" w:sz="8" w:color="auto"/>
              <w:right w:val="single" w:sz="8" w:color="auto"/>
            </w:tcBorders>
          </w:tcPr>
          <w:p>
            <w:pPr>
              <w:spacing w:after="0"/>
              <w:rPr>
                <w:sz w:val="19"/>
                <w:szCs w:val="19"/>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Distribution of ADSs pursuant to (i) share dividends or</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held</w:t>
            </w: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other free share distributions, or (ii) exercise of rights to</w:t>
            </w:r>
          </w:p>
        </w:tc>
        <w:tc>
          <w:tcPr>
            <w:tcW w:w="4100" w:type="dxa"/>
            <w:vAlign w:val="bottom"/>
            <w:tcBorders>
              <w:right w:val="single" w:sz="8" w:color="auto"/>
            </w:tcBorders>
          </w:tcPr>
          <w:p>
            <w:pPr>
              <w:spacing w:after="0"/>
              <w:rPr>
                <w:sz w:val="17"/>
                <w:szCs w:val="17"/>
                <w:color w:val="auto"/>
              </w:rPr>
            </w:pPr>
          </w:p>
        </w:tc>
      </w:tr>
      <w:tr>
        <w:trPr>
          <w:trHeight w:val="221"/>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additional ADSs</w:t>
            </w:r>
          </w:p>
        </w:tc>
        <w:tc>
          <w:tcPr>
            <w:tcW w:w="4100" w:type="dxa"/>
            <w:vAlign w:val="bottom"/>
            <w:tcBorders>
              <w:bottom w:val="single" w:sz="8" w:color="auto"/>
              <w:right w:val="single" w:sz="8" w:color="auto"/>
            </w:tcBorders>
          </w:tcPr>
          <w:p>
            <w:pPr>
              <w:spacing w:after="0"/>
              <w:rPr>
                <w:sz w:val="19"/>
                <w:szCs w:val="19"/>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Distribution of securities other than ADSs or rights to</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held</w:t>
            </w:r>
          </w:p>
        </w:tc>
      </w:tr>
      <w:tr>
        <w:trPr>
          <w:trHeight w:val="221"/>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additional ADSs (e.g., upon a spin-off)</w:t>
            </w:r>
          </w:p>
        </w:tc>
        <w:tc>
          <w:tcPr>
            <w:tcW w:w="4100" w:type="dxa"/>
            <w:vAlign w:val="bottom"/>
            <w:tcBorders>
              <w:bottom w:val="single" w:sz="8" w:color="auto"/>
              <w:right w:val="single" w:sz="8" w:color="auto"/>
            </w:tcBorders>
          </w:tcPr>
          <w:p>
            <w:pPr>
              <w:spacing w:after="0"/>
              <w:rPr>
                <w:sz w:val="19"/>
                <w:szCs w:val="19"/>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ADS Services</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held on the applicable record</w:t>
            </w:r>
          </w:p>
        </w:tc>
      </w:tr>
      <w:tr>
        <w:trPr>
          <w:trHeight w:val="221"/>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Registration of ADS transfers (e.g., upon a registration of</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(or fraction thereof) transferred</w:t>
            </w:r>
          </w:p>
        </w:tc>
      </w:tr>
      <w:tr>
        <w:trPr>
          <w:trHeight w:val="200"/>
        </w:trPr>
        <w:tc>
          <w:tcPr>
            <w:tcW w:w="4360" w:type="dxa"/>
            <w:vAlign w:val="bottom"/>
            <w:tcBorders>
              <w:left w:val="single" w:sz="8" w:color="auto"/>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color w:val="auto"/>
              </w:rPr>
              <w:t>the transfer of registered ownership of ADSs, upon a</w:t>
            </w:r>
          </w:p>
        </w:tc>
        <w:tc>
          <w:tcPr>
            <w:tcW w:w="4100" w:type="dxa"/>
            <w:vAlign w:val="bottom"/>
            <w:tcBorders>
              <w:right w:val="single" w:sz="8" w:color="auto"/>
            </w:tcBorders>
          </w:tcPr>
          <w:p>
            <w:pPr>
              <w:spacing w:after="0"/>
              <w:rPr>
                <w:sz w:val="17"/>
                <w:szCs w:val="17"/>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 xml:space="preserve">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w:t>
            </w:r>
          </w:p>
        </w:tc>
        <w:tc>
          <w:tcPr>
            <w:tcW w:w="4100" w:type="dxa"/>
            <w:vAlign w:val="bottom"/>
            <w:tcBorders>
              <w:right w:val="single" w:sz="8" w:color="auto"/>
            </w:tcBorders>
          </w:tcPr>
          <w:p>
            <w:pPr>
              <w:spacing w:after="0"/>
              <w:rPr>
                <w:sz w:val="17"/>
                <w:szCs w:val="17"/>
                <w:color w:val="auto"/>
              </w:rPr>
            </w:pPr>
          </w:p>
        </w:tc>
      </w:tr>
      <w:tr>
        <w:trPr>
          <w:trHeight w:val="221"/>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reason)</w:t>
            </w:r>
          </w:p>
        </w:tc>
        <w:tc>
          <w:tcPr>
            <w:tcW w:w="4100" w:type="dxa"/>
            <w:vAlign w:val="bottom"/>
            <w:tcBorders>
              <w:bottom w:val="single" w:sz="8" w:color="auto"/>
              <w:right w:val="single" w:sz="8" w:color="auto"/>
            </w:tcBorders>
          </w:tcPr>
          <w:p>
            <w:pPr>
              <w:spacing w:after="0"/>
              <w:rPr>
                <w:sz w:val="19"/>
                <w:szCs w:val="19"/>
                <w:color w:val="auto"/>
              </w:rPr>
            </w:pPr>
          </w:p>
        </w:tc>
      </w:tr>
      <w:tr>
        <w:trPr>
          <w:trHeight w:val="205"/>
        </w:trPr>
        <w:tc>
          <w:tcPr>
            <w:tcW w:w="436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Conversion of ADSs of one series for ADSs of another</w:t>
            </w:r>
          </w:p>
        </w:tc>
        <w:tc>
          <w:tcPr>
            <w:tcW w:w="4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Up to U.S. 5¢ per ADS (or fraction thereof) converted</w:t>
            </w: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series (e.g., upon conversion of Partial Entitlement ADSs</w:t>
            </w:r>
          </w:p>
        </w:tc>
        <w:tc>
          <w:tcPr>
            <w:tcW w:w="41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for Full Entitlement ADSs, or upon conversion of</w:t>
            </w:r>
          </w:p>
        </w:tc>
        <w:tc>
          <w:tcPr>
            <w:tcW w:w="4100" w:type="dxa"/>
            <w:vAlign w:val="bottom"/>
            <w:tcBorders>
              <w:right w:val="single" w:sz="8" w:color="auto"/>
            </w:tcBorders>
          </w:tcPr>
          <w:p>
            <w:pPr>
              <w:spacing w:after="0"/>
              <w:rPr>
                <w:sz w:val="17"/>
                <w:szCs w:val="17"/>
                <w:color w:val="auto"/>
              </w:rPr>
            </w:pPr>
          </w:p>
        </w:tc>
      </w:tr>
      <w:tr>
        <w:trPr>
          <w:trHeight w:val="200"/>
        </w:trPr>
        <w:tc>
          <w:tcPr>
            <w:tcW w:w="4360" w:type="dxa"/>
            <w:vAlign w:val="bottom"/>
            <w:tcBorders>
              <w:left w:val="single" w:sz="8" w:color="auto"/>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color w:val="auto"/>
              </w:rPr>
              <w:t>Restricted ADSs (each as defined in the Deposit</w:t>
            </w:r>
          </w:p>
        </w:tc>
        <w:tc>
          <w:tcPr>
            <w:tcW w:w="4100" w:type="dxa"/>
            <w:vAlign w:val="bottom"/>
            <w:tcBorders>
              <w:right w:val="single" w:sz="8" w:color="auto"/>
            </w:tcBorders>
          </w:tcPr>
          <w:p>
            <w:pPr>
              <w:spacing w:after="0"/>
              <w:rPr>
                <w:sz w:val="17"/>
                <w:szCs w:val="17"/>
                <w:color w:val="auto"/>
              </w:rPr>
            </w:pPr>
          </w:p>
        </w:tc>
      </w:tr>
      <w:tr>
        <w:trPr>
          <w:trHeight w:val="236"/>
        </w:trPr>
        <w:tc>
          <w:tcPr>
            <w:tcW w:w="4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41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2595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16115" cy="425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85" w:lineRule="exact"/>
        <w:rPr>
          <w:sz w:val="20"/>
          <w:szCs w:val="20"/>
          <w:color w:val="auto"/>
        </w:rPr>
      </w:pPr>
    </w:p>
    <w:p>
      <w:pPr>
        <w:ind w:left="940" w:hanging="324"/>
        <w:spacing w:after="0"/>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7" w:lineRule="exact"/>
        <w:rPr>
          <w:rFonts w:ascii="Times New Roman" w:cs="Times New Roman" w:eastAsia="Times New Roman" w:hAnsi="Times New Roman"/>
          <w:sz w:val="18"/>
          <w:szCs w:val="18"/>
          <w:color w:val="auto"/>
        </w:rPr>
      </w:pPr>
    </w:p>
    <w:p>
      <w:pPr>
        <w:ind w:left="940" w:right="299" w:hanging="324"/>
        <w:spacing w:after="0"/>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ind w:left="940" w:hanging="324"/>
        <w:spacing w:after="0" w:line="236" w:lineRule="auto"/>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ind w:left="940" w:right="399" w:hanging="324"/>
        <w:spacing w:after="0" w:line="241" w:lineRule="auto"/>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 w:lineRule="exact"/>
        <w:rPr>
          <w:rFonts w:ascii="Times New Roman" w:cs="Times New Roman" w:eastAsia="Times New Roman" w:hAnsi="Times New Roman"/>
          <w:sz w:val="18"/>
          <w:szCs w:val="18"/>
          <w:color w:val="auto"/>
        </w:rPr>
      </w:pPr>
    </w:p>
    <w:p>
      <w:pPr>
        <w:ind w:left="940" w:right="519" w:hanging="324"/>
        <w:spacing w:after="0"/>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ordinary shares, ADSs and American Depositary Receipts ("ADRs"); and</w:t>
      </w:r>
    </w:p>
    <w:p>
      <w:pPr>
        <w:ind w:left="940" w:right="679" w:hanging="324"/>
        <w:spacing w:after="0" w:line="245" w:lineRule="auto"/>
        <w:tabs>
          <w:tab w:leader="none" w:pos="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w:t>
      </w:r>
    </w:p>
    <w:p>
      <w:pPr>
        <w:spacing w:after="0" w:line="2" w:lineRule="exact"/>
        <w:rPr>
          <w:sz w:val="20"/>
          <w:szCs w:val="20"/>
          <w:color w:val="auto"/>
        </w:rPr>
      </w:pPr>
    </w:p>
    <w:p>
      <w:pPr>
        <w:jc w:val="both"/>
        <w:ind w:left="300" w:right="319"/>
        <w:spacing w:after="0" w:line="208" w:lineRule="auto"/>
        <w:rPr>
          <w:sz w:val="20"/>
          <w:szCs w:val="20"/>
          <w:color w:val="auto"/>
        </w:rPr>
      </w:pPr>
      <w:r>
        <w:rPr>
          <w:rFonts w:ascii="Times New Roman" w:cs="Times New Roman" w:eastAsia="Times New Roman" w:hAnsi="Times New Roman"/>
          <w:sz w:val="18"/>
          <w:szCs w:val="18"/>
          <w:color w:val="auto"/>
        </w:rPr>
        <w:t>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w:t>
      </w:r>
    </w:p>
    <w:p>
      <w:pPr>
        <w:spacing w:after="0" w:line="2" w:lineRule="exact"/>
        <w:rPr>
          <w:sz w:val="20"/>
          <w:szCs w:val="20"/>
          <w:color w:val="auto"/>
        </w:rPr>
      </w:pPr>
    </w:p>
    <w:p>
      <w:pPr>
        <w:ind w:left="300" w:right="399"/>
        <w:spacing w:after="0" w:line="220" w:lineRule="auto"/>
        <w:rPr>
          <w:sz w:val="20"/>
          <w:szCs w:val="20"/>
          <w:color w:val="auto"/>
        </w:rPr>
      </w:pPr>
      <w:r>
        <w:rPr>
          <w:rFonts w:ascii="Times New Roman" w:cs="Times New Roman" w:eastAsia="Times New Roman" w:hAnsi="Times New Roman"/>
          <w:sz w:val="17"/>
          <w:szCs w:val="17"/>
          <w:color w:val="auto"/>
        </w:rPr>
        <w:t>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w:t>
      </w:r>
    </w:p>
    <w:p>
      <w:pPr>
        <w:spacing w:after="0" w:line="2" w:lineRule="exact"/>
        <w:rPr>
          <w:sz w:val="20"/>
          <w:szCs w:val="20"/>
          <w:color w:val="auto"/>
        </w:rPr>
      </w:pPr>
    </w:p>
    <w:p>
      <w:pPr>
        <w:ind w:left="300" w:right="359"/>
        <w:spacing w:after="0" w:line="231" w:lineRule="auto"/>
        <w:rPr>
          <w:sz w:val="20"/>
          <w:szCs w:val="20"/>
          <w:color w:val="auto"/>
        </w:rPr>
      </w:pPr>
      <w:r>
        <w:rPr>
          <w:rFonts w:ascii="Times New Roman" w:cs="Times New Roman" w:eastAsia="Times New Roman" w:hAnsi="Times New Roman"/>
          <w:sz w:val="17"/>
          <w:szCs w:val="17"/>
          <w:color w:val="auto"/>
        </w:rPr>
        <w:t>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w:t>
      </w:r>
    </w:p>
    <w:p>
      <w:pPr>
        <w:sectPr>
          <w:pgSz w:w="11900" w:h="16850" w:orient="portrait"/>
          <w:cols w:equalWidth="0" w:num="1">
            <w:col w:w="9019"/>
          </w:cols>
          <w:pgMar w:left="1440" w:top="108" w:right="1440" w:bottom="0" w:gutter="0" w:footer="0" w:header="0"/>
        </w:sectPr>
      </w:pPr>
    </w:p>
    <w:bookmarkStart w:id="130" w:name="page131"/>
    <w:bookmarkEnd w:id="130"/>
    <w:p>
      <w:pPr>
        <w:ind w:left="300" w:right="459"/>
        <w:spacing w:after="0" w:line="189" w:lineRule="auto"/>
        <w:rPr>
          <w:sz w:val="20"/>
          <w:szCs w:val="20"/>
          <w:color w:val="auto"/>
        </w:rPr>
      </w:pPr>
      <w:r>
        <w:rPr>
          <w:rFonts w:ascii="Times New Roman" w:cs="Times New Roman" w:eastAsia="Times New Roman" w:hAnsi="Times New Roman"/>
          <w:sz w:val="16"/>
          <w:szCs w:val="16"/>
          <w:color w:val="auto"/>
        </w:rPr>
        <w:t>from distributions made through DTC, and may be charged to the DTC participants in accordance with the procedures and practices prescribed by DTC and the DTC participants in turn charge the amount of such ADS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-163195</wp:posOffset>
            </wp:positionV>
            <wp:extent cx="7016115" cy="48025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16115" cy="4802505"/>
                    </a:xfrm>
                    <a:prstGeom prst="rect">
                      <a:avLst/>
                    </a:prstGeom>
                    <a:noFill/>
                  </pic:spPr>
                </pic:pic>
              </a:graphicData>
            </a:graphic>
          </wp:anchor>
        </w:drawing>
      </w:r>
    </w:p>
    <w:p>
      <w:pPr>
        <w:ind w:left="300"/>
        <w:spacing w:after="0" w:line="219" w:lineRule="auto"/>
        <w:rPr>
          <w:sz w:val="20"/>
          <w:szCs w:val="20"/>
          <w:color w:val="auto"/>
        </w:rPr>
      </w:pPr>
      <w:r>
        <w:rPr>
          <w:rFonts w:ascii="Times New Roman" w:cs="Times New Roman" w:eastAsia="Times New Roman" w:hAnsi="Times New Roman"/>
          <w:sz w:val="18"/>
          <w:szCs w:val="18"/>
          <w:color w:val="auto"/>
        </w:rPr>
        <w:t>and charges to the beneficial owners for whom they hold ADSs. In the case of (i) registration of ADS transfers, the</w:t>
      </w:r>
    </w:p>
    <w:p>
      <w:pPr>
        <w:ind w:left="300" w:right="359"/>
        <w:spacing w:after="0" w:line="220" w:lineRule="auto"/>
        <w:rPr>
          <w:sz w:val="20"/>
          <w:szCs w:val="20"/>
          <w:color w:val="auto"/>
        </w:rPr>
      </w:pPr>
      <w:r>
        <w:rPr>
          <w:rFonts w:ascii="Times New Roman" w:cs="Times New Roman" w:eastAsia="Times New Roman" w:hAnsi="Times New Roman"/>
          <w:sz w:val="17"/>
          <w:szCs w:val="17"/>
          <w:color w:val="auto"/>
        </w:rPr>
        <w:t>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delivered.</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In the event of refusal to pay the depositary bank fees, the depositary bank may, under the terms of the deposit agreement, refuse the requested service until payment is received or may set off the amount of the depositary bank</w:t>
      </w:r>
    </w:p>
    <w:p>
      <w:pPr>
        <w:ind w:left="300" w:right="419"/>
        <w:spacing w:after="0" w:line="220" w:lineRule="auto"/>
        <w:rPr>
          <w:sz w:val="20"/>
          <w:szCs w:val="20"/>
          <w:color w:val="auto"/>
        </w:rPr>
      </w:pPr>
      <w:r>
        <w:rPr>
          <w:rFonts w:ascii="Times New Roman" w:cs="Times New Roman" w:eastAsia="Times New Roman" w:hAnsi="Times New Roman"/>
          <w:sz w:val="17"/>
          <w:szCs w:val="17"/>
          <w:color w:val="auto"/>
        </w:rPr>
        <w:t>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w:t>
      </w:r>
    </w:p>
    <w:p>
      <w:pPr>
        <w:spacing w:after="0" w:line="2" w:lineRule="exact"/>
        <w:rPr>
          <w:sz w:val="20"/>
          <w:szCs w:val="20"/>
          <w:color w:val="auto"/>
        </w:rPr>
      </w:pPr>
    </w:p>
    <w:p>
      <w:pPr>
        <w:ind w:left="300" w:right="319"/>
        <w:spacing w:after="0" w:line="218" w:lineRule="auto"/>
        <w:rPr>
          <w:sz w:val="20"/>
          <w:szCs w:val="20"/>
          <w:color w:val="auto"/>
        </w:rPr>
      </w:pPr>
      <w:r>
        <w:rPr>
          <w:rFonts w:ascii="Times New Roman" w:cs="Times New Roman" w:eastAsia="Times New Roman" w:hAnsi="Times New Roman"/>
          <w:sz w:val="18"/>
          <w:szCs w:val="18"/>
          <w:color w:val="auto"/>
        </w:rPr>
        <w:t>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81" w:lineRule="exact"/>
        <w:rPr>
          <w:sz w:val="20"/>
          <w:szCs w:val="20"/>
          <w:color w:val="auto"/>
        </w:rPr>
      </w:pPr>
    </w:p>
    <w:p>
      <w:pPr>
        <w:ind w:left="300" w:right="359" w:firstLine="441"/>
        <w:spacing w:after="0" w:line="222" w:lineRule="auto"/>
        <w:rPr>
          <w:sz w:val="20"/>
          <w:szCs w:val="20"/>
          <w:color w:val="auto"/>
        </w:rPr>
      </w:pPr>
      <w:r>
        <w:rPr>
          <w:rFonts w:ascii="Times New Roman" w:cs="Times New Roman" w:eastAsia="Times New Roman" w:hAnsi="Times New Roman"/>
          <w:sz w:val="18"/>
          <w:szCs w:val="18"/>
          <w:color w:val="auto"/>
        </w:rPr>
        <w:t>As an ADS holder, you will be responsible for the taxes and other governmental charges payable on the ADSs and the securities represented by the ADSs. We, the depositary bank and the custodian may deduct from any</w:t>
      </w:r>
    </w:p>
    <w:p>
      <w:pPr>
        <w:spacing w:after="0" w:line="2"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8"/>
          <w:szCs w:val="18"/>
          <w:color w:val="auto"/>
        </w:rPr>
        <w:t>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72" w:lineRule="exact"/>
        <w:rPr>
          <w:sz w:val="20"/>
          <w:szCs w:val="20"/>
          <w:color w:val="auto"/>
        </w:rPr>
      </w:pPr>
    </w:p>
    <w:p>
      <w:pPr>
        <w:ind w:left="300" w:right="699" w:firstLine="441"/>
        <w:spacing w:after="0" w:line="22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claims with respect to taxes based on any tax benefit obtained for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631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16115"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Defaults, Dividend Arrearages and Delinquencies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108"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430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1611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0027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16115" cy="70027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October 24, 2023, we sold 20,325,500 new ordinary shares (the "New Shares"), consisting of a public</w:t>
      </w:r>
    </w:p>
    <w:p>
      <w:pPr>
        <w:spacing w:after="0" w:line="2" w:lineRule="exact"/>
        <w:rPr>
          <w:sz w:val="20"/>
          <w:szCs w:val="20"/>
          <w:color w:val="auto"/>
        </w:rPr>
      </w:pPr>
    </w:p>
    <w:p>
      <w:pPr>
        <w:ind w:left="300" w:right="539"/>
        <w:spacing w:after="0" w:line="220" w:lineRule="auto"/>
        <w:rPr>
          <w:sz w:val="20"/>
          <w:szCs w:val="20"/>
          <w:color w:val="auto"/>
        </w:rPr>
      </w:pPr>
      <w:r>
        <w:rPr>
          <w:rFonts w:ascii="Times New Roman" w:cs="Times New Roman" w:eastAsia="Times New Roman" w:hAnsi="Times New Roman"/>
          <w:sz w:val="17"/>
          <w:szCs w:val="17"/>
          <w:color w:val="auto"/>
        </w:rPr>
        <w:t>offering of 18,699,460 ordinary shares in the form of ADSs, each representing the right to receive one ordinary share, in the United States (the "U.S. Offering") and a concurrent offering of 1,626,040 ordinary shares in certain jurisdictions outside of the United States to certain investors (the "European Private Placement" and together with</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the U.S. Offering, the "Global Offering"). The offering price was set at $11.60 per ADS in the U.S. Offering and a corresponding offering price of €10.9864 per ordinary share in the European Private Placement. The aggregate gross proceeds amounted to approximately $235.8 million, equivalent to approximately €223.3 million (based on the</w:t>
      </w:r>
    </w:p>
    <w:p>
      <w:pPr>
        <w:spacing w:after="0" w:line="2" w:lineRule="exact"/>
        <w:rPr>
          <w:sz w:val="20"/>
          <w:szCs w:val="20"/>
          <w:color w:val="auto"/>
        </w:rPr>
      </w:pP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exchange rate then in effect), before deduction of underwriting commissions and expenses payable by us. All of the ADSs and ordinary shares in the Global Offering were offered by Abivax.</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incurred aggregate underwriting discounts of approximately $16.5 million and expenses of approximately</w:t>
      </w:r>
    </w:p>
    <w:p>
      <w:pPr>
        <w:spacing w:after="0" w:line="2" w:lineRule="exact"/>
        <w:rPr>
          <w:sz w:val="20"/>
          <w:szCs w:val="20"/>
          <w:color w:val="auto"/>
        </w:rPr>
      </w:pPr>
    </w:p>
    <w:p>
      <w:pPr>
        <w:ind w:left="300" w:right="519"/>
        <w:spacing w:after="0" w:line="226" w:lineRule="auto"/>
        <w:rPr>
          <w:sz w:val="20"/>
          <w:szCs w:val="20"/>
          <w:color w:val="auto"/>
        </w:rPr>
      </w:pPr>
      <w:r>
        <w:rPr>
          <w:rFonts w:ascii="Times New Roman" w:cs="Times New Roman" w:eastAsia="Times New Roman" w:hAnsi="Times New Roman"/>
          <w:sz w:val="18"/>
          <w:szCs w:val="18"/>
          <w:color w:val="auto"/>
        </w:rPr>
        <w:t>$7.0 million, resulting in net proceeds to us of approximately $212.2 million. The effective date of the registration statement, File No. 333-274780, for our initial public offering was October 19, 2023.</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the date of this Annual Report on Form 20-F, we have applied all of the proceeds of our Global</w:t>
      </w:r>
    </w:p>
    <w:p>
      <w:pPr>
        <w:spacing w:after="0" w:line="2" w:lineRule="exact"/>
        <w:rPr>
          <w:sz w:val="20"/>
          <w:szCs w:val="20"/>
          <w:color w:val="auto"/>
        </w:rPr>
      </w:pP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Offering. There was no material change in the use of proceeds from the Global Offering from that described in the final prospectus related to the offering, which we filed with the SEC on October 23, 2023.</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Follow-On Offering</w:t>
      </w:r>
    </w:p>
    <w:p>
      <w:pPr>
        <w:spacing w:after="0" w:line="94" w:lineRule="exact"/>
        <w:rPr>
          <w:sz w:val="20"/>
          <w:szCs w:val="20"/>
          <w:color w:val="auto"/>
        </w:rPr>
      </w:pPr>
    </w:p>
    <w:p>
      <w:pPr>
        <w:jc w:val="both"/>
        <w:ind w:left="300" w:right="379" w:firstLine="441"/>
        <w:spacing w:after="0" w:line="229" w:lineRule="auto"/>
        <w:rPr>
          <w:sz w:val="20"/>
          <w:szCs w:val="20"/>
          <w:color w:val="auto"/>
        </w:rPr>
      </w:pPr>
      <w:r>
        <w:rPr>
          <w:rFonts w:ascii="Times New Roman" w:cs="Times New Roman" w:eastAsia="Times New Roman" w:hAnsi="Times New Roman"/>
          <w:sz w:val="17"/>
          <w:szCs w:val="17"/>
          <w:color w:val="auto"/>
        </w:rPr>
        <w:t>On July 23, 2025, we entered into an Underwriting Agreement (the “Underwriting Agreement”) with Leerink Partners LLC, Piper Sandler &amp; Co. and Guggenheim Securities, LLC, as representatives of the several underwriters named therein, in connection with the issuance and sale by the Company in a public offering of 11,679,400 ADSs at</w:t>
      </w:r>
    </w:p>
    <w:p>
      <w:pPr>
        <w:ind w:left="300" w:right="499"/>
        <w:spacing w:after="0" w:line="226" w:lineRule="auto"/>
        <w:rPr>
          <w:sz w:val="20"/>
          <w:szCs w:val="20"/>
          <w:color w:val="auto"/>
        </w:rPr>
      </w:pPr>
      <w:r>
        <w:rPr>
          <w:rFonts w:ascii="Times New Roman" w:cs="Times New Roman" w:eastAsia="Times New Roman" w:hAnsi="Times New Roman"/>
          <w:sz w:val="18"/>
          <w:szCs w:val="18"/>
          <w:color w:val="auto"/>
        </w:rPr>
        <w:t>a public offering price of $64.00 per ADS. The information contained in the Company’s Report on Form 6-K filed on July 24, 2025 is incorporated by reference herein.</w:t>
      </w:r>
    </w:p>
    <w:p>
      <w:pPr>
        <w:sectPr>
          <w:pgSz w:w="11900" w:h="16838" w:orient="portrait"/>
          <w:cols w:equalWidth="0" w:num="1">
            <w:col w:w="9019"/>
          </w:cols>
          <w:pgMar w:left="1440" w:top="1440" w:right="1440" w:bottom="1440" w:gutter="0" w:footer="0" w:header="0"/>
          <w:type w:val="continuous"/>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059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16115" cy="205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3743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16115" cy="837438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Chief Executive Officer (principal executive officer) and Chief Financial Officer (principal financial</w:t>
      </w:r>
    </w:p>
    <w:p>
      <w:pPr>
        <w:spacing w:after="0" w:line="2" w:lineRule="exact"/>
        <w:rPr>
          <w:sz w:val="20"/>
          <w:szCs w:val="20"/>
          <w:color w:val="auto"/>
        </w:rPr>
      </w:pPr>
    </w:p>
    <w:p>
      <w:pPr>
        <w:jc w:val="both"/>
        <w:ind w:left="300" w:right="539"/>
        <w:spacing w:after="0" w:line="220" w:lineRule="auto"/>
        <w:rPr>
          <w:sz w:val="20"/>
          <w:szCs w:val="20"/>
          <w:color w:val="auto"/>
        </w:rPr>
      </w:pPr>
      <w:r>
        <w:rPr>
          <w:rFonts w:ascii="Times New Roman" w:cs="Times New Roman" w:eastAsia="Times New Roman" w:hAnsi="Times New Roman"/>
          <w:sz w:val="17"/>
          <w:szCs w:val="17"/>
          <w:color w:val="auto"/>
        </w:rPr>
        <w:t>officer), after evaluating the effectiveness of our “disclosure controls and procedures,” as such term is defined in Rules 13a-15(e) and 15d-15(e) under the Exchange Act as of December 31, 2025, have concluded that, as of such date, our disclosure controls and procedures were not effective as a result of the material weaknesses described</w:t>
      </w:r>
    </w:p>
    <w:p>
      <w:pPr>
        <w:spacing w:after="0" w:line="2" w:lineRule="exact"/>
        <w:rPr>
          <w:sz w:val="20"/>
          <w:szCs w:val="20"/>
          <w:color w:val="auto"/>
        </w:rPr>
      </w:pPr>
    </w:p>
    <w:p>
      <w:pPr>
        <w:ind w:left="300" w:right="739"/>
        <w:spacing w:after="0" w:line="226" w:lineRule="auto"/>
        <w:rPr>
          <w:sz w:val="20"/>
          <w:szCs w:val="20"/>
          <w:color w:val="auto"/>
        </w:rPr>
      </w:pPr>
      <w:r>
        <w:rPr>
          <w:rFonts w:ascii="Times New Roman" w:cs="Times New Roman" w:eastAsia="Times New Roman" w:hAnsi="Times New Roman"/>
          <w:sz w:val="18"/>
          <w:szCs w:val="18"/>
          <w:color w:val="auto"/>
        </w:rPr>
        <w:t>below. We are undertaking the remedial steps to address the material weaknesses in our disclosure controls and procedures as discussed below.</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w:t>
      </w:r>
    </w:p>
    <w:p>
      <w:pPr>
        <w:spacing w:after="0" w:line="2" w:lineRule="exact"/>
        <w:rPr>
          <w:sz w:val="20"/>
          <w:szCs w:val="20"/>
          <w:color w:val="auto"/>
        </w:rPr>
      </w:pP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reporting (as defined in Rules 13a-15(f) and 15d-15(f) under the Exchange Act) and for the assessment of the effectiveness of our internal control over financial reporting. Our internal control over financial reporting is designed to provide reasonable assurance regarding the reliability of financial reporting and the preparation of consolidated</w:t>
      </w:r>
    </w:p>
    <w:p>
      <w:pPr>
        <w:spacing w:after="0" w:line="2" w:lineRule="exact"/>
        <w:rPr>
          <w:sz w:val="20"/>
          <w:szCs w:val="20"/>
          <w:color w:val="auto"/>
        </w:rPr>
      </w:pPr>
    </w:p>
    <w:p>
      <w:pPr>
        <w:ind w:left="300" w:right="439"/>
        <w:spacing w:after="0" w:line="218" w:lineRule="auto"/>
        <w:rPr>
          <w:sz w:val="20"/>
          <w:szCs w:val="20"/>
          <w:color w:val="auto"/>
        </w:rPr>
      </w:pPr>
      <w:r>
        <w:rPr>
          <w:rFonts w:ascii="Times New Roman" w:cs="Times New Roman" w:eastAsia="Times New Roman" w:hAnsi="Times New Roman"/>
          <w:sz w:val="18"/>
          <w:szCs w:val="18"/>
          <w:color w:val="auto"/>
        </w:rPr>
        <w:t>financial statements for external purposes in accordance with International Financial Reporting Standards ("IFRS") as issued by the International Accounting Standard board ("IASB") and IFRS as adopted by the European Union ("EU").</w:t>
      </w:r>
    </w:p>
    <w:p>
      <w:pPr>
        <w:spacing w:after="0" w:line="64" w:lineRule="exact"/>
        <w:rPr>
          <w:sz w:val="20"/>
          <w:szCs w:val="20"/>
          <w:color w:val="auto"/>
        </w:rPr>
      </w:pPr>
    </w:p>
    <w:p>
      <w:pPr>
        <w:ind w:left="300" w:right="299" w:firstLine="441"/>
        <w:spacing w:after="0" w:line="22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or procedures may deteriorate. Effective internal controls can provide only reasonable assurance with respect to the preparation and fair presentation of financial statements.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w:t>
      </w:r>
    </w:p>
    <w:p>
      <w:pPr>
        <w:spacing w:after="0" w:line="2" w:lineRule="exact"/>
        <w:rPr>
          <w:sz w:val="20"/>
          <w:szCs w:val="20"/>
          <w:color w:val="auto"/>
        </w:rPr>
      </w:pPr>
    </w:p>
    <w:p>
      <w:pPr>
        <w:ind w:left="300" w:right="499"/>
        <w:spacing w:after="0" w:line="220" w:lineRule="auto"/>
        <w:rPr>
          <w:sz w:val="20"/>
          <w:szCs w:val="20"/>
          <w:color w:val="auto"/>
        </w:rPr>
      </w:pPr>
      <w:r>
        <w:rPr>
          <w:rFonts w:ascii="Times New Roman" w:cs="Times New Roman" w:eastAsia="Times New Roman" w:hAnsi="Times New Roman"/>
          <w:sz w:val="17"/>
          <w:szCs w:val="17"/>
          <w:color w:val="auto"/>
        </w:rPr>
        <w:t>the design and effectiveness of our internal control over financial reporting as of December 31, 2025, using the criteria established in the Internal Control - Integrated Framework (2013) issued by the Committee of Sponsoring Organizations of the Treadway Commission (“COSO”). Based on this evaluation, management concluded that our</w:t>
      </w:r>
    </w:p>
    <w:p>
      <w:pPr>
        <w:spacing w:after="0" w:line="2" w:lineRule="exact"/>
        <w:rPr>
          <w:sz w:val="20"/>
          <w:szCs w:val="20"/>
          <w:color w:val="auto"/>
        </w:rPr>
      </w:pPr>
    </w:p>
    <w:p>
      <w:pPr>
        <w:ind w:left="300" w:right="759"/>
        <w:spacing w:after="0" w:line="226" w:lineRule="auto"/>
        <w:rPr>
          <w:sz w:val="20"/>
          <w:szCs w:val="20"/>
          <w:color w:val="auto"/>
        </w:rPr>
      </w:pPr>
      <w:r>
        <w:rPr>
          <w:rFonts w:ascii="Times New Roman" w:cs="Times New Roman" w:eastAsia="Times New Roman" w:hAnsi="Times New Roman"/>
          <w:sz w:val="18"/>
          <w:szCs w:val="18"/>
          <w:color w:val="auto"/>
        </w:rPr>
        <w:t>internal control over financial reporting was not effective as of December 31, 2025 due to material weaknesses described below.</w:t>
      </w:r>
    </w:p>
    <w:p>
      <w:pPr>
        <w:spacing w:after="0" w:line="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w:t>
      </w:r>
    </w:p>
    <w:p>
      <w:pPr>
        <w:spacing w:after="0" w:line="2" w:lineRule="exact"/>
        <w:rPr>
          <w:sz w:val="20"/>
          <w:szCs w:val="20"/>
          <w:color w:val="auto"/>
        </w:rPr>
      </w:pPr>
    </w:p>
    <w:p>
      <w:pPr>
        <w:ind w:left="300" w:right="399"/>
        <w:spacing w:after="0" w:line="226" w:lineRule="auto"/>
        <w:rPr>
          <w:sz w:val="20"/>
          <w:szCs w:val="20"/>
          <w:color w:val="auto"/>
        </w:rPr>
      </w:pPr>
      <w:r>
        <w:rPr>
          <w:rFonts w:ascii="Times New Roman" w:cs="Times New Roman" w:eastAsia="Times New Roman" w:hAnsi="Times New Roman"/>
          <w:sz w:val="18"/>
          <w:szCs w:val="18"/>
          <w:color w:val="auto"/>
        </w:rPr>
        <w:t>reporting, such that there is a reasonable possibility that a material misstatement of our financial statements will not be prevented or detected on a timely basis.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material weaknesses are related to a lack of (i) design and implementation of effective risk assessment</w:t>
      </w:r>
    </w:p>
    <w:p>
      <w:pPr>
        <w:spacing w:after="0" w:line="2" w:lineRule="exact"/>
        <w:rPr>
          <w:sz w:val="20"/>
          <w:szCs w:val="20"/>
          <w:color w:val="auto"/>
        </w:rPr>
      </w:pPr>
    </w:p>
    <w:p>
      <w:pPr>
        <w:ind w:left="300" w:right="379"/>
        <w:spacing w:after="0" w:line="220" w:lineRule="auto"/>
        <w:rPr>
          <w:sz w:val="20"/>
          <w:szCs w:val="20"/>
          <w:color w:val="auto"/>
        </w:rPr>
      </w:pPr>
      <w:r>
        <w:rPr>
          <w:rFonts w:ascii="Times New Roman" w:cs="Times New Roman" w:eastAsia="Times New Roman" w:hAnsi="Times New Roman"/>
          <w:sz w:val="17"/>
          <w:szCs w:val="17"/>
          <w:color w:val="auto"/>
        </w:rPr>
        <w:t>process (Risk Assessment), (ii) formal, documented and implemented processes, controls and review procedures (Control Activities), (iii) sufficient processes to identify, capture and communicate information necessary to support the functioning of internal controls over financial reporting (Information and Communication) and (iv) process to</w:t>
      </w:r>
    </w:p>
    <w:p>
      <w:pPr>
        <w:spacing w:after="0" w:line="2" w:lineRule="exact"/>
        <w:rPr>
          <w:sz w:val="20"/>
          <w:szCs w:val="20"/>
          <w:color w:val="auto"/>
        </w:rPr>
      </w:pPr>
    </w:p>
    <w:p>
      <w:pPr>
        <w:ind w:left="300" w:right="519"/>
        <w:spacing w:after="0" w:line="220" w:lineRule="auto"/>
        <w:rPr>
          <w:sz w:val="20"/>
          <w:szCs w:val="20"/>
          <w:color w:val="auto"/>
        </w:rPr>
      </w:pPr>
      <w:r>
        <w:rPr>
          <w:rFonts w:ascii="Times New Roman" w:cs="Times New Roman" w:eastAsia="Times New Roman" w:hAnsi="Times New Roman"/>
          <w:sz w:val="17"/>
          <w:szCs w:val="17"/>
          <w:color w:val="auto"/>
        </w:rPr>
        <w:t>identify, maintain, and develop all control activities (Monitoring Activities). These material weaknesses are specifically due to a lack of sufficient number of professionals with an appropriate level of internal control knowledge, training and experience and the need to continue to reinforce our internal control governance (Control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Environment).</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81" w:lineRule="exact"/>
        <w:rPr>
          <w:sz w:val="20"/>
          <w:szCs w:val="20"/>
          <w:color w:val="auto"/>
        </w:rPr>
      </w:pPr>
    </w:p>
    <w:p>
      <w:pPr>
        <w:ind w:left="300" w:right="819" w:firstLine="441"/>
        <w:spacing w:after="0" w:line="250" w:lineRule="auto"/>
        <w:rPr>
          <w:sz w:val="20"/>
          <w:szCs w:val="20"/>
          <w:color w:val="auto"/>
        </w:rPr>
      </w:pPr>
      <w:r>
        <w:rPr>
          <w:rFonts w:ascii="Times New Roman" w:cs="Times New Roman" w:eastAsia="Times New Roman" w:hAnsi="Times New Roman"/>
          <w:sz w:val="18"/>
          <w:szCs w:val="18"/>
          <w:color w:val="auto"/>
        </w:rPr>
        <w:t>In response to the identified material weaknesses, management took a number of actions to improve the internal control over financial reporting during the year ended December 31, 2025.</w:t>
      </w:r>
    </w:p>
    <w:p>
      <w:pPr>
        <w:spacing w:after="0" w:line="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These actions include, but are not limited to, the following:</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Reinforcing further the finance and accounting resources by:</w:t>
      </w:r>
    </w:p>
    <w:p>
      <w:pPr>
        <w:spacing w:after="0" w:line="185" w:lineRule="exact"/>
        <w:rPr>
          <w:sz w:val="20"/>
          <w:szCs w:val="20"/>
          <w:color w:val="auto"/>
        </w:rPr>
      </w:pPr>
    </w:p>
    <w:p>
      <w:pPr>
        <w:ind w:left="940" w:right="899" w:firstLine="117"/>
        <w:spacing w:after="0" w:line="266" w:lineRule="auto"/>
        <w:tabs>
          <w:tab w:leader="none" w:pos="15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finance personnel, focusing on qualifications, certifications and relevant industry experience; and</w:t>
      </w:r>
    </w:p>
    <w:p>
      <w:pPr>
        <w:spacing w:after="0" w:line="135" w:lineRule="exact"/>
        <w:rPr>
          <w:rFonts w:ascii="Times New Roman" w:cs="Times New Roman" w:eastAsia="Times New Roman" w:hAnsi="Times New Roman"/>
          <w:sz w:val="18"/>
          <w:szCs w:val="18"/>
          <w:color w:val="auto"/>
        </w:rPr>
      </w:pPr>
    </w:p>
    <w:p>
      <w:pPr>
        <w:ind w:left="940" w:right="679" w:firstLine="117"/>
        <w:spacing w:after="0" w:line="266" w:lineRule="auto"/>
        <w:tabs>
          <w:tab w:leader="none" w:pos="15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structured onboarding program for new hires, including an introduction to current financial systems, company processes, and internal controls.</w:t>
      </w:r>
    </w:p>
    <w:p>
      <w:pPr>
        <w:spacing w:after="0" w:line="257" w:lineRule="exact"/>
        <w:rPr>
          <w:sz w:val="20"/>
          <w:szCs w:val="20"/>
          <w:color w:val="auto"/>
        </w:rPr>
      </w:pPr>
    </w:p>
    <w:p>
      <w:pPr>
        <w:ind w:left="300" w:right="539" w:firstLine="441"/>
        <w:spacing w:after="0" w:line="250" w:lineRule="auto"/>
        <w:rPr>
          <w:sz w:val="20"/>
          <w:szCs w:val="20"/>
          <w:color w:val="auto"/>
        </w:rPr>
      </w:pPr>
      <w:r>
        <w:rPr>
          <w:rFonts w:ascii="Times New Roman" w:cs="Times New Roman" w:eastAsia="Times New Roman" w:hAnsi="Times New Roman"/>
          <w:sz w:val="18"/>
          <w:szCs w:val="18"/>
          <w:color w:val="auto"/>
        </w:rPr>
        <w:t>With the support of our external advisors, we are in the process of designing and implementing measures to enhance our internal control over financial reporting:</w:t>
      </w:r>
    </w:p>
    <w:p>
      <w:pPr>
        <w:sectPr>
          <w:pgSz w:w="11900" w:h="16838" w:orient="portrait"/>
          <w:cols w:equalWidth="0" w:num="1">
            <w:col w:w="9019"/>
          </w:cols>
          <w:pgMar w:left="1440" w:top="1440" w:right="1440" w:bottom="0" w:gutter="0" w:footer="0" w:header="0"/>
          <w:type w:val="continuous"/>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87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16115" cy="687705"/>
                    </a:xfrm>
                    <a:prstGeom prst="rect">
                      <a:avLst/>
                    </a:prstGeom>
                    <a:noFill/>
                  </pic:spPr>
                </pic:pic>
              </a:graphicData>
            </a:graphic>
          </wp:anchor>
        </w:drawing>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9073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769" w:right="1440"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40" w:right="459" w:hanging="324"/>
        <w:spacing w:after="0" w:line="236" w:lineRule="auto"/>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comprehensive risk assessment in all areas, including cash management, financial reporting, compliance with regulations, fraud prevention and operational risks. The risk assessment will be implemented as a framework, with specific objectives to identify new risks and update regularly our processes based on emerging risks and/or changes in regulatory requirements,</w:t>
      </w:r>
    </w:p>
    <w:p>
      <w:pPr>
        <w:spacing w:after="0" w:line="157" w:lineRule="exact"/>
        <w:rPr>
          <w:rFonts w:ascii="Times New Roman" w:cs="Times New Roman" w:eastAsia="Times New Roman" w:hAnsi="Times New Roman"/>
          <w:sz w:val="18"/>
          <w:szCs w:val="18"/>
          <w:color w:val="auto"/>
        </w:rPr>
      </w:pPr>
    </w:p>
    <w:p>
      <w:pPr>
        <w:ind w:left="940" w:right="579" w:hanging="324"/>
        <w:spacing w:after="0" w:line="232" w:lineRule="auto"/>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started designing and implementing processes and controls, including segregation of duties, approval workflows and reconciliation procedures. In particular, we are implementing additional review activities within our finance department and introducing further standard operating procedures for the preparation of the financial statements,</w:t>
      </w:r>
    </w:p>
    <w:p>
      <w:pPr>
        <w:spacing w:after="0" w:line="158" w:lineRule="exact"/>
        <w:rPr>
          <w:rFonts w:ascii="Times New Roman" w:cs="Times New Roman" w:eastAsia="Times New Roman" w:hAnsi="Times New Roman"/>
          <w:sz w:val="18"/>
          <w:szCs w:val="18"/>
          <w:color w:val="auto"/>
        </w:rPr>
      </w:pPr>
    </w:p>
    <w:p>
      <w:pPr>
        <w:jc w:val="both"/>
        <w:ind w:left="940" w:right="479" w:hanging="324"/>
        <w:spacing w:after="0" w:line="255" w:lineRule="auto"/>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 the process of enhancing our information technology and the set of controls over the systems to create a more effective control environment, which includes providing training to finance and accounting personnel on the upgraded systems, focusing on new features, controls, and reporting capabilities.</w:t>
      </w:r>
    </w:p>
    <w:p>
      <w:pPr>
        <w:spacing w:after="0" w:line="146" w:lineRule="exact"/>
        <w:rPr>
          <w:rFonts w:ascii="Times New Roman" w:cs="Times New Roman" w:eastAsia="Times New Roman" w:hAnsi="Times New Roman"/>
          <w:sz w:val="17"/>
          <w:szCs w:val="17"/>
          <w:color w:val="auto"/>
        </w:rPr>
      </w:pPr>
    </w:p>
    <w:p>
      <w:pPr>
        <w:ind w:left="940" w:right="499" w:hanging="324"/>
        <w:spacing w:after="0" w:line="242" w:lineRule="auto"/>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deploy a more structured internal control governance with strong tone at the top communications to drive a solid control environment throughout the organization and an annual testing plan that includes monitoring of the operation of internal controls and addressing control deficiencies.</w:t>
      </w:r>
    </w:p>
    <w:p>
      <w:pPr>
        <w:spacing w:after="0" w:line="62" w:lineRule="exact"/>
        <w:rPr>
          <w:sz w:val="20"/>
          <w:szCs w:val="20"/>
          <w:color w:val="auto"/>
        </w:rPr>
      </w:pPr>
    </w:p>
    <w:p>
      <w:pPr>
        <w:ind w:left="300" w:right="319" w:firstLine="441"/>
        <w:spacing w:after="0" w:line="229" w:lineRule="auto"/>
        <w:rPr>
          <w:sz w:val="20"/>
          <w:szCs w:val="20"/>
          <w:color w:val="auto"/>
        </w:rPr>
      </w:pPr>
      <w:r>
        <w:rPr>
          <w:rFonts w:ascii="Times New Roman" w:cs="Times New Roman" w:eastAsia="Times New Roman" w:hAnsi="Times New Roman"/>
          <w:sz w:val="17"/>
          <w:szCs w:val="17"/>
          <w:color w:val="auto"/>
        </w:rPr>
        <w:t>As of December 31, 2025, management has concluded that, while it has made significant progress to remediate the previously disclosed material weaknesses, they have not been remediated. With the oversight of senior management and our audit committee, we continue to strengthen our internal control over financial reporting and are</w:t>
      </w:r>
    </w:p>
    <w:p>
      <w:pPr>
        <w:ind w:left="300"/>
        <w:spacing w:after="0"/>
        <w:rPr>
          <w:sz w:val="20"/>
          <w:szCs w:val="20"/>
          <w:color w:val="auto"/>
        </w:rPr>
      </w:pPr>
      <w:r>
        <w:rPr>
          <w:rFonts w:ascii="Times New Roman" w:cs="Times New Roman" w:eastAsia="Times New Roman" w:hAnsi="Times New Roman"/>
          <w:sz w:val="18"/>
          <w:szCs w:val="18"/>
          <w:color w:val="auto"/>
        </w:rPr>
        <w:t>taking several remedial actions to address the material weaknesses that have been identified.</w:t>
      </w:r>
    </w:p>
    <w:p>
      <w:pPr>
        <w:spacing w:after="0" w:line="57" w:lineRule="exact"/>
        <w:rPr>
          <w:sz w:val="20"/>
          <w:szCs w:val="20"/>
          <w:color w:val="auto"/>
        </w:rPr>
      </w:pPr>
    </w:p>
    <w:p>
      <w:pPr>
        <w:ind w:left="300" w:right="359" w:firstLine="441"/>
        <w:spacing w:after="0" w:line="236" w:lineRule="auto"/>
        <w:rPr>
          <w:sz w:val="20"/>
          <w:szCs w:val="20"/>
          <w:color w:val="auto"/>
        </w:rPr>
      </w:pPr>
      <w:r>
        <w:rPr>
          <w:rFonts w:ascii="Times New Roman" w:cs="Times New Roman" w:eastAsia="Times New Roman" w:hAnsi="Times New Roman"/>
          <w:sz w:val="17"/>
          <w:szCs w:val="17"/>
          <w:color w:val="auto"/>
        </w:rPr>
        <w:t>After giving full consideration to these material weaknesses, and the additional analyses and other procedures that we performed to ensure that our consolidated financial statements included in this Annual Report on Form 20-F</w:t>
      </w:r>
    </w:p>
    <w:p>
      <w:pPr>
        <w:ind w:left="300" w:right="479"/>
        <w:spacing w:after="0" w:line="218" w:lineRule="auto"/>
        <w:rPr>
          <w:sz w:val="20"/>
          <w:szCs w:val="20"/>
          <w:color w:val="auto"/>
        </w:rPr>
      </w:pPr>
      <w:r>
        <w:rPr>
          <w:rFonts w:ascii="Times New Roman" w:cs="Times New Roman" w:eastAsia="Times New Roman" w:hAnsi="Times New Roman"/>
          <w:sz w:val="18"/>
          <w:szCs w:val="18"/>
          <w:color w:val="auto"/>
        </w:rPr>
        <w:t>were prepared in accordance with International Financial Reporting Standards (IFRS), management has concluded that our consolidated financial statements present fairly, in all material respects, our financial position, results of operations and cash flows for the periods disclosed in conformity with IFRS.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left="300" w:right="499" w:firstLine="441"/>
        <w:spacing w:after="0" w:line="22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 transition period established by rules of the Securities and Exchange Commission for emerging growth companies (as defined in Rule 12b-2 under the Exchange Act).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Control over Financial Reporting</w:t>
      </w:r>
    </w:p>
    <w:p>
      <w:pPr>
        <w:spacing w:after="0" w:line="121" w:lineRule="exact"/>
        <w:rPr>
          <w:sz w:val="20"/>
          <w:szCs w:val="20"/>
          <w:color w:val="auto"/>
        </w:rPr>
      </w:pPr>
    </w:p>
    <w:p>
      <w:pPr>
        <w:jc w:val="center"/>
        <w:ind w:left="300" w:right="379"/>
        <w:spacing w:after="0" w:line="229" w:lineRule="auto"/>
        <w:rPr>
          <w:sz w:val="20"/>
          <w:szCs w:val="20"/>
          <w:color w:val="auto"/>
        </w:rPr>
      </w:pPr>
      <w:r>
        <w:rPr>
          <w:rFonts w:ascii="Times New Roman" w:cs="Times New Roman" w:eastAsia="Times New Roman" w:hAnsi="Times New Roman"/>
          <w:sz w:val="17"/>
          <w:szCs w:val="17"/>
          <w:color w:val="auto"/>
        </w:rPr>
        <w:t>Except as described above in the section titled "Management’s Annual Report on Internal Control Over Financial Reporting" there has been no change in our internal control over financial reporting during the year ended December 31, 2025 that has materially affected, or is reasonably likely to materially affect, our internal control over</w:t>
      </w:r>
    </w:p>
    <w:p>
      <w:pPr>
        <w:ind w:left="300"/>
        <w:spacing w:after="0"/>
        <w:rPr>
          <w:sz w:val="20"/>
          <w:szCs w:val="20"/>
          <w:color w:val="auto"/>
        </w:rPr>
      </w:pPr>
      <w:r>
        <w:rPr>
          <w:rFonts w:ascii="Times New Roman" w:cs="Times New Roman" w:eastAsia="Times New Roman" w:hAnsi="Times New Roman"/>
          <w:sz w:val="18"/>
          <w:szCs w:val="18"/>
          <w:color w:val="auto"/>
        </w:rPr>
        <w:t>financial reporting.</w:t>
      </w:r>
    </w:p>
    <w:p>
      <w:pPr>
        <w:sectPr>
          <w:pgSz w:w="11900" w:h="16838" w:orient="portrait"/>
          <w:cols w:equalWidth="0" w:num="1">
            <w:col w:w="9019"/>
          </w:cols>
          <w:pgMar w:left="1440" w:top="769" w:right="1440" w:bottom="87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905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16115" cy="590550"/>
                    </a:xfrm>
                    <a:prstGeom prst="rect">
                      <a:avLst/>
                    </a:prstGeom>
                    <a:noFill/>
                  </pic:spPr>
                </pic:pic>
              </a:graphicData>
            </a:graphic>
          </wp:anchor>
        </w:drawing>
      </w:r>
    </w:p>
    <w:p>
      <w:pPr>
        <w:sectPr>
          <w:pgSz w:w="11900" w:h="16838" w:orient="portrait"/>
          <w:cols w:equalWidth="0" w:num="1">
            <w:col w:w="9019"/>
          </w:cols>
          <w:pgMar w:left="1440" w:top="769" w:right="1440" w:bottom="879" w:gutter="0" w:footer="0" w:header="0"/>
          <w:type w:val="continuous"/>
        </w:sectPr>
      </w:pPr>
    </w:p>
    <w:bookmarkStart w:id="134" w:name="page135"/>
    <w:bookmarkEnd w:id="134"/>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4715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16115" cy="8471535"/>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121" w:lineRule="exact"/>
        <w:rPr>
          <w:sz w:val="20"/>
          <w:szCs w:val="20"/>
          <w:color w:val="auto"/>
        </w:rPr>
      </w:pPr>
    </w:p>
    <w:p>
      <w:pPr>
        <w:ind w:left="300" w:right="319" w:firstLine="441"/>
        <w:spacing w:after="0" w:line="236" w:lineRule="auto"/>
        <w:rPr>
          <w:sz w:val="20"/>
          <w:szCs w:val="20"/>
          <w:color w:val="auto"/>
        </w:rPr>
      </w:pPr>
      <w:r>
        <w:rPr>
          <w:rFonts w:ascii="Times New Roman" w:cs="Times New Roman" w:eastAsia="Times New Roman" w:hAnsi="Times New Roman"/>
          <w:sz w:val="17"/>
          <w:szCs w:val="17"/>
          <w:color w:val="auto"/>
        </w:rPr>
        <w:t>Our Board has determined that each of the members of our audit committee is independent within the meaning of the applicable listing rules of Nasdaq and the independence requirements contemplated by Rule 10A-3 under the</w:t>
      </w:r>
    </w:p>
    <w:p>
      <w:pPr>
        <w:jc w:val="both"/>
        <w:ind w:left="300" w:right="459"/>
        <w:spacing w:after="0" w:line="220" w:lineRule="auto"/>
        <w:rPr>
          <w:sz w:val="20"/>
          <w:szCs w:val="20"/>
          <w:color w:val="auto"/>
        </w:rPr>
      </w:pPr>
      <w:r>
        <w:rPr>
          <w:rFonts w:ascii="Times New Roman" w:cs="Times New Roman" w:eastAsia="Times New Roman" w:hAnsi="Times New Roman"/>
          <w:sz w:val="17"/>
          <w:szCs w:val="17"/>
          <w:color w:val="auto"/>
        </w:rPr>
        <w:t>Exchange Act. Committee members must be competent in financial or accounting matters and at least one member must be independent in accordance with the provisions of the Middlenext Code. Our Board has further determined that Mr. Ignelzi is an “audit committee financial expert” as defined by SEC rules and regulations and that Mr.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Ignelzi qualifies as financially sophisticated under the listing rules of Nasdaq.</w:t>
      </w:r>
    </w:p>
    <w:p>
      <w:pPr>
        <w:spacing w:after="0" w:line="16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121" w:lineRule="exact"/>
        <w:rPr>
          <w:sz w:val="20"/>
          <w:szCs w:val="20"/>
          <w:color w:val="auto"/>
        </w:rPr>
      </w:pPr>
    </w:p>
    <w:p>
      <w:pPr>
        <w:ind w:left="300" w:right="519" w:firstLine="441"/>
        <w:spacing w:after="0" w:line="236" w:lineRule="auto"/>
        <w:rPr>
          <w:sz w:val="20"/>
          <w:szCs w:val="20"/>
          <w:color w:val="auto"/>
        </w:rPr>
      </w:pPr>
      <w:r>
        <w:rPr>
          <w:rFonts w:ascii="Times New Roman" w:cs="Times New Roman" w:eastAsia="Times New Roman" w:hAnsi="Times New Roman"/>
          <w:sz w:val="17"/>
          <w:szCs w:val="17"/>
          <w:color w:val="auto"/>
        </w:rPr>
        <w:t>We have adopted a Code of Business Conduct and Ethics, applicable to all of our employees, senior management and directors, which is available on our website at www.abivax.com. We intend to promptly disclose</w:t>
      </w:r>
    </w:p>
    <w:p>
      <w:pPr>
        <w:ind w:left="300" w:right="419" w:hanging="8"/>
        <w:spacing w:after="0" w:line="211" w:lineRule="auto"/>
        <w:tabs>
          <w:tab w:leader="none" w:pos="5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amendment (other than technical, administrative or other non-substantive amendments) to the Code of Business Conduct and Ethics that applies to our principal executive officer, principal financial officer, principal accounting officer or controller, or persons performing similar functions, and relates to any element of the code of ethics definition enumerated in Item 16B(b) of Form 20-F and (ii) the nature of any waiver, including an implicit waiver, from a provision of the Code of Business Conduct and Ethics that is granted to one of these specified individuals that relates to one or more of the elements of the code of ethics definition enumerated in Item 16B(b) of Form 20-F, the name of such person who is granted the waiver and the date of the waiver. The reference to our website address does not constitute incorporation by reference of the information contained at or available through our website, and you should not consider it to be a part of this Annual Report.</w:t>
      </w:r>
    </w:p>
    <w:p>
      <w:pPr>
        <w:spacing w:after="0" w:line="174"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41"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4020" w:type="dxa"/>
            <w:vAlign w:val="bottom"/>
            <w:tcBorders>
              <w:top w:val="single" w:sz="8" w:color="auto"/>
              <w:left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i w:val="1"/>
                <w:iCs w:val="1"/>
                <w:color w:val="auto"/>
              </w:rPr>
              <w:t>(amounts in thousands of euros)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020" w:type="dxa"/>
            <w:vAlign w:val="bottom"/>
            <w:tcBorders>
              <w:left w:val="single" w:sz="8" w:color="auto"/>
              <w:right w:val="single" w:sz="8" w:color="auto"/>
            </w:tcBorders>
            <w:vMerge w:val="continue"/>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2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1,714</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70"/>
        </w:trPr>
        <w:tc>
          <w:tcPr>
            <w:tcW w:w="4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76</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4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492</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2,206</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1,083</w:t>
            </w:r>
          </w:p>
        </w:tc>
        <w:tc>
          <w:tcPr>
            <w:tcW w:w="14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Audit fees include the standard audit work performed each fiscal year necessary to allow the auditor to issue</w:t>
      </w:r>
    </w:p>
    <w:p>
      <w:pPr>
        <w:spacing w:after="0" w:line="2" w:lineRule="exact"/>
        <w:rPr>
          <w:sz w:val="20"/>
          <w:szCs w:val="20"/>
          <w:color w:val="auto"/>
        </w:rPr>
      </w:pPr>
    </w:p>
    <w:p>
      <w:pPr>
        <w:jc w:val="both"/>
        <w:ind w:left="300" w:right="399"/>
        <w:spacing w:after="0" w:line="220" w:lineRule="auto"/>
        <w:rPr>
          <w:sz w:val="20"/>
          <w:szCs w:val="20"/>
          <w:color w:val="auto"/>
        </w:rPr>
      </w:pPr>
      <w:r>
        <w:rPr>
          <w:rFonts w:ascii="Times New Roman" w:cs="Times New Roman" w:eastAsia="Times New Roman" w:hAnsi="Times New Roman"/>
          <w:sz w:val="17"/>
          <w:szCs w:val="17"/>
          <w:color w:val="auto"/>
        </w:rPr>
        <w:t>an opinion on our financial statements and to issue an opinion on the local statutory financial statements. Audit fees also include services that can be provided only by the external auditor such as reviews of quarterly financial results and review of our securities offering documents. Fees for the audit of our annual financial statements for the fiscal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years ended December 31, 2025 and 2024 were €1.1 million and €1.0 million, respectively.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“Audit-related Fees” are the aggregate fees for assurance and related services that are reasonably related to the</w:t>
      </w:r>
    </w:p>
    <w:p>
      <w:pPr>
        <w:spacing w:after="0" w:line="2" w:lineRule="exact"/>
        <w:rPr>
          <w:sz w:val="20"/>
          <w:szCs w:val="20"/>
          <w:color w:val="auto"/>
        </w:rPr>
      </w:pPr>
    </w:p>
    <w:p>
      <w:pPr>
        <w:ind w:left="300" w:right="459"/>
        <w:spacing w:after="0" w:line="226" w:lineRule="auto"/>
        <w:rPr>
          <w:sz w:val="20"/>
          <w:szCs w:val="20"/>
          <w:color w:val="auto"/>
        </w:rPr>
      </w:pPr>
      <w:r>
        <w:rPr>
          <w:rFonts w:ascii="Times New Roman" w:cs="Times New Roman" w:eastAsia="Times New Roman" w:hAnsi="Times New Roman"/>
          <w:sz w:val="18"/>
          <w:szCs w:val="18"/>
          <w:color w:val="auto"/>
        </w:rPr>
        <w:t>performance of the audit and are not reported under Audit Fees. The aggregate audit-related fees for the fiscal year ended December 31, 2025 and 2024 were €113 thousand and €76 thousand respectively.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ind w:left="300" w:right="699" w:firstLine="441"/>
        <w:spacing w:after="0" w:line="237" w:lineRule="auto"/>
        <w:rPr>
          <w:sz w:val="20"/>
          <w:szCs w:val="20"/>
          <w:color w:val="auto"/>
        </w:rPr>
      </w:pPr>
      <w:r>
        <w:rPr>
          <w:rFonts w:ascii="Times New Roman" w:cs="Times New Roman" w:eastAsia="Times New Roman" w:hAnsi="Times New Roman"/>
          <w:sz w:val="18"/>
          <w:szCs w:val="18"/>
          <w:color w:val="auto"/>
        </w:rPr>
        <w:t>The aggregate fees for all other services for the fiscal year ended December 31, 2025 and 2024 were €0.1 million and €7 thousand respectively. Other fees relate to other non-audit assurance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962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1611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121"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The Audit Committee is responsible for recommending the appointment, replacement, and compensation of the independent auditors and monitoring the performance of the independent auditors. As part of this responsibility,</w:t>
      </w:r>
    </w:p>
    <w:p>
      <w:pPr>
        <w:ind w:left="300" w:right="299"/>
        <w:spacing w:after="0" w:line="208"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performed by the independent auditors in order to assure that they do not impair the auditor’s independence from the Company in accordance with the Audit Committee’s pre-approval policy. All fees described in this Item 16C above were pre-approved by the Audit</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w:t>
      </w:r>
    </w:p>
    <w:p>
      <w:pPr>
        <w:sectPr>
          <w:pgSz w:w="11900" w:h="16838" w:orient="portrait"/>
          <w:cols w:equalWidth="0" w:num="1">
            <w:col w:w="9019"/>
          </w:cols>
          <w:pgMar w:left="1440" w:top="468" w:right="1440" w:bottom="0" w:gutter="0" w:footer="0" w:header="0"/>
        </w:sectPr>
      </w:pPr>
    </w:p>
    <w:bookmarkStart w:id="135" w:name="page136"/>
    <w:bookmarkEnd w:id="135"/>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-107950</wp:posOffset>
            </wp:positionV>
            <wp:extent cx="7016115" cy="70999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16115" cy="7099935"/>
                    </a:xfrm>
                    <a:prstGeom prst="rect">
                      <a:avLst/>
                    </a:prstGeom>
                    <a:noFill/>
                  </pic:spPr>
                </pic:pic>
              </a:graphicData>
            </a:graphic>
          </wp:anchor>
        </w:drawing>
      </w:r>
    </w:p>
    <w:p>
      <w:pPr>
        <w:spacing w:after="0" w:line="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19" w:lineRule="exact"/>
        <w:rPr>
          <w:sz w:val="20"/>
          <w:szCs w:val="20"/>
          <w:color w:val="auto"/>
        </w:rPr>
      </w:pPr>
    </w:p>
    <w:p>
      <w:pPr>
        <w:ind w:left="300" w:right="499" w:firstLine="441"/>
        <w:spacing w:after="0" w:line="237" w:lineRule="auto"/>
        <w:rPr>
          <w:sz w:val="20"/>
          <w:szCs w:val="20"/>
          <w:color w:val="auto"/>
        </w:rPr>
      </w:pPr>
      <w:r>
        <w:rPr>
          <w:rFonts w:ascii="Times New Roman" w:cs="Times New Roman" w:eastAsia="Times New Roman" w:hAnsi="Times New Roman"/>
          <w:sz w:val="17"/>
          <w:szCs w:val="17"/>
          <w:color w:val="auto"/>
        </w:rPr>
        <w:t xml:space="preserve">As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(limited liability company) listed on Euronext Paris, we are subject to various corporate governance requirements under French law. In particular, we refer to the Code of Corporate Governance</w:t>
      </w: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for small and medium-sized firms as published in September 2021 by Middlenext, as amended from time to time. In addition, as a foreign private issuer listed on the Nasdaq Global Market, we are subject to Nasdaq’s corporate governance listing standards. Nasdaq’s listing standards provide that foreign private issuers are permitted to follow</w:t>
      </w:r>
    </w:p>
    <w:p>
      <w:pPr>
        <w:spacing w:after="0" w:line="2" w:lineRule="exact"/>
        <w:rPr>
          <w:sz w:val="20"/>
          <w:szCs w:val="20"/>
          <w:color w:val="auto"/>
        </w:rPr>
      </w:pPr>
    </w:p>
    <w:p>
      <w:pPr>
        <w:ind w:left="300" w:right="339"/>
        <w:spacing w:after="0" w:line="220" w:lineRule="auto"/>
        <w:rPr>
          <w:sz w:val="20"/>
          <w:szCs w:val="20"/>
          <w:color w:val="auto"/>
        </w:rPr>
      </w:pPr>
      <w:r>
        <w:rPr>
          <w:rFonts w:ascii="Times New Roman" w:cs="Times New Roman" w:eastAsia="Times New Roman" w:hAnsi="Times New Roman"/>
          <w:sz w:val="17"/>
          <w:szCs w:val="17"/>
          <w:color w:val="auto"/>
        </w:rPr>
        <w:t>home country governance practices in lieu of Nasdaq rules, with certain exceptions. We currently rely on certain exemptions for foreign private issuers and follow French corporate governance practices in lieu of Nasdaq corporate governance rules, which would require that (i) a majority of our Board consists of independent directors and (ii) the</w:t>
      </w:r>
    </w:p>
    <w:p>
      <w:pPr>
        <w:spacing w:after="0" w:line="2" w:lineRule="exact"/>
        <w:rPr>
          <w:sz w:val="20"/>
          <w:szCs w:val="20"/>
          <w:color w:val="auto"/>
        </w:rPr>
      </w:pPr>
    </w:p>
    <w:p>
      <w:pPr>
        <w:ind w:left="300" w:right="379"/>
        <w:spacing w:after="0" w:line="218" w:lineRule="auto"/>
        <w:rPr>
          <w:sz w:val="20"/>
          <w:szCs w:val="20"/>
          <w:color w:val="auto"/>
        </w:rPr>
      </w:pPr>
      <w:r>
        <w:rPr>
          <w:rFonts w:ascii="Times New Roman" w:cs="Times New Roman" w:eastAsia="Times New Roman" w:hAnsi="Times New Roman"/>
          <w:sz w:val="18"/>
          <w:szCs w:val="18"/>
          <w:color w:val="auto"/>
        </w:rPr>
        <w:t>quorum for any meeting of the holders of ordinary shares be at least 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8"/>
          <w:szCs w:val="18"/>
          <w:color w:val="auto"/>
        </w:rPr>
        <w:t xml:space="preserve"> % of the company's outstanding ordinary shares. In addition, under French law, our shareholders, and not our Audit Committee, is directly responsible for the appointment of our auditors.</w:t>
      </w:r>
    </w:p>
    <w:p>
      <w:pPr>
        <w:spacing w:after="0" w:line="64" w:lineRule="exact"/>
        <w:rPr>
          <w:sz w:val="20"/>
          <w:szCs w:val="20"/>
          <w:color w:val="auto"/>
        </w:rPr>
      </w:pPr>
    </w:p>
    <w:p>
      <w:pPr>
        <w:ind w:left="300" w:right="399" w:firstLine="441"/>
        <w:spacing w:after="0" w:line="229" w:lineRule="auto"/>
        <w:rPr>
          <w:sz w:val="20"/>
          <w:szCs w:val="20"/>
          <w:color w:val="auto"/>
        </w:rPr>
      </w:pPr>
      <w:r>
        <w:rPr>
          <w:rFonts w:ascii="Times New Roman" w:cs="Times New Roman" w:eastAsia="Times New Roman" w:hAnsi="Times New Roman"/>
          <w:sz w:val="17"/>
          <w:szCs w:val="17"/>
          <w:color w:val="auto"/>
        </w:rPr>
        <w:t>Nasdaq rules require that a listed company specify that the quorum for any meeting of the holders of ordinary shares be at least 33</w:t>
      </w:r>
      <w:r>
        <w:rPr>
          <w:rFonts w:ascii="Times New Roman" w:cs="Times New Roman" w:eastAsia="Times New Roman" w:hAnsi="Times New Roman"/>
          <w:sz w:val="8"/>
          <w:szCs w:val="8"/>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7"/>
          <w:szCs w:val="17"/>
          <w:color w:val="auto"/>
        </w:rPr>
        <w:t xml:space="preserve"> % of the company's outstanding ordinary shares. Consistent with French Law, our by-laws provide that, for ordinary shareholders’ meetings to be quorate, one-fifth of the holders of shares entitled to voting</w:t>
      </w:r>
    </w:p>
    <w:p>
      <w:pPr>
        <w:ind w:left="300" w:right="299"/>
        <w:spacing w:after="0" w:line="220" w:lineRule="auto"/>
        <w:rPr>
          <w:sz w:val="20"/>
          <w:szCs w:val="20"/>
          <w:color w:val="auto"/>
        </w:rPr>
      </w:pPr>
      <w:r>
        <w:rPr>
          <w:rFonts w:ascii="Times New Roman" w:cs="Times New Roman" w:eastAsia="Times New Roman" w:hAnsi="Times New Roman"/>
          <w:sz w:val="17"/>
          <w:szCs w:val="17"/>
          <w:color w:val="auto"/>
        </w:rPr>
        <w:t>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w:t>
      </w:r>
    </w:p>
    <w:p>
      <w:pPr>
        <w:spacing w:after="0" w:line="2" w:lineRule="exact"/>
        <w:rPr>
          <w:sz w:val="20"/>
          <w:szCs w:val="20"/>
          <w:color w:val="auto"/>
        </w:rPr>
      </w:pP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or by any means of telecommunication. As an exception, an extraordinary shareholders’ meeting deciding upon a share capital increase by capitalization of reserves, profits or share premium as the same quorum requirement as an ordinary shareholders’ meeting. If the requirements for a quorum are not satisfied, the meeting is adjourned. When</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an adjourned ordinary shareholders’ meeting is resumed, there is no quorum requirement. When an adjourned extraordinary shareholders’ meeting is resumed, there is a quorum of one-fifth of the holders of shares entitled to voting rights. If a quorum is not present, the reconvened extraordinary shareholders’ meeting may be adjourned for a</w:t>
      </w:r>
    </w:p>
    <w:p>
      <w:pPr>
        <w:spacing w:after="0" w:line="2" w:lineRule="exact"/>
        <w:rPr>
          <w:sz w:val="20"/>
          <w:szCs w:val="20"/>
          <w:color w:val="auto"/>
        </w:rPr>
      </w:pPr>
    </w:p>
    <w:p>
      <w:pPr>
        <w:ind w:left="300" w:right="599"/>
        <w:spacing w:after="0" w:line="220" w:lineRule="auto"/>
        <w:rPr>
          <w:sz w:val="20"/>
          <w:szCs w:val="20"/>
          <w:color w:val="auto"/>
        </w:rPr>
      </w:pPr>
      <w:r>
        <w:rPr>
          <w:rFonts w:ascii="Times New Roman" w:cs="Times New Roman" w:eastAsia="Times New Roman" w:hAnsi="Times New Roman"/>
          <w:sz w:val="17"/>
          <w:szCs w:val="17"/>
          <w:color w:val="auto"/>
        </w:rPr>
        <w:t>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notice and one-fifth of the holders of shares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voting rights, should the meeting be reconvened.</w:t>
      </w:r>
    </w:p>
    <w:p>
      <w:pPr>
        <w:spacing w:after="0" w:line="57" w:lineRule="exact"/>
        <w:rPr>
          <w:sz w:val="20"/>
          <w:szCs w:val="20"/>
          <w:color w:val="auto"/>
        </w:rPr>
      </w:pPr>
    </w:p>
    <w:p>
      <w:pPr>
        <w:ind w:left="300" w:right="379" w:firstLine="441"/>
        <w:spacing w:after="0" w:line="236" w:lineRule="auto"/>
        <w:rPr>
          <w:sz w:val="20"/>
          <w:szCs w:val="20"/>
          <w:color w:val="auto"/>
        </w:rPr>
      </w:pPr>
      <w:r>
        <w:rPr>
          <w:rFonts w:ascii="Times New Roman" w:cs="Times New Roman" w:eastAsia="Times New Roman" w:hAnsi="Times New Roman"/>
          <w:sz w:val="17"/>
          <w:szCs w:val="17"/>
          <w:color w:val="auto"/>
        </w:rPr>
        <w:t>In addition, we have opted out of shareholder approval requirements for the issuance of securities in connection with certain events such as the acquisition of stock or assets of another company, the establishment of or</w:t>
      </w:r>
    </w:p>
    <w:p>
      <w:pPr>
        <w:ind w:left="300" w:right="419"/>
        <w:spacing w:after="0" w:line="231" w:lineRule="auto"/>
        <w:rPr>
          <w:sz w:val="20"/>
          <w:szCs w:val="20"/>
          <w:color w:val="auto"/>
        </w:rPr>
      </w:pPr>
      <w:r>
        <w:rPr>
          <w:rFonts w:ascii="Times New Roman" w:cs="Times New Roman" w:eastAsia="Times New Roman" w:hAnsi="Times New Roman"/>
          <w:sz w:val="17"/>
          <w:szCs w:val="17"/>
          <w:color w:val="auto"/>
        </w:rPr>
        <w:t>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2" w:lineRule="exact"/>
        <w:rPr>
          <w:sz w:val="20"/>
          <w:szCs w:val="20"/>
          <w:color w:val="auto"/>
        </w:rPr>
      </w:pPr>
    </w:p>
    <w:p>
      <w:pPr>
        <w:ind w:left="300" w:right="359" w:firstLine="441"/>
        <w:spacing w:after="0" w:line="216" w:lineRule="auto"/>
        <w:rPr>
          <w:sz w:val="20"/>
          <w:szCs w:val="20"/>
          <w:color w:val="auto"/>
        </w:rPr>
      </w:pPr>
      <w:r>
        <w:rPr>
          <w:rFonts w:ascii="Times New Roman" w:cs="Times New Roman" w:eastAsia="Times New Roman" w:hAnsi="Times New Roman"/>
          <w:sz w:val="18"/>
          <w:szCs w:val="18"/>
          <w:color w:val="auto"/>
        </w:rPr>
        <w:t>Under French law, the committees of our Board of Directors are advisory only, and where Nasdaq listing rules would permit or require certain decision-making powers to reside with specific committees of the Board of Directors, French law vests such authority in our Board of Directors or shareholders. Additionally, under French</w:t>
      </w:r>
    </w:p>
    <w:p>
      <w:pPr>
        <w:spacing w:after="0" w:line="1"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17"/>
          <w:szCs w:val="17"/>
          <w:color w:val="auto"/>
        </w:rPr>
        <w:t>corporate law, it is the shareholders vote at the annual general meeting that have the authority to appoint our auditors upon consideration of the proposal of our Board of Directors, although the charter of the Audit Committee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3337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16115"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19"/>
        <w:spacing w:after="0" w:line="237" w:lineRule="auto"/>
        <w:rPr>
          <w:sz w:val="20"/>
          <w:szCs w:val="20"/>
          <w:color w:val="auto"/>
        </w:rPr>
      </w:pPr>
      <w:r>
        <w:rPr>
          <w:rFonts w:ascii="Times New Roman" w:cs="Times New Roman" w:eastAsia="Times New Roman" w:hAnsi="Times New Roman"/>
          <w:sz w:val="18"/>
          <w:szCs w:val="18"/>
          <w:color w:val="auto"/>
        </w:rPr>
        <w:t>that the Audit Committee will review and make recommendations to the Board of Directors with respect to proposed engagements of the Company’s independent auditors, prior to the commencement of such engagements.</w:t>
      </w:r>
    </w:p>
    <w:p>
      <w:pPr>
        <w:spacing w:after="0" w:line="64" w:lineRule="exact"/>
        <w:rPr>
          <w:sz w:val="20"/>
          <w:szCs w:val="20"/>
          <w:color w:val="auto"/>
        </w:rPr>
      </w:pPr>
    </w:p>
    <w:p>
      <w:pPr>
        <w:ind w:left="300" w:right="779" w:firstLine="441"/>
        <w:spacing w:after="0" w:line="237" w:lineRule="auto"/>
        <w:rPr>
          <w:sz w:val="20"/>
          <w:szCs w:val="20"/>
          <w:color w:val="auto"/>
        </w:rPr>
      </w:pPr>
      <w:r>
        <w:rPr>
          <w:rFonts w:ascii="Times New Roman" w:cs="Times New Roman" w:eastAsia="Times New Roman" w:hAnsi="Times New Roman"/>
          <w:sz w:val="18"/>
          <w:szCs w:val="18"/>
          <w:color w:val="auto"/>
        </w:rPr>
        <w:t>We may choose to take advantage of additional exemptions and follow home country practices in lieu of Nasdaq rules in the future.</w:t>
      </w:r>
    </w:p>
    <w:p>
      <w:pPr>
        <w:spacing w:after="0" w:line="343"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121" w:lineRule="exact"/>
        <w:rPr>
          <w:sz w:val="20"/>
          <w:szCs w:val="20"/>
          <w:color w:val="auto"/>
        </w:rPr>
      </w:pPr>
    </w:p>
    <w:p>
      <w:pPr>
        <w:ind w:left="300" w:right="399" w:firstLine="441"/>
        <w:spacing w:after="0" w:line="239" w:lineRule="auto"/>
        <w:rPr>
          <w:sz w:val="20"/>
          <w:szCs w:val="20"/>
          <w:color w:val="auto"/>
        </w:rPr>
      </w:pPr>
      <w:r>
        <w:rPr>
          <w:rFonts w:ascii="Times New Roman" w:cs="Times New Roman" w:eastAsia="Times New Roman" w:hAnsi="Times New Roman"/>
          <w:sz w:val="17"/>
          <w:szCs w:val="17"/>
          <w:color w:val="auto"/>
        </w:rPr>
        <w:t>Our board of directors has adopted a Code of Market Conduct that governs the purchase, sale, and other dispositions of our securities by directors, senior management, and employees that is reasonably designed to promote compliance with applicable insider trading laws, rules and regulations, and any listing standards applicable</w:t>
      </w:r>
    </w:p>
    <w:p>
      <w:pPr>
        <w:sectPr>
          <w:pgSz w:w="11900" w:h="16838" w:orient="portrait"/>
          <w:cols w:equalWidth="0" w:num="1">
            <w:col w:w="9019"/>
          </w:cols>
          <w:pgMar w:left="1440" w:top="104" w:right="1440" w:bottom="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8"/>
          <w:szCs w:val="18"/>
          <w:color w:val="auto"/>
        </w:rPr>
        <w:t>to us. A copy of our Code of Market Conduct is filed as Exhibit 11.1 to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5728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16115" cy="5728335"/>
                    </a:xfrm>
                    <a:prstGeom prst="rect">
                      <a:avLst/>
                    </a:prstGeom>
                    <a:noFill/>
                  </pic:spPr>
                </pic:pic>
              </a:graphicData>
            </a:graphic>
          </wp:anchor>
        </w:drawing>
      </w:r>
    </w:p>
    <w:p>
      <w:pPr>
        <w:spacing w:after="0" w:line="26"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300" w:right="579" w:firstLine="441"/>
        <w:spacing w:after="0" w:line="236"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information systems, third party hosted services,</w:t>
      </w:r>
    </w:p>
    <w:p>
      <w:pPr>
        <w:jc w:val="both"/>
        <w:ind w:left="300" w:right="399"/>
        <w:spacing w:after="0" w:line="218" w:lineRule="auto"/>
        <w:rPr>
          <w:sz w:val="20"/>
          <w:szCs w:val="20"/>
          <w:color w:val="auto"/>
        </w:rPr>
      </w:pPr>
      <w:r>
        <w:rPr>
          <w:rFonts w:ascii="Times New Roman" w:cs="Times New Roman" w:eastAsia="Times New Roman" w:hAnsi="Times New Roman"/>
          <w:sz w:val="18"/>
          <w:szCs w:val="18"/>
          <w:color w:val="auto"/>
        </w:rPr>
        <w:t>communications systems, hardware and software, and our critical data (including intellectual property, confidential information that is proprietary, strategic or competitive in nature, and data related to our clinical trials and products) (collectively, “Information Systems and Data”).</w:t>
      </w:r>
    </w:p>
    <w:p>
      <w:pPr>
        <w:spacing w:after="0" w:line="64" w:lineRule="exact"/>
        <w:rPr>
          <w:sz w:val="20"/>
          <w:szCs w:val="20"/>
          <w:color w:val="auto"/>
        </w:rPr>
      </w:pPr>
    </w:p>
    <w:p>
      <w:pPr>
        <w:ind w:left="300" w:right="419" w:firstLine="441"/>
        <w:spacing w:after="0" w:line="229" w:lineRule="auto"/>
        <w:rPr>
          <w:sz w:val="20"/>
          <w:szCs w:val="20"/>
          <w:color w:val="auto"/>
        </w:rPr>
      </w:pPr>
      <w:r>
        <w:rPr>
          <w:rFonts w:ascii="Times New Roman" w:cs="Times New Roman" w:eastAsia="Times New Roman" w:hAnsi="Times New Roman"/>
          <w:sz w:val="17"/>
          <w:szCs w:val="17"/>
          <w:color w:val="auto"/>
        </w:rPr>
        <w:t>Our Chief Financial Officer as well as our external Data Protection Officer (“DPO”) and Information Technology Director (“IT Director”), and other independent service providers help identify, assess and manage the our cybersecurity threats and risks. Individuals in these roles identify and assess risks from cybersecurity threats by</w:t>
      </w:r>
    </w:p>
    <w:p>
      <w:pPr>
        <w:ind w:left="300" w:right="379"/>
        <w:spacing w:after="0" w:line="239" w:lineRule="auto"/>
        <w:rPr>
          <w:sz w:val="20"/>
          <w:szCs w:val="20"/>
          <w:color w:val="auto"/>
        </w:rPr>
      </w:pPr>
      <w:r>
        <w:rPr>
          <w:rFonts w:ascii="Times New Roman" w:cs="Times New Roman" w:eastAsia="Times New Roman" w:hAnsi="Times New Roman"/>
          <w:sz w:val="17"/>
          <w:szCs w:val="17"/>
          <w:color w:val="auto"/>
        </w:rPr>
        <w:t>monitoring and evaluating our threat environment using various methods including, for example, maintaining manual and automated tools, conducting scans of our threat environment, and conducting vulnerability assessments.</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w:t>
      </w:r>
    </w:p>
    <w:p>
      <w:pPr>
        <w:spacing w:after="0" w:line="2" w:lineRule="exact"/>
        <w:rPr>
          <w:sz w:val="20"/>
          <w:szCs w:val="20"/>
          <w:color w:val="auto"/>
        </w:rPr>
      </w:pPr>
    </w:p>
    <w:p>
      <w:pPr>
        <w:ind w:left="300" w:right="759"/>
        <w:spacing w:after="0" w:line="220" w:lineRule="auto"/>
        <w:rPr>
          <w:sz w:val="20"/>
          <w:szCs w:val="20"/>
          <w:color w:val="auto"/>
        </w:rPr>
      </w:pPr>
      <w:r>
        <w:rPr>
          <w:rFonts w:ascii="Times New Roman" w:cs="Times New Roman" w:eastAsia="Times New Roman" w:hAnsi="Times New Roman"/>
          <w:sz w:val="17"/>
          <w:szCs w:val="17"/>
          <w:color w:val="auto"/>
        </w:rPr>
        <w:t>measures, processes, standards and policies designed to manage and mitigate material risks from cybersecurity threats to our Information Systems and Data. These measures, processes, standards, and policies include, for example: incident response plans and policies, personnel training, phishing test campaigns, penetration testing,</w:t>
      </w:r>
    </w:p>
    <w:p>
      <w:pPr>
        <w:spacing w:after="0" w:line="2" w:lineRule="exact"/>
        <w:rPr>
          <w:sz w:val="20"/>
          <w:szCs w:val="20"/>
          <w:color w:val="auto"/>
        </w:rPr>
      </w:pPr>
    </w:p>
    <w:p>
      <w:pPr>
        <w:ind w:left="300" w:right="779"/>
        <w:spacing w:after="0" w:line="226" w:lineRule="auto"/>
        <w:rPr>
          <w:sz w:val="20"/>
          <w:szCs w:val="20"/>
          <w:color w:val="auto"/>
        </w:rPr>
      </w:pPr>
      <w:r>
        <w:rPr>
          <w:rFonts w:ascii="Times New Roman" w:cs="Times New Roman" w:eastAsia="Times New Roman" w:hAnsi="Times New Roman"/>
          <w:sz w:val="18"/>
          <w:szCs w:val="18"/>
          <w:color w:val="auto"/>
        </w:rPr>
        <w:t>system backups, cybersecurity insurance, network security controls, segmentation for certain systems and data access controls and physical security controls.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w:t>
      </w:r>
    </w:p>
    <w:p>
      <w:pPr>
        <w:spacing w:after="0" w:line="2" w:lineRule="exact"/>
        <w:rPr>
          <w:sz w:val="20"/>
          <w:szCs w:val="20"/>
          <w:color w:val="auto"/>
        </w:rPr>
      </w:pPr>
    </w:p>
    <w:p>
      <w:pPr>
        <w:jc w:val="both"/>
        <w:ind w:left="300" w:right="359"/>
        <w:spacing w:after="0" w:line="218" w:lineRule="auto"/>
        <w:rPr>
          <w:sz w:val="20"/>
          <w:szCs w:val="20"/>
          <w:color w:val="auto"/>
        </w:rPr>
      </w:pPr>
      <w:r>
        <w:rPr>
          <w:rFonts w:ascii="Times New Roman" w:cs="Times New Roman" w:eastAsia="Times New Roman" w:hAnsi="Times New Roman"/>
          <w:sz w:val="18"/>
          <w:szCs w:val="18"/>
          <w:color w:val="auto"/>
        </w:rPr>
        <w:t>risk management processes. For example, our external DPO and IT Director work with management in an effort to prioritize our risk management processes and mitigate cybersecurity threats that are more likely to lead to a material impact to our business.</w:t>
      </w:r>
    </w:p>
    <w:p>
      <w:pPr>
        <w:spacing w:after="0" w:line="64" w:lineRule="exact"/>
        <w:rPr>
          <w:sz w:val="20"/>
          <w:szCs w:val="20"/>
          <w:color w:val="auto"/>
        </w:rPr>
      </w:pPr>
    </w:p>
    <w:p>
      <w:pPr>
        <w:ind w:left="300" w:right="519" w:firstLine="441"/>
        <w:spacing w:after="0" w:line="229" w:lineRule="auto"/>
        <w:rPr>
          <w:sz w:val="20"/>
          <w:szCs w:val="20"/>
          <w:color w:val="auto"/>
        </w:rPr>
      </w:pPr>
      <w:r>
        <w:rPr>
          <w:rFonts w:ascii="Times New Roman" w:cs="Times New Roman" w:eastAsia="Times New Roman" w:hAnsi="Times New Roman"/>
          <w:sz w:val="17"/>
          <w:szCs w:val="17"/>
          <w:color w:val="auto"/>
        </w:rPr>
        <w:t>We use independent service providers to assist us from time to time to identify, assess, and manage material risks from cybersecurity threats, including for example: professional service firms, including legal counsel, penetration testing firms, dark web monitoring services, cybersecurity consultants, and cybersecurity software</w:t>
      </w:r>
    </w:p>
    <w:p>
      <w:pPr>
        <w:ind w:left="300"/>
        <w:spacing w:after="0"/>
        <w:rPr>
          <w:sz w:val="20"/>
          <w:szCs w:val="20"/>
          <w:color w:val="auto"/>
        </w:rPr>
      </w:pPr>
      <w:r>
        <w:rPr>
          <w:rFonts w:ascii="Times New Roman" w:cs="Times New Roman" w:eastAsia="Times New Roman" w:hAnsi="Times New Roman"/>
          <w:sz w:val="18"/>
          <w:szCs w:val="18"/>
          <w:color w:val="auto"/>
        </w:rPr>
        <w:t>providers.</w:t>
      </w:r>
    </w:p>
    <w:p>
      <w:pPr>
        <w:spacing w:after="0" w:line="165"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Further, we use independent service providers to perform a variety of functions throughout our business, such as hosting companies and contract research organizations. We undertake efforts designed to manage cybersecurity</w:t>
      </w:r>
    </w:p>
    <w:p>
      <w:pPr>
        <w:ind w:left="300" w:right="439"/>
        <w:spacing w:after="0" w:line="220" w:lineRule="auto"/>
        <w:rPr>
          <w:sz w:val="20"/>
          <w:szCs w:val="20"/>
          <w:color w:val="auto"/>
        </w:rPr>
      </w:pPr>
      <w:r>
        <w:rPr>
          <w:rFonts w:ascii="Times New Roman" w:cs="Times New Roman" w:eastAsia="Times New Roman" w:hAnsi="Times New Roman"/>
          <w:sz w:val="17"/>
          <w:szCs w:val="17"/>
          <w:color w:val="auto"/>
        </w:rPr>
        <w:t>risks associated with our use of these providers. For certain vendors, these efforts include security questionnaires, reviews of vendors’ written security programs, reviews of security assessments, audits, and vulnerability scans related to the vendors. Depending on the nature of the services provided, the sensitivity of the Information Systems</w:t>
      </w:r>
    </w:p>
    <w:p>
      <w:pPr>
        <w:spacing w:after="0" w:line="2" w:lineRule="exact"/>
        <w:rPr>
          <w:sz w:val="20"/>
          <w:szCs w:val="20"/>
          <w:color w:val="auto"/>
        </w:rPr>
      </w:pPr>
    </w:p>
    <w:p>
      <w:pPr>
        <w:ind w:left="300" w:right="499"/>
        <w:spacing w:after="0" w:line="218" w:lineRule="auto"/>
        <w:rPr>
          <w:sz w:val="20"/>
          <w:szCs w:val="20"/>
          <w:color w:val="auto"/>
        </w:rPr>
      </w:pPr>
      <w:r>
        <w:rPr>
          <w:rFonts w:ascii="Times New Roman" w:cs="Times New Roman" w:eastAsia="Times New Roman" w:hAnsi="Times New Roman"/>
          <w:sz w:val="18"/>
          <w:szCs w:val="18"/>
          <w:color w:val="auto"/>
        </w:rPr>
        <w:t>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4705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16115" cy="470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79" w:firstLine="441"/>
        <w:spacing w:after="0" w:line="22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I—Item 3D.—Risk Factors" in this Annual Report on Form 20-F,</w:t>
      </w:r>
    </w:p>
    <w:p>
      <w:pPr>
        <w:spacing w:after="0" w:line="2" w:lineRule="exact"/>
        <w:rPr>
          <w:sz w:val="20"/>
          <w:szCs w:val="20"/>
          <w:color w:val="auto"/>
        </w:rPr>
      </w:pPr>
    </w:p>
    <w:p>
      <w:pPr>
        <w:ind w:left="300" w:right="319"/>
        <w:spacing w:after="0" w:line="220" w:lineRule="auto"/>
        <w:rPr>
          <w:sz w:val="20"/>
          <w:szCs w:val="20"/>
          <w:color w:val="auto"/>
        </w:rPr>
      </w:pPr>
      <w:r>
        <w:rPr>
          <w:rFonts w:ascii="Times New Roman" w:cs="Times New Roman" w:eastAsia="Times New Roman" w:hAnsi="Times New Roman"/>
          <w:sz w:val="17"/>
          <w:szCs w:val="17"/>
          <w:color w:val="auto"/>
        </w:rPr>
        <w:t>including “If our information technology systems or those of the third parties with whom we work, or our data are or were compromised, we could experience adverse consequences resulting from such compromise, including but not limited to: regulatory investigations or actions; litigation; fines and penalties; disruptions of our business operations;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reputational harm; loss of revenue and profits; and other adverse consequences.”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Our Board addresses our cybersecurity risk management as part of its general oversight function. The Board is</w:t>
      </w:r>
    </w:p>
    <w:p>
      <w:pPr>
        <w:spacing w:after="0" w:line="14" w:lineRule="exact"/>
        <w:rPr>
          <w:sz w:val="20"/>
          <w:szCs w:val="20"/>
          <w:color w:val="auto"/>
        </w:rPr>
      </w:pPr>
    </w:p>
    <w:p>
      <w:pPr>
        <w:ind w:left="300" w:right="359"/>
        <w:spacing w:after="0" w:line="208" w:lineRule="auto"/>
        <w:rPr>
          <w:sz w:val="20"/>
          <w:szCs w:val="20"/>
          <w:color w:val="auto"/>
        </w:rPr>
      </w:pPr>
      <w:r>
        <w:rPr>
          <w:rFonts w:ascii="Times New Roman" w:cs="Times New Roman" w:eastAsia="Times New Roman" w:hAnsi="Times New Roman"/>
          <w:sz w:val="18"/>
          <w:szCs w:val="18"/>
          <w:color w:val="auto"/>
        </w:rPr>
        <w:t>responsible for overseeing our cybersecurity risk management processes, including oversight and mitigation of risks from cybersecurity threats. Our Committee of Executives (“COMEX”), in addition to those identified below, provides input to the Board on cybersecurity threats. Our Committee of Executives consists of all our company's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officers along with our heads of manufacturing and quality.</w:t>
      </w:r>
    </w:p>
    <w:p>
      <w:pPr>
        <w:spacing w:after="0" w:line="57" w:lineRule="exact"/>
        <w:rPr>
          <w:sz w:val="20"/>
          <w:szCs w:val="20"/>
          <w:color w:val="auto"/>
        </w:rPr>
      </w:pPr>
    </w:p>
    <w:p>
      <w:pPr>
        <w:ind w:left="300" w:right="479" w:firstLine="441"/>
        <w:spacing w:after="0" w:line="236"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management team members, including our Chief Financial Officer (“CFO”) who oversees our external IT Director</w:t>
      </w:r>
    </w:p>
    <w:p>
      <w:pPr>
        <w:ind w:left="300"/>
        <w:spacing w:after="0"/>
        <w:rPr>
          <w:sz w:val="20"/>
          <w:szCs w:val="20"/>
          <w:color w:val="auto"/>
        </w:rPr>
      </w:pPr>
      <w:r>
        <w:rPr>
          <w:rFonts w:ascii="Times New Roman" w:cs="Times New Roman" w:eastAsia="Times New Roman" w:hAnsi="Times New Roman"/>
          <w:sz w:val="18"/>
          <w:szCs w:val="18"/>
          <w:color w:val="auto"/>
        </w:rPr>
        <w:t>and DPO. Our CFO has prior significant experience in strategic business operations.</w:t>
      </w:r>
    </w:p>
    <w:p>
      <w:pPr>
        <w:spacing w:after="0" w:line="57" w:lineRule="exact"/>
        <w:rPr>
          <w:sz w:val="20"/>
          <w:szCs w:val="20"/>
          <w:color w:val="auto"/>
        </w:rPr>
      </w:pPr>
    </w:p>
    <w:p>
      <w:pPr>
        <w:ind w:left="300" w:right="539" w:firstLine="441"/>
        <w:spacing w:after="0" w:line="236" w:lineRule="auto"/>
        <w:rPr>
          <w:sz w:val="20"/>
          <w:szCs w:val="20"/>
          <w:color w:val="auto"/>
        </w:rPr>
      </w:pPr>
      <w:r>
        <w:rPr>
          <w:rFonts w:ascii="Times New Roman" w:cs="Times New Roman" w:eastAsia="Times New Roman" w:hAnsi="Times New Roman"/>
          <w:sz w:val="17"/>
          <w:szCs w:val="17"/>
          <w:color w:val="auto"/>
        </w:rPr>
        <w:t>Our CFO as well as our external IT Director and DPO are responsible for helping to integrate cybersecurity risk considerations into our overall risk management strategy, and communicating key priorities to relevant</w:t>
      </w:r>
    </w:p>
    <w:p>
      <w:pPr>
        <w:ind w:left="300" w:right="419"/>
        <w:spacing w:after="0" w:line="226" w:lineRule="auto"/>
        <w:rPr>
          <w:sz w:val="20"/>
          <w:szCs w:val="20"/>
          <w:color w:val="auto"/>
        </w:rPr>
      </w:pPr>
      <w:r>
        <w:rPr>
          <w:rFonts w:ascii="Times New Roman" w:cs="Times New Roman" w:eastAsia="Times New Roman" w:hAnsi="Times New Roman"/>
          <w:sz w:val="18"/>
          <w:szCs w:val="18"/>
          <w:color w:val="auto"/>
        </w:rPr>
        <w:t>personnel. Our CFO is responsible for approving cybersecurity-related budgets, approving cybersecurity processes, and reviewing security assessments and other security-related reports.</w:t>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cybersecurity incident response procedures are designed to escalate certain cybersecurity incidents to</w:t>
      </w:r>
    </w:p>
    <w:p>
      <w:pPr>
        <w:spacing w:after="0" w:line="2" w:lineRule="exact"/>
        <w:rPr>
          <w:sz w:val="20"/>
          <w:szCs w:val="20"/>
          <w:color w:val="auto"/>
        </w:rPr>
      </w:pPr>
    </w:p>
    <w:p>
      <w:pPr>
        <w:ind w:left="300" w:right="459"/>
        <w:spacing w:after="0" w:line="208" w:lineRule="auto"/>
        <w:rPr>
          <w:sz w:val="20"/>
          <w:szCs w:val="20"/>
          <w:color w:val="auto"/>
        </w:rPr>
      </w:pPr>
      <w:r>
        <w:rPr>
          <w:rFonts w:ascii="Times New Roman" w:cs="Times New Roman" w:eastAsia="Times New Roman" w:hAnsi="Times New Roman"/>
          <w:sz w:val="18"/>
          <w:szCs w:val="18"/>
          <w:color w:val="auto"/>
        </w:rPr>
        <w:t>members of management depending on circumstances, including our CFO. Our CFO works with our incident responders (such as the external IT Director and DPO) to help us mitigate and remediate cybersecurity incidents of which they are notified. In addition, our incident response process includes reporting to the Board for certain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cybersecurity incidents.</w:t>
      </w:r>
    </w:p>
    <w:p>
      <w:pPr>
        <w:spacing w:after="0" w:line="57" w:lineRule="exact"/>
        <w:rPr>
          <w:sz w:val="20"/>
          <w:szCs w:val="20"/>
          <w:color w:val="auto"/>
        </w:rPr>
      </w:pPr>
    </w:p>
    <w:p>
      <w:pPr>
        <w:ind w:left="300" w:right="399" w:firstLine="441"/>
        <w:spacing w:after="0" w:line="236" w:lineRule="auto"/>
        <w:rPr>
          <w:sz w:val="20"/>
          <w:szCs w:val="20"/>
          <w:color w:val="auto"/>
        </w:rPr>
      </w:pPr>
      <w:r>
        <w:rPr>
          <w:rFonts w:ascii="Times New Roman" w:cs="Times New Roman" w:eastAsia="Times New Roman" w:hAnsi="Times New Roman"/>
          <w:sz w:val="17"/>
          <w:szCs w:val="17"/>
          <w:color w:val="auto"/>
        </w:rPr>
        <w:t>The Board receives periodic communications from the CFO and others (such as the IT Director and DPO) concerning our significant cybersecurity threats, risk and the processes we have implemented in an effort to address</w:t>
      </w:r>
    </w:p>
    <w:p>
      <w:pPr>
        <w:ind w:left="300"/>
        <w:spacing w:after="0"/>
        <w:rPr>
          <w:sz w:val="20"/>
          <w:szCs w:val="20"/>
          <w:color w:val="auto"/>
        </w:rPr>
      </w:pPr>
      <w:r>
        <w:rPr>
          <w:rFonts w:ascii="Times New Roman" w:cs="Times New Roman" w:eastAsia="Times New Roman" w:hAnsi="Times New Roman"/>
          <w:sz w:val="18"/>
          <w:szCs w:val="18"/>
          <w:color w:val="auto"/>
        </w:rPr>
        <w:t>them.</w:t>
      </w:r>
    </w:p>
    <w:p>
      <w:pPr>
        <w:sectPr>
          <w:pgSz w:w="11900" w:h="16838" w:orient="portrait"/>
          <w:cols w:equalWidth="0" w:num="1">
            <w:col w:w="9019"/>
          </w:cols>
          <w:pgMar w:left="1440" w:top="108" w:right="1440" w:bottom="36"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356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16115"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60769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16115" cy="60769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53"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See response to Item 18.</w:t>
      </w:r>
    </w:p>
    <w:p>
      <w:pPr>
        <w:sectPr>
          <w:pgSz w:w="11900" w:h="16838" w:orient="portrait"/>
          <w:cols w:equalWidth="0" w:num="1">
            <w:col w:w="9019"/>
          </w:cols>
          <w:pgMar w:left="1440" w:top="1440" w:right="1440" w:bottom="1440" w:gutter="0" w:footer="0" w:header="0"/>
          <w:type w:val="continuous"/>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9851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16115" cy="298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74485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16115" cy="74485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See pages F-1 through F-79 of this Annual Report on Form 20-F.</w:t>
      </w:r>
    </w:p>
    <w:p>
      <w:pPr>
        <w:sectPr>
          <w:pgSz w:w="11900" w:h="16838" w:orient="portrait"/>
          <w:cols w:equalWidth="0" w:num="1">
            <w:col w:w="9019"/>
          </w:cols>
          <w:pgMar w:left="1440" w:top="1440" w:right="1440" w:bottom="1440" w:gutter="0" w:footer="0" w:header="0"/>
          <w:type w:val="continuous"/>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6135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16115" cy="161353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88201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16115" cy="8820150"/>
                    </a:xfrm>
                    <a:prstGeom prst="rect">
                      <a:avLst/>
                    </a:prstGeom>
                    <a:noFill/>
                  </pic:spPr>
                </pic:pic>
              </a:graphicData>
            </a:graphic>
          </wp:anchor>
        </w:drawing>
      </w:r>
    </w:p>
    <w:p>
      <w:pPr>
        <w:sectPr>
          <w:pgSz w:w="11900" w:h="16838" w:orient="portrait"/>
          <w:cols w:equalWidth="0" w:num="1">
            <w:col w:w="9019"/>
          </w:cols>
          <w:pgMar w:left="1440" w:top="1440" w:right="1440"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008080"/>
        </w:rPr>
        <w:t>The following exhibits are filed herewith or incorporated herein by reference:</w:t>
      </w:r>
    </w:p>
    <w:p>
      <w:pPr>
        <w:spacing w:after="0" w:line="28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008080"/>
        </w:rPr>
        <w:t>Exhibit</w:t>
        <w:tab/>
        <w:t>Description of Exhibit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008080"/>
        </w:rPr>
        <w:t>Number</w:t>
      </w:r>
    </w:p>
    <w:p>
      <w:pPr>
        <w:spacing w:after="0" w:line="18"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008080"/>
        </w:rPr>
        <w:t>1.1*</w:t>
      </w:r>
      <w:r>
        <w:rPr>
          <w:sz w:val="20"/>
          <w:szCs w:val="20"/>
          <w:color w:val="auto"/>
        </w:rPr>
        <w:tab/>
      </w:r>
      <w:r>
        <w:rPr>
          <w:rFonts w:ascii="Times New Roman" w:cs="Times New Roman" w:eastAsia="Times New Roman" w:hAnsi="Times New Roman"/>
          <w:sz w:val="18"/>
          <w:szCs w:val="18"/>
          <w:color w:val="0000FF"/>
        </w:rPr>
        <w:t>By-laws (statuts) of the registrant (English translation)</w:t>
      </w:r>
    </w:p>
    <w:p>
      <w:pPr>
        <w:spacing w:after="0" w:line="50"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008080"/>
        </w:rPr>
        <w:t>2.1*</w:t>
      </w:r>
      <w:r>
        <w:rPr>
          <w:sz w:val="20"/>
          <w:szCs w:val="20"/>
          <w:color w:val="auto"/>
        </w:rPr>
        <w:tab/>
      </w:r>
      <w:r>
        <w:rPr>
          <w:rFonts w:ascii="Times New Roman" w:cs="Times New Roman" w:eastAsia="Times New Roman" w:hAnsi="Times New Roman"/>
          <w:sz w:val="18"/>
          <w:szCs w:val="18"/>
          <w:color w:val="0000FF"/>
        </w:rPr>
        <w:t>Description of Securities</w:t>
      </w:r>
    </w:p>
    <w:p>
      <w:pPr>
        <w:spacing w:after="0" w:line="50" w:lineRule="exact"/>
        <w:rPr>
          <w:sz w:val="20"/>
          <w:szCs w:val="20"/>
          <w:color w:val="auto"/>
        </w:rPr>
      </w:pPr>
    </w:p>
    <w:p>
      <w:pPr>
        <w:ind w:left="1160" w:right="759" w:hanging="809"/>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008080"/>
        </w:rPr>
        <w:t>2.2</w:t>
      </w:r>
      <w:r>
        <w:rPr>
          <w:sz w:val="20"/>
          <w:szCs w:val="20"/>
          <w:color w:val="auto"/>
        </w:rPr>
        <w:tab/>
      </w:r>
      <w:r>
        <w:rPr>
          <w:rFonts w:ascii="Times New Roman" w:cs="Times New Roman" w:eastAsia="Times New Roman" w:hAnsi="Times New Roman"/>
          <w:sz w:val="18"/>
          <w:szCs w:val="18"/>
          <w:color w:val="008080"/>
        </w:rPr>
        <w:t>Form of Deposit Agreement (incorporated by reference to Exhibit (a) to the Form F-6 Registration Statement (File No. 333-274845), filed with the Commission on October 3, 2023)</w:t>
      </w:r>
    </w:p>
    <w:p>
      <w:pPr>
        <w:spacing w:after="0" w:line="14"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008080"/>
        </w:rPr>
        <w:t>2.3</w:t>
      </w:r>
      <w:r>
        <w:rPr>
          <w:sz w:val="20"/>
          <w:szCs w:val="20"/>
          <w:color w:val="auto"/>
        </w:rPr>
        <w:tab/>
      </w:r>
      <w:r>
        <w:rPr>
          <w:rFonts w:ascii="Times New Roman" w:cs="Times New Roman" w:eastAsia="Times New Roman" w:hAnsi="Times New Roman"/>
          <w:sz w:val="17"/>
          <w:szCs w:val="17"/>
          <w:color w:val="008080"/>
        </w:rPr>
        <w:t>Form of American Depositary Receipt (included in Exhibit 2.2)</w:t>
      </w:r>
    </w:p>
    <w:p>
      <w:pPr>
        <w:spacing w:after="0" w:line="50" w:lineRule="exact"/>
        <w:rPr>
          <w:sz w:val="20"/>
          <w:szCs w:val="20"/>
          <w:color w:val="auto"/>
        </w:rPr>
      </w:pPr>
    </w:p>
    <w:p>
      <w:pPr>
        <w:ind w:left="1160" w:right="159" w:hanging="809"/>
        <w:spacing w:after="0" w:line="24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8080"/>
        </w:rPr>
        <w:t>4.1 ^</w:t>
      </w:r>
      <w:r>
        <w:rPr>
          <w:sz w:val="20"/>
          <w:szCs w:val="20"/>
          <w:color w:val="auto"/>
        </w:rPr>
        <w:tab/>
      </w:r>
      <w:hyperlink r:id="rId305">
        <w:r>
          <w:rPr>
            <w:rFonts w:ascii="Times New Roman" w:cs="Times New Roman" w:eastAsia="Times New Roman" w:hAnsi="Times New Roman"/>
            <w:sz w:val="18"/>
            <w:szCs w:val="18"/>
            <w:u w:val="single" w:color="auto"/>
            <w:color w:val="0000FF"/>
          </w:rPr>
          <w:t>Terms and Conditions of the Royalty Certificates issued by Abivax SA dated August 31, 2022</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8080"/>
        </w:rPr>
        <w:t>(incorporated by reference to Exhibit 10.7 of the Company’s Registration Statement on Form F-1 (File No. 333-274780) filed with the Commission on September 29, 2023)</w:t>
      </w:r>
    </w:p>
    <w:p>
      <w:pPr>
        <w:spacing w:after="0" w:line="22" w:lineRule="exact"/>
        <w:rPr>
          <w:sz w:val="20"/>
          <w:szCs w:val="20"/>
          <w:color w:val="auto"/>
        </w:rPr>
      </w:pPr>
    </w:p>
    <w:p>
      <w:pPr>
        <w:ind w:left="1160" w:right="199" w:hanging="809"/>
        <w:spacing w:after="0" w:line="252" w:lineRule="auto"/>
        <w:tabs>
          <w:tab w:leader="none" w:pos="11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008080"/>
        </w:rPr>
        <w:t>4.2 ^</w:t>
      </w:r>
      <w:r>
        <w:rPr>
          <w:sz w:val="20"/>
          <w:szCs w:val="20"/>
          <w:color w:val="auto"/>
        </w:rPr>
        <w:tab/>
      </w:r>
      <w:hyperlink r:id="rId306">
        <w:r>
          <w:rPr>
            <w:rFonts w:ascii="Times New Roman" w:cs="Times New Roman" w:eastAsia="Times New Roman" w:hAnsi="Times New Roman"/>
            <w:sz w:val="17"/>
            <w:szCs w:val="17"/>
            <w:u w:val="single" w:color="auto"/>
            <w:color w:val="0000FF"/>
          </w:rPr>
          <w:t>Drug Discovery Services Agreement between Abivax SA and Evotec International GmbH dated</w:t>
        </w:r>
      </w:hyperlink>
      <w:r>
        <w:rPr>
          <w:rFonts w:ascii="Times New Roman" w:cs="Times New Roman" w:eastAsia="Times New Roman" w:hAnsi="Times New Roman"/>
          <w:sz w:val="17"/>
          <w:szCs w:val="17"/>
          <w:u w:val="single" w:color="auto"/>
          <w:color w:val="0000FF"/>
        </w:rPr>
        <w:t xml:space="preserve"> </w:t>
      </w:r>
      <w:hyperlink r:id="rId306">
        <w:r>
          <w:rPr>
            <w:rFonts w:ascii="Times New Roman" w:cs="Times New Roman" w:eastAsia="Times New Roman" w:hAnsi="Times New Roman"/>
            <w:sz w:val="17"/>
            <w:szCs w:val="17"/>
            <w:u w:val="single" w:color="auto"/>
            <w:color w:val="0000FF"/>
          </w:rPr>
          <w:t>September 1, 2017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808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8080"/>
        </w:rPr>
        <w:t>by reference to Exhibit 10.8 of the Company’s Registration Statement on</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008080"/>
        </w:rPr>
        <w:t>Form F-1 (File No. 333-274780) filed with the Commission on September 29, 2023)</w:t>
      </w:r>
    </w:p>
    <w:p>
      <w:pPr>
        <w:spacing w:after="0" w:line="30" w:lineRule="exact"/>
        <w:rPr>
          <w:sz w:val="20"/>
          <w:szCs w:val="20"/>
          <w:color w:val="auto"/>
        </w:rPr>
      </w:pPr>
    </w:p>
    <w:p>
      <w:pPr>
        <w:ind w:left="1160" w:right="339" w:hanging="809"/>
        <w:spacing w:after="0" w:line="252" w:lineRule="auto"/>
        <w:tabs>
          <w:tab w:leader="none" w:pos="11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008080"/>
        </w:rPr>
        <w:t>4.3 ^</w:t>
      </w:r>
      <w:r>
        <w:rPr>
          <w:sz w:val="20"/>
          <w:szCs w:val="20"/>
          <w:color w:val="auto"/>
        </w:rPr>
        <w:tab/>
      </w:r>
      <w:hyperlink r:id="rId307">
        <w:r>
          <w:rPr>
            <w:rFonts w:ascii="Times New Roman" w:cs="Times New Roman" w:eastAsia="Times New Roman" w:hAnsi="Times New Roman"/>
            <w:sz w:val="17"/>
            <w:szCs w:val="17"/>
            <w:u w:val="single" w:color="auto"/>
            <w:color w:val="0000FF"/>
          </w:rPr>
          <w:t>Amendment No. 1 to Drug Discovery Services Agreement between Abivax SA and Evotec International</w:t>
        </w:r>
      </w:hyperlink>
      <w:r>
        <w:rPr>
          <w:rFonts w:ascii="Times New Roman" w:cs="Times New Roman" w:eastAsia="Times New Roman" w:hAnsi="Times New Roman"/>
          <w:sz w:val="17"/>
          <w:szCs w:val="17"/>
          <w:u w:val="single" w:color="auto"/>
          <w:color w:val="0000FF"/>
        </w:rPr>
        <w:t xml:space="preserve"> </w:t>
      </w:r>
      <w:hyperlink r:id="rId307">
        <w:r>
          <w:rPr>
            <w:rFonts w:ascii="Times New Roman" w:cs="Times New Roman" w:eastAsia="Times New Roman" w:hAnsi="Times New Roman"/>
            <w:sz w:val="17"/>
            <w:szCs w:val="17"/>
            <w:u w:val="single" w:color="auto"/>
            <w:color w:val="0000FF"/>
          </w:rPr>
          <w:t>GmbH dated January 1, 2022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808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8080"/>
        </w:rPr>
        <w:t>by reference to Exhibit 10.9 of the Company’s Registration</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008080"/>
        </w:rPr>
        <w:t>Statement on Form F-1 (File No. 333-274780) filed with the Commission on September 29, 2023)</w:t>
      </w:r>
    </w:p>
    <w:p>
      <w:pPr>
        <w:spacing w:after="0" w:line="30" w:lineRule="exact"/>
        <w:rPr>
          <w:sz w:val="20"/>
          <w:szCs w:val="20"/>
          <w:color w:val="auto"/>
        </w:rPr>
      </w:pPr>
    </w:p>
    <w:p>
      <w:pPr>
        <w:ind w:left="1160" w:right="379" w:hanging="809"/>
        <w:spacing w:after="0" w:line="24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8080"/>
        </w:rPr>
        <w:t>4.4 ^</w:t>
      </w:r>
      <w:r>
        <w:rPr>
          <w:sz w:val="20"/>
          <w:szCs w:val="20"/>
          <w:color w:val="auto"/>
        </w:rPr>
        <w:tab/>
      </w:r>
      <w:hyperlink r:id="rId308">
        <w:r>
          <w:rPr>
            <w:rFonts w:ascii="Times New Roman" w:cs="Times New Roman" w:eastAsia="Times New Roman" w:hAnsi="Times New Roman"/>
            <w:sz w:val="18"/>
            <w:szCs w:val="18"/>
            <w:u w:val="single" w:color="auto"/>
            <w:color w:val="0000FF"/>
          </w:rPr>
          <w:t>Manufacturing Agreement between Abivax SA and Delpharm Lille S.A.S. dated November 24, 2016</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8080"/>
        </w:rPr>
        <w:t>(incorporated by reference to Exhibit 10.10 of the Company’s Registration Statement on Form F-1 (File No. 333-274780) filed with the Commission on September 29, 2023)</w:t>
      </w:r>
    </w:p>
    <w:p>
      <w:pPr>
        <w:spacing w:after="0" w:line="22" w:lineRule="exact"/>
        <w:rPr>
          <w:sz w:val="20"/>
          <w:szCs w:val="20"/>
          <w:color w:val="auto"/>
        </w:rPr>
      </w:pPr>
    </w:p>
    <w:p>
      <w:pPr>
        <w:ind w:left="1160" w:right="559" w:hanging="809"/>
        <w:spacing w:after="0" w:line="252" w:lineRule="auto"/>
        <w:tabs>
          <w:tab w:leader="none" w:pos="11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008080"/>
        </w:rPr>
        <w:t>4.5 ^</w:t>
      </w:r>
      <w:r>
        <w:rPr>
          <w:sz w:val="20"/>
          <w:szCs w:val="20"/>
          <w:color w:val="auto"/>
        </w:rPr>
        <w:tab/>
      </w:r>
      <w:hyperlink r:id="rId309">
        <w:r>
          <w:rPr>
            <w:rFonts w:ascii="Times New Roman" w:cs="Times New Roman" w:eastAsia="Times New Roman" w:hAnsi="Times New Roman"/>
            <w:sz w:val="17"/>
            <w:szCs w:val="17"/>
            <w:u w:val="single" w:color="auto"/>
            <w:color w:val="0000FF"/>
          </w:rPr>
          <w:t>Clinical Batch and Development Production Agreement between Abivax SA and Produits Chimiques</w:t>
        </w:r>
      </w:hyperlink>
      <w:r>
        <w:rPr>
          <w:rFonts w:ascii="Times New Roman" w:cs="Times New Roman" w:eastAsia="Times New Roman" w:hAnsi="Times New Roman"/>
          <w:sz w:val="17"/>
          <w:szCs w:val="17"/>
          <w:u w:val="single" w:color="auto"/>
          <w:color w:val="0000FF"/>
        </w:rPr>
        <w:t xml:space="preserve"> </w:t>
      </w:r>
      <w:hyperlink r:id="rId309">
        <w:r>
          <w:rPr>
            <w:rFonts w:ascii="Times New Roman" w:cs="Times New Roman" w:eastAsia="Times New Roman" w:hAnsi="Times New Roman"/>
            <w:sz w:val="17"/>
            <w:szCs w:val="17"/>
            <w:u w:val="single" w:color="auto"/>
            <w:color w:val="0000FF"/>
          </w:rPr>
          <w:t>Auxiliaires et de Synthèse dated March 11, 2016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808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8080"/>
        </w:rPr>
        <w:t>by reference to Exhibit 10.11 of the</w:t>
      </w:r>
    </w:p>
    <w:p>
      <w:pPr>
        <w:spacing w:after="0" w:line="1" w:lineRule="exact"/>
        <w:rPr>
          <w:sz w:val="20"/>
          <w:szCs w:val="20"/>
          <w:color w:val="auto"/>
        </w:rPr>
      </w:pPr>
    </w:p>
    <w:p>
      <w:pPr>
        <w:ind w:left="1160" w:right="539"/>
        <w:spacing w:after="0" w:line="243" w:lineRule="auto"/>
        <w:rPr>
          <w:sz w:val="20"/>
          <w:szCs w:val="20"/>
          <w:color w:val="auto"/>
        </w:rPr>
      </w:pPr>
      <w:r>
        <w:rPr>
          <w:rFonts w:ascii="Times New Roman" w:cs="Times New Roman" w:eastAsia="Times New Roman" w:hAnsi="Times New Roman"/>
          <w:sz w:val="18"/>
          <w:szCs w:val="18"/>
          <w:color w:val="008080"/>
        </w:rPr>
        <w:t>Company’s Registration Statement on Form F-1 (File No. 333-274780) filed with the Commission on September 29, 2023)</w:t>
      </w:r>
    </w:p>
    <w:p>
      <w:pPr>
        <w:spacing w:after="0" w:line="20" w:lineRule="exact"/>
        <w:rPr>
          <w:sz w:val="20"/>
          <w:szCs w:val="20"/>
          <w:color w:val="auto"/>
        </w:rPr>
      </w:pPr>
    </w:p>
    <w:p>
      <w:pPr>
        <w:ind w:left="1160" w:right="259" w:hanging="809"/>
        <w:spacing w:after="0" w:line="252" w:lineRule="auto"/>
        <w:tabs>
          <w:tab w:leader="none" w:pos="11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008080"/>
        </w:rPr>
        <w:t>4.6 ^</w:t>
      </w:r>
      <w:r>
        <w:rPr>
          <w:sz w:val="20"/>
          <w:szCs w:val="20"/>
          <w:color w:val="auto"/>
        </w:rPr>
        <w:tab/>
      </w:r>
      <w:hyperlink r:id="rId310">
        <w:r>
          <w:rPr>
            <w:rFonts w:ascii="Times New Roman" w:cs="Times New Roman" w:eastAsia="Times New Roman" w:hAnsi="Times New Roman"/>
            <w:sz w:val="17"/>
            <w:szCs w:val="17"/>
            <w:u w:val="single" w:color="auto"/>
            <w:color w:val="0000FF"/>
          </w:rPr>
          <w:t>Amendment No. 1 to Clinical Batch and Development Production Agreement between Abivax SA and</w:t>
        </w:r>
      </w:hyperlink>
      <w:r>
        <w:rPr>
          <w:rFonts w:ascii="Times New Roman" w:cs="Times New Roman" w:eastAsia="Times New Roman" w:hAnsi="Times New Roman"/>
          <w:sz w:val="17"/>
          <w:szCs w:val="17"/>
          <w:u w:val="single" w:color="auto"/>
          <w:color w:val="0000FF"/>
        </w:rPr>
        <w:t xml:space="preserve"> </w:t>
      </w:r>
      <w:hyperlink r:id="rId310">
        <w:r>
          <w:rPr>
            <w:rFonts w:ascii="Times New Roman" w:cs="Times New Roman" w:eastAsia="Times New Roman" w:hAnsi="Times New Roman"/>
            <w:sz w:val="17"/>
            <w:szCs w:val="17"/>
            <w:u w:val="single" w:color="auto"/>
            <w:color w:val="0000FF"/>
          </w:rPr>
          <w:t>Produits Chimiques Auxiliaires et de Synthèse dated March 2, 2021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808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8080"/>
        </w:rPr>
        <w:t>by reference to Exhibit</w:t>
      </w:r>
    </w:p>
    <w:p>
      <w:pPr>
        <w:spacing w:after="0" w:line="1" w:lineRule="exact"/>
        <w:rPr>
          <w:sz w:val="20"/>
          <w:szCs w:val="20"/>
          <w:color w:val="auto"/>
        </w:rPr>
      </w:pPr>
    </w:p>
    <w:p>
      <w:pPr>
        <w:ind w:left="1160" w:right="819"/>
        <w:spacing w:after="0" w:line="243" w:lineRule="auto"/>
        <w:rPr>
          <w:sz w:val="20"/>
          <w:szCs w:val="20"/>
          <w:color w:val="auto"/>
        </w:rPr>
      </w:pPr>
      <w:r>
        <w:rPr>
          <w:rFonts w:ascii="Times New Roman" w:cs="Times New Roman" w:eastAsia="Times New Roman" w:hAnsi="Times New Roman"/>
          <w:sz w:val="18"/>
          <w:szCs w:val="18"/>
          <w:color w:val="008080"/>
        </w:rPr>
        <w:t>10.12 of the Company’s Registration Statement on Form F-1 (File No. 333-274780) filed with the Commission on September 29, 2023)</w:t>
      </w:r>
    </w:p>
    <w:p>
      <w:pPr>
        <w:spacing w:after="0" w:line="20" w:lineRule="exact"/>
        <w:rPr>
          <w:sz w:val="20"/>
          <w:szCs w:val="20"/>
          <w:color w:val="auto"/>
        </w:rPr>
      </w:pPr>
    </w:p>
    <w:p>
      <w:pPr>
        <w:ind w:left="1160" w:right="379" w:hanging="809"/>
        <w:spacing w:after="0" w:line="24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8080"/>
        </w:rPr>
        <w:t>4.7 ^</w:t>
      </w:r>
      <w:r>
        <w:rPr>
          <w:sz w:val="20"/>
          <w:szCs w:val="20"/>
          <w:color w:val="auto"/>
        </w:rPr>
        <w:tab/>
      </w:r>
      <w:hyperlink r:id="rId311">
        <w:r>
          <w:rPr>
            <w:rFonts w:ascii="Times New Roman" w:cs="Times New Roman" w:eastAsia="Times New Roman" w:hAnsi="Times New Roman"/>
            <w:sz w:val="18"/>
            <w:szCs w:val="18"/>
            <w:u w:val="single" w:color="auto"/>
            <w:color w:val="0000FF"/>
          </w:rPr>
          <w:t>State-guaranteed loan agreement between Abivax SA and Société General dated June 16, 2020</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8080"/>
        </w:rPr>
        <w:t>(incorporated by reference to Exhibit 10.13 of the Company’s Registration Statement on Form F-1 (File No. 333-274780) filed with the Commission on September 29, 2023)</w:t>
      </w:r>
    </w:p>
    <w:p>
      <w:pPr>
        <w:spacing w:after="0" w:line="22" w:lineRule="exact"/>
        <w:rPr>
          <w:sz w:val="20"/>
          <w:szCs w:val="20"/>
          <w:color w:val="auto"/>
        </w:rPr>
      </w:pPr>
    </w:p>
    <w:p>
      <w:pPr>
        <w:ind w:left="1160" w:right="159" w:hanging="809"/>
        <w:spacing w:after="0" w:line="24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8080"/>
        </w:rPr>
        <w:t>4.8 ^</w:t>
      </w:r>
      <w:r>
        <w:rPr>
          <w:sz w:val="20"/>
          <w:szCs w:val="20"/>
          <w:color w:val="auto"/>
        </w:rPr>
        <w:tab/>
      </w:r>
      <w:hyperlink r:id="rId312">
        <w:r>
          <w:rPr>
            <w:rFonts w:ascii="Times New Roman" w:cs="Times New Roman" w:eastAsia="Times New Roman" w:hAnsi="Times New Roman"/>
            <w:sz w:val="18"/>
            <w:szCs w:val="18"/>
            <w:u w:val="single" w:color="auto"/>
            <w:color w:val="0000FF"/>
          </w:rPr>
          <w:t>Amendment No.1 to State-guaranteed loan between Abivax SA and Société General dated March 15, 2021</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8080"/>
        </w:rPr>
        <w:t>(incorporated by reference to Exhibit 10.14 of the Company’s Registration Statement on Form F-1 (File No. 333-274780) filed with the Commission on September 29, 2023)</w:t>
      </w:r>
    </w:p>
    <w:p>
      <w:pPr>
        <w:spacing w:after="0" w:line="22" w:lineRule="exact"/>
        <w:rPr>
          <w:sz w:val="20"/>
          <w:szCs w:val="20"/>
          <w:color w:val="auto"/>
        </w:rPr>
      </w:pPr>
    </w:p>
    <w:p>
      <w:pPr>
        <w:ind w:left="1160" w:right="139" w:hanging="809"/>
        <w:spacing w:after="0" w:line="238" w:lineRule="auto"/>
        <w:tabs>
          <w:tab w:leader="none" w:pos="114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8080"/>
        </w:rPr>
        <w:t>4.9 ^</w:t>
      </w:r>
      <w:r>
        <w:rPr>
          <w:sz w:val="20"/>
          <w:szCs w:val="20"/>
          <w:color w:val="auto"/>
        </w:rPr>
        <w:tab/>
      </w:r>
      <w:hyperlink r:id="rId313">
        <w:r>
          <w:rPr>
            <w:rFonts w:ascii="Times New Roman" w:cs="Times New Roman" w:eastAsia="Times New Roman" w:hAnsi="Times New Roman"/>
            <w:sz w:val="18"/>
            <w:szCs w:val="18"/>
            <w:u w:val="single" w:color="auto"/>
            <w:color w:val="0000FF"/>
          </w:rPr>
          <w:t>Royalties Agreement with the French National Centre for Scientific Research, the University of</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Montpellier, and the Institut Curie dated December 18, 2008</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808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80"/>
        </w:rPr>
        <w:t>by reference to Exhibit 10.15 of</w:t>
      </w:r>
    </w:p>
    <w:p>
      <w:pPr>
        <w:spacing w:after="0" w:line="1" w:lineRule="exact"/>
        <w:rPr>
          <w:sz w:val="20"/>
          <w:szCs w:val="20"/>
          <w:color w:val="auto"/>
        </w:rPr>
      </w:pPr>
    </w:p>
    <w:p>
      <w:pPr>
        <w:ind w:left="1160" w:right="279"/>
        <w:spacing w:after="0" w:line="243" w:lineRule="auto"/>
        <w:rPr>
          <w:sz w:val="20"/>
          <w:szCs w:val="20"/>
          <w:color w:val="auto"/>
        </w:rPr>
      </w:pPr>
      <w:r>
        <w:rPr>
          <w:rFonts w:ascii="Times New Roman" w:cs="Times New Roman" w:eastAsia="Times New Roman" w:hAnsi="Times New Roman"/>
          <w:sz w:val="18"/>
          <w:szCs w:val="18"/>
          <w:color w:val="008080"/>
        </w:rPr>
        <w:t>the Company’s Registration Statement on Form F-1 (File No. 333-274780) filed with the Commission on September 29, 2023)</w:t>
      </w:r>
    </w:p>
    <w:p>
      <w:pPr>
        <w:spacing w:after="0" w:line="20" w:lineRule="exact"/>
        <w:rPr>
          <w:sz w:val="20"/>
          <w:szCs w:val="20"/>
          <w:color w:val="auto"/>
        </w:rPr>
      </w:pPr>
    </w:p>
    <w:p>
      <w:pPr>
        <w:ind w:left="1160" w:right="819" w:hanging="809"/>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008080"/>
        </w:rPr>
        <w:t>4.10*</w:t>
      </w:r>
      <w:r>
        <w:rPr>
          <w:sz w:val="20"/>
          <w:szCs w:val="20"/>
          <w:color w:val="auto"/>
        </w:rPr>
        <w:tab/>
      </w:r>
      <w:r>
        <w:rPr>
          <w:rFonts w:ascii="Times New Roman" w:cs="Times New Roman" w:eastAsia="Times New Roman" w:hAnsi="Times New Roman"/>
          <w:sz w:val="18"/>
          <w:szCs w:val="18"/>
          <w:u w:val="single" w:color="auto"/>
          <w:color w:val="0000FF"/>
        </w:rPr>
        <w:t>Summary of BSA 2015-11, BSA 2015-12, BSA 2017-1, BSA 2018-1, BSA 2024-1, BSA 2024-2, BSA-2025-1, BSA-2025-2, BSA-2025-3, and BSA 2026-1 Plans</w:t>
      </w:r>
    </w:p>
    <w:p>
      <w:pPr>
        <w:spacing w:after="0" w:line="14"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008080"/>
        </w:rPr>
        <w:t>4.11*</w:t>
      </w:r>
      <w:r>
        <w:rPr>
          <w:sz w:val="20"/>
          <w:szCs w:val="20"/>
          <w:color w:val="auto"/>
        </w:rPr>
        <w:tab/>
      </w:r>
      <w:r>
        <w:rPr>
          <w:rFonts w:ascii="Times New Roman" w:cs="Times New Roman" w:eastAsia="Times New Roman" w:hAnsi="Times New Roman"/>
          <w:sz w:val="17"/>
          <w:szCs w:val="17"/>
          <w:u w:val="single" w:color="auto"/>
          <w:color w:val="0000FF"/>
        </w:rPr>
        <w:t>Summary of BCE 2017-1, BCE 2017-2, BCE 2017-4, BCE 2017-5 and BCE 2018-4 Plans</w:t>
      </w:r>
    </w:p>
    <w:p>
      <w:pPr>
        <w:spacing w:after="0" w:line="50" w:lineRule="exact"/>
        <w:rPr>
          <w:sz w:val="20"/>
          <w:szCs w:val="20"/>
          <w:color w:val="auto"/>
        </w:rPr>
      </w:pPr>
    </w:p>
    <w:p>
      <w:pPr>
        <w:ind w:left="1160" w:right="259" w:hanging="809"/>
        <w:spacing w:after="0"/>
        <w:tabs>
          <w:tab w:leader="none" w:pos="1140" w:val="left"/>
        </w:tabs>
        <w:rPr>
          <w:sz w:val="20"/>
          <w:szCs w:val="20"/>
          <w:color w:val="auto"/>
        </w:rPr>
      </w:pPr>
      <w:r>
        <w:rPr>
          <w:rFonts w:ascii="Times New Roman" w:cs="Times New Roman" w:eastAsia="Times New Roman" w:hAnsi="Times New Roman"/>
          <w:sz w:val="18"/>
          <w:szCs w:val="18"/>
          <w:color w:val="008080"/>
        </w:rPr>
        <w:t>4.12*</w:t>
      </w:r>
      <w:r>
        <w:rPr>
          <w:sz w:val="20"/>
          <w:szCs w:val="20"/>
          <w:color w:val="auto"/>
        </w:rPr>
        <w:tab/>
      </w:r>
      <w:r>
        <w:rPr>
          <w:rFonts w:ascii="Times New Roman" w:cs="Times New Roman" w:eastAsia="Times New Roman" w:hAnsi="Times New Roman"/>
          <w:sz w:val="18"/>
          <w:szCs w:val="18"/>
          <w:u w:val="single" w:color="auto"/>
          <w:color w:val="0000FF"/>
        </w:rPr>
        <w:t>Summary of AGA-2023-1, AGA-2023-2, AGA-2023-3, AGA-2023-4, AGA-2023-5, AGA-2024-1, AGA-2024-2, AGA-2024-3, AGA-2024-4, AGA-2024-5, AGA-2024-6, AGA-2024-7, AGA-2025-1, AGA-2025-2, AGA 2025-3, AGA-2025-4, AGA-2025-5, AGA-2025-6, AGA-2025-7, AGA-2025-8, and AGA-2026-1 Free Share Plans</w:t>
      </w:r>
    </w:p>
    <w:p>
      <w:pPr>
        <w:spacing w:after="0" w:line="23" w:lineRule="exact"/>
        <w:rPr>
          <w:sz w:val="20"/>
          <w:szCs w:val="20"/>
          <w:color w:val="auto"/>
        </w:rPr>
      </w:pPr>
    </w:p>
    <w:p>
      <w:pPr>
        <w:ind w:left="1160" w:right="179" w:hanging="809"/>
        <w:spacing w:after="0" w:line="242" w:lineRule="auto"/>
        <w:tabs>
          <w:tab w:leader="none" w:pos="1140" w:val="left"/>
        </w:tabs>
        <w:rPr>
          <w:sz w:val="20"/>
          <w:szCs w:val="20"/>
          <w:color w:val="auto"/>
        </w:rPr>
      </w:pPr>
      <w:r>
        <w:rPr>
          <w:rFonts w:ascii="Times New Roman" w:cs="Times New Roman" w:eastAsia="Times New Roman" w:hAnsi="Times New Roman"/>
          <w:sz w:val="18"/>
          <w:szCs w:val="18"/>
          <w:color w:val="008080"/>
        </w:rPr>
        <w:t>4.13</w:t>
      </w:r>
      <w:r>
        <w:rPr>
          <w:sz w:val="20"/>
          <w:szCs w:val="20"/>
          <w:color w:val="auto"/>
        </w:rPr>
        <w:tab/>
      </w:r>
      <w:r>
        <w:rPr>
          <w:rFonts w:ascii="Times New Roman" w:cs="Times New Roman" w:eastAsia="Times New Roman" w:hAnsi="Times New Roman"/>
          <w:sz w:val="18"/>
          <w:szCs w:val="18"/>
          <w:color w:val="auto"/>
        </w:rPr>
        <w:t>Equity Distribution Agreement, dated as of November 19, 2024, by and between the registrant and Piper Sandler &amp; Co. (incorporated by reference to Exhibit 1.2 of the Company's Registration Statement on Form F-3 (File No. 333-283336) filed with the Commission on November 19, 2025)</w:t>
      </w:r>
    </w:p>
    <w:p>
      <w:pPr>
        <w:sectPr>
          <w:pgSz w:w="11900" w:h="16838" w:orient="portrait"/>
          <w:cols w:equalWidth="0" w:num="1">
            <w:col w:w="9019"/>
          </w:cols>
          <w:pgMar w:left="1440" w:top="1440" w:right="1440" w:bottom="960" w:gutter="0" w:footer="0" w:header="0"/>
          <w:type w:val="continuous"/>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93973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7016115" cy="9397365"/>
                    </a:xfrm>
                    <a:prstGeom prst="rect">
                      <a:avLst/>
                    </a:prstGeom>
                    <a:noFill/>
                  </pic:spPr>
                </pic:pic>
              </a:graphicData>
            </a:graphic>
          </wp:anchor>
        </w:drawing>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8.1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List of subsidiaries of the Registrant (incorporated by reference to Exhibit 21.1 of the Company’s</w:t>
            </w:r>
          </w:p>
        </w:tc>
      </w:tr>
      <w:tr>
        <w:trPr>
          <w:trHeight w:val="203"/>
        </w:trPr>
        <w:tc>
          <w:tcPr>
            <w:tcW w:w="740" w:type="dxa"/>
            <w:vAlign w:val="bottom"/>
          </w:tcPr>
          <w:p>
            <w:pPr>
              <w:spacing w:after="0"/>
              <w:rPr>
                <w:sz w:val="17"/>
                <w:szCs w:val="17"/>
                <w:color w:val="auto"/>
              </w:rPr>
            </w:pPr>
          </w:p>
        </w:tc>
        <w:tc>
          <w:tcPr>
            <w:tcW w:w="77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8080"/>
              </w:rPr>
              <w:t>Registration Statement on Form F-1 (File No. 333-274780) filed with the Commission on September 29,</w:t>
            </w:r>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2023)</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Abivax Code of Market Conduct</w:t>
            </w:r>
          </w:p>
        </w:tc>
      </w:tr>
      <w:tr>
        <w:trPr>
          <w:trHeight w:val="2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12.1*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Certification by the Principal Executive Officer pursuant to Securities Exchange Act Rules 13a-14(a) and</w:t>
            </w:r>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15d-14(a) as adopted pursuant to Section 302 of the Sarbanes-Oxley Act of 2002</w:t>
            </w:r>
          </w:p>
        </w:tc>
      </w:tr>
      <w:tr>
        <w:trPr>
          <w:trHeight w:val="2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12.2*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Certification by the Principal Financial Officer pursuant to Securities Exchange Act Rules 13a-14(a) and</w:t>
            </w:r>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15d-14(a) as adopted pursuant to Section 302 of the Sarbanes-Oxley Act of 2002</w:t>
            </w:r>
          </w:p>
        </w:tc>
      </w:tr>
      <w:tr>
        <w:trPr>
          <w:trHeight w:val="2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13.1**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Certification by the Principal Executive Officer pursuant to 18 U.S.C. Section 1350, as adopted pursuant to</w:t>
            </w:r>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13.2**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Certification by the Principal Financial Officer pursuant to 18 U.S.C. Section 1350, as adopted pursuant to</w:t>
            </w:r>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15.1*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Consent of PricewaterhouseCoopers Audit, independent registered accounting firm</w:t>
            </w:r>
          </w:p>
        </w:tc>
      </w:tr>
      <w:tr>
        <w:trPr>
          <w:trHeight w:val="21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97.1*</w:t>
            </w:r>
          </w:p>
        </w:tc>
        <w:tc>
          <w:tcPr>
            <w:tcW w:w="7780" w:type="dxa"/>
            <w:vAlign w:val="bottom"/>
          </w:tcPr>
          <w:p>
            <w:pPr>
              <w:ind w:left="60"/>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Incentive Compensation Recoupment Policy (incorporated by reference to Exhibit 97.1 of the Company's</w:t>
              </w:r>
            </w:hyperlink>
          </w:p>
        </w:tc>
      </w:tr>
      <w:tr>
        <w:trPr>
          <w:trHeight w:val="234"/>
        </w:trPr>
        <w:tc>
          <w:tcPr>
            <w:tcW w:w="740" w:type="dxa"/>
            <w:vAlign w:val="bottom"/>
          </w:tcPr>
          <w:p>
            <w:pPr>
              <w:spacing w:after="0"/>
              <w:rPr>
                <w:sz w:val="20"/>
                <w:szCs w:val="20"/>
                <w:color w:val="auto"/>
              </w:rPr>
            </w:pPr>
          </w:p>
        </w:tc>
        <w:tc>
          <w:tcPr>
            <w:tcW w:w="7780" w:type="dxa"/>
            <w:vAlign w:val="bottom"/>
          </w:tcPr>
          <w:p>
            <w:pPr>
              <w:ind w:left="60"/>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Annual Report on Form 20-F (File No. 001-41842) filed with the Commission on March 24, 2025)</w:t>
              </w:r>
            </w:hyperlink>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101.INS</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Inline XBRL Instance Document</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101.SCH</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w:t>
            </w:r>
            <w:r>
              <w:rPr>
                <w:rFonts w:ascii="Times New Roman" w:cs="Times New Roman" w:eastAsia="Times New Roman" w:hAnsi="Times New Roman"/>
                <w:sz w:val="18"/>
                <w:szCs w:val="18"/>
                <w:color w:val="000000"/>
                <w:highlight w:val="white"/>
              </w:rPr>
              <w:t>nline XBRL Taxonomy Extension Schema Document</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101.CAL</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Inline XBRL Taxonomy Extension Calculation Linkbase Document</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101.DEF</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Inline XBRL Taxonomy Extension Definition Linkbase Document</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101.LAB</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Inline XBRL Taxonomy Extension Label Linkbase Document</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8080"/>
              </w:rPr>
              <w:t>101.PRE</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008080"/>
              </w:rPr>
              <w:t>Inline XBRL Taxonomy Extension Presentation Linkbase Document</w:t>
            </w:r>
          </w:p>
        </w:tc>
      </w:tr>
    </w:tbl>
    <w:p>
      <w:pPr>
        <w:spacing w:after="0" w:line="22" w:lineRule="exact"/>
        <w:rPr>
          <w:sz w:val="20"/>
          <w:szCs w:val="20"/>
          <w:color w:val="auto"/>
        </w:rPr>
      </w:pPr>
    </w:p>
    <w:p>
      <w:pPr>
        <w:ind w:left="300" w:right="1319" w:firstLine="53"/>
        <w:spacing w:after="0" w:line="425" w:lineRule="auto"/>
        <w:tabs>
          <w:tab w:leader="none" w:pos="1171" w:val="left"/>
        </w:tabs>
        <w:numPr>
          <w:ilvl w:val="1"/>
          <w:numId w:val="113"/>
        </w:numPr>
        <w:rPr>
          <w:rFonts w:ascii="Times New Roman" w:cs="Times New Roman" w:eastAsia="Times New Roman" w:hAnsi="Times New Roman"/>
          <w:sz w:val="18"/>
          <w:szCs w:val="18"/>
          <w:color w:val="008080"/>
        </w:rPr>
      </w:pPr>
      <w:r>
        <w:rPr>
          <w:rFonts w:ascii="Times New Roman" w:cs="Times New Roman" w:eastAsia="Times New Roman" w:hAnsi="Times New Roman"/>
          <w:sz w:val="18"/>
          <w:szCs w:val="18"/>
          <w:color w:val="008080"/>
        </w:rPr>
        <w:t>Cover Page Interactive Data File (formatted as Inline XBRL and contained in Exhibit 101) * Filed herewith.</w:t>
      </w:r>
    </w:p>
    <w:p>
      <w:pPr>
        <w:ind w:left="600" w:hanging="308"/>
        <w:spacing w:after="0"/>
        <w:tabs>
          <w:tab w:leader="none" w:pos="600" w:val="left"/>
        </w:tabs>
        <w:numPr>
          <w:ilvl w:val="0"/>
          <w:numId w:val="114"/>
        </w:numPr>
        <w:rPr>
          <w:rFonts w:ascii="Times New Roman" w:cs="Times New Roman" w:eastAsia="Times New Roman" w:hAnsi="Times New Roman"/>
          <w:sz w:val="18"/>
          <w:szCs w:val="18"/>
          <w:color w:val="008080"/>
        </w:rPr>
      </w:pPr>
      <w:r>
        <w:rPr>
          <w:rFonts w:ascii="Times New Roman" w:cs="Times New Roman" w:eastAsia="Times New Roman" w:hAnsi="Times New Roman"/>
          <w:sz w:val="18"/>
          <w:szCs w:val="18"/>
          <w:color w:val="008080"/>
        </w:rPr>
        <w:t>Furnished herewith.</w:t>
      </w:r>
    </w:p>
    <w:p>
      <w:pPr>
        <w:spacing w:after="0" w:line="9" w:lineRule="exact"/>
        <w:rPr>
          <w:sz w:val="20"/>
          <w:szCs w:val="20"/>
          <w:color w:val="auto"/>
        </w:rPr>
      </w:pPr>
    </w:p>
    <w:p>
      <w:pPr>
        <w:ind w:left="600" w:hanging="308"/>
        <w:spacing w:after="0"/>
        <w:tabs>
          <w:tab w:leader="none" w:pos="600" w:val="left"/>
        </w:tabs>
        <w:numPr>
          <w:ilvl w:val="0"/>
          <w:numId w:val="115"/>
        </w:numPr>
        <w:rPr>
          <w:rFonts w:ascii="Times New Roman" w:cs="Times New Roman" w:eastAsia="Times New Roman" w:hAnsi="Times New Roman"/>
          <w:sz w:val="18"/>
          <w:szCs w:val="18"/>
          <w:color w:val="008080"/>
        </w:rPr>
      </w:pPr>
      <w:r>
        <w:rPr>
          <w:rFonts w:ascii="Times New Roman" w:cs="Times New Roman" w:eastAsia="Times New Roman" w:hAnsi="Times New Roman"/>
          <w:sz w:val="18"/>
          <w:szCs w:val="18"/>
          <w:color w:val="008080"/>
        </w:rPr>
        <w:t>Indicates a management contract or compensatory plan, contract or arrangement</w:t>
      </w:r>
    </w:p>
    <w:p>
      <w:pPr>
        <w:spacing w:after="0" w:line="9" w:lineRule="exact"/>
        <w:rPr>
          <w:sz w:val="20"/>
          <w:szCs w:val="20"/>
          <w:color w:val="auto"/>
        </w:rPr>
      </w:pPr>
    </w:p>
    <w:p>
      <w:pPr>
        <w:ind w:left="300" w:right="859" w:hanging="8"/>
        <w:spacing w:after="0" w:line="245" w:lineRule="auto"/>
        <w:tabs>
          <w:tab w:leader="none" w:pos="924" w:val="left"/>
        </w:tabs>
        <w:numPr>
          <w:ilvl w:val="0"/>
          <w:numId w:val="116"/>
        </w:numPr>
        <w:rPr>
          <w:rFonts w:ascii="Times New Roman" w:cs="Times New Roman" w:eastAsia="Times New Roman" w:hAnsi="Times New Roman"/>
          <w:sz w:val="18"/>
          <w:szCs w:val="18"/>
          <w:color w:val="008080"/>
        </w:rPr>
      </w:pPr>
      <w:r>
        <w:rPr>
          <w:rFonts w:ascii="Times New Roman" w:cs="Times New Roman" w:eastAsia="Times New Roman" w:hAnsi="Times New Roman"/>
          <w:sz w:val="18"/>
          <w:szCs w:val="18"/>
          <w:color w:val="008080"/>
        </w:rPr>
        <w:t>Certain information has been excluded from this exhibit (indicated by “[***]”)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1036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016115" cy="1036320"/>
                    </a:xfrm>
                    <a:prstGeom prst="rect">
                      <a:avLst/>
                    </a:prstGeom>
                    <a:noFill/>
                  </pic:spPr>
                </pic:pic>
              </a:graphicData>
            </a:graphic>
          </wp:anchor>
        </w:drawing>
      </w:r>
    </w:p>
    <w:p>
      <w:pPr>
        <w:sectPr>
          <w:pgSz w:w="11900" w:h="16838" w:orient="portrait"/>
          <w:cols w:equalWidth="0" w:num="1">
            <w:col w:w="9019"/>
          </w:cols>
          <w:pgMar w:left="144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ectPr>
          <w:pgSz w:w="11900" w:h="16838" w:orient="portrait"/>
          <w:cols w:equalWidth="0" w:num="1">
            <w:col w:w="9019"/>
          </w:cols>
          <w:pgMar w:left="1440" w:top="108" w:right="1440" w:bottom="0" w:gutter="0" w:footer="0" w:header="0"/>
          <w:type w:val="continuous"/>
        </w:sectPr>
      </w:pPr>
    </w:p>
    <w:bookmarkStart w:id="141" w:name="page142"/>
    <w:bookmarkEnd w:id="14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025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016115" cy="8025765"/>
                    </a:xfrm>
                    <a:prstGeom prst="rect">
                      <a:avLst/>
                    </a:prstGeom>
                    <a:noFill/>
                  </pic:spPr>
                </pic:pic>
              </a:graphicData>
            </a:graphic>
          </wp:anchor>
        </w:drawing>
      </w:r>
    </w:p>
    <w:p>
      <w:pPr>
        <w:ind w:left="300" w:right="339" w:firstLine="486"/>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this Annual Report on Form 20-F and that it has duly caused and authorized the undersigned to sign this annual report on its behalf.</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Marc de Garidel</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 de Garidel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24079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016115" cy="240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420"/>
        <w:spacing w:after="0"/>
        <w:rPr>
          <w:sz w:val="20"/>
          <w:szCs w:val="20"/>
          <w:color w:val="auto"/>
        </w:rPr>
      </w:pPr>
      <w:r>
        <w:rPr>
          <w:rFonts w:ascii="Arial" w:cs="Arial" w:eastAsia="Arial" w:hAnsi="Arial"/>
          <w:sz w:val="20"/>
          <w:szCs w:val="20"/>
          <w:color w:val="auto"/>
        </w:rPr>
        <w:t> </w:t>
      </w:r>
    </w:p>
    <w:p>
      <w:pPr>
        <w:sectPr>
          <w:pgSz w:w="11900" w:h="16864" w:orient="portrait"/>
          <w:cols w:equalWidth="0" w:num="1">
            <w:col w:w="9019"/>
          </w:cols>
          <w:pgMar w:left="1440" w:top="202" w:right="1440"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Consolidated Statements of Financial Position</w:t>
      </w: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auto"/>
        </w:rPr>
        <w:t xml:space="preserve"> F-3</w:t>
      </w:r>
    </w:p>
    <w:p>
      <w:pPr>
        <w:sectPr>
          <w:pgSz w:w="11900" w:h="16864" w:orient="portrait"/>
          <w:cols w:equalWidth="0" w:num="1">
            <w:col w:w="9019"/>
          </w:cols>
          <w:pgMar w:left="1440" w:top="202" w:right="1440" w:bottom="0" w:gutter="0" w:footer="0" w:header="0"/>
          <w:type w:val="continuous"/>
        </w:sectPr>
      </w:pPr>
    </w:p>
    <w:bookmarkStart w:id="142" w:name="page143"/>
    <w:bookmarkEnd w:id="142"/>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6541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016115" cy="6654165"/>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Report of Independent Registered Public Accounting Firm (PCAOB ID No. 1347)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F-2</w:t>
            </w: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Consolidated Statements of Income (Loss) </w:t>
            </w:r>
            <w:r>
              <w:rPr>
                <w:rFonts w:ascii="Times New Roman" w:cs="Times New Roman" w:eastAsia="Times New Roman" w:hAnsi="Times New Roman"/>
                <w:sz w:val="18"/>
                <w:szCs w:val="18"/>
                <w:color w:val="B4B4B4"/>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F-4</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Consolidated Statements of Comprehensive Income (Loss) </w:t>
            </w:r>
            <w:r>
              <w:rPr>
                <w:rFonts w:ascii="Times New Roman" w:cs="Times New Roman" w:eastAsia="Times New Roman" w:hAnsi="Times New Roman"/>
                <w:sz w:val="18"/>
                <w:szCs w:val="18"/>
                <w:color w:val="B4B4B4"/>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F-5</w:t>
            </w:r>
          </w:p>
        </w:tc>
      </w:tr>
      <w:tr>
        <w:trPr>
          <w:trHeight w:val="63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Consolidated Statements of Changes in Shareholders’ Equity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F-6</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Consolidated Statements of Cash Flows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F-7</w:t>
            </w:r>
          </w:p>
        </w:tc>
      </w:tr>
      <w:tr>
        <w:trPr>
          <w:trHeight w:val="6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Notes to the Consolidated Financial Statements </w:t>
            </w:r>
            <w:r>
              <w:rPr>
                <w:rFonts w:ascii="Times New Roman" w:cs="Times New Roman" w:eastAsia="Times New Roman" w:hAnsi="Times New Roman"/>
                <w:sz w:val="18"/>
                <w:szCs w:val="18"/>
                <w:color w:val="B4B4B4"/>
                <w:w w:val="99"/>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37795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016115" cy="377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Board of Directors and Shareholders of Abivax SA</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ind w:left="300" w:right="299"/>
        <w:spacing w:after="0" w:line="237"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Abivax SA and its subsidiary (the “Company”) as of December 31, 2025, 2024 and 2023, and the related consolidated statements of income (loss), comprehensive income (loss), changes in shareholders’ equity and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2024 and 2023, and the results of its operations and its cash flows for each of the three years in the period ended December 31, 2025 in conformity with International Financial Reporting Standards as issued by the International Accounting Standards Board and International Financial Reporting Standards as adopted by the European Union.</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16"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w:t>
      </w:r>
    </w:p>
    <w:p>
      <w:pPr>
        <w:sectPr>
          <w:pgSz w:w="11900" w:h="16876" w:orient="portrait"/>
          <w:cols w:equalWidth="0" w:num="1">
            <w:col w:w="9019"/>
          </w:cols>
          <w:pgMar w:left="1440" w:top="189" w:right="1440" w:bottom="0" w:gutter="0" w:footer="0" w:header="0"/>
        </w:sectPr>
      </w:pPr>
    </w:p>
    <w:bookmarkStart w:id="143" w:name="page144"/>
    <w:bookmarkEnd w:id="143"/>
    <w:p>
      <w:pPr>
        <w:spacing w:after="0" w:line="43" w:lineRule="exact"/>
        <w:rPr>
          <w:sz w:val="20"/>
          <w:szCs w:val="20"/>
          <w:color w:val="auto"/>
        </w:rPr>
      </w:pPr>
    </w:p>
    <w:p>
      <w:pPr>
        <w:ind w:left="300" w:right="439"/>
        <w:spacing w:after="0" w:line="206" w:lineRule="auto"/>
        <w:rPr>
          <w:sz w:val="20"/>
          <w:szCs w:val="20"/>
          <w:color w:val="auto"/>
        </w:rPr>
      </w:pPr>
      <w:r>
        <w:rPr>
          <w:rFonts w:ascii="Times New Roman" w:cs="Times New Roman" w:eastAsia="Times New Roman" w:hAnsi="Times New Roman"/>
          <w:sz w:val="18"/>
          <w:szCs w:val="18"/>
          <w:color w:val="auto"/>
        </w:rPr>
        <w:t>required to be independent with respect to the Company in accordance with the U.S. federal securities laws and the applicable rules and regulations of the Securities and Exchange Commission and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-204470</wp:posOffset>
            </wp:positionV>
            <wp:extent cx="7016115" cy="52825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016115" cy="5282565"/>
                    </a:xfrm>
                    <a:prstGeom prst="rect">
                      <a:avLst/>
                    </a:prstGeom>
                    <a:noFill/>
                  </pic:spPr>
                </pic:pic>
              </a:graphicData>
            </a:graphic>
          </wp:anchor>
        </w:drawing>
      </w:r>
    </w:p>
    <w:p>
      <w:pPr>
        <w:spacing w:after="0" w:line="165" w:lineRule="exact"/>
        <w:rPr>
          <w:sz w:val="20"/>
          <w:szCs w:val="20"/>
          <w:color w:val="auto"/>
        </w:rPr>
      </w:pPr>
    </w:p>
    <w:p>
      <w:pPr>
        <w:ind w:left="300" w:right="359"/>
        <w:spacing w:after="0" w:line="237"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left="300" w:right="339"/>
        <w:spacing w:after="0" w:line="23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PricewaterhouseCoopers Audit</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Neuilly-sur-Seine, France</w:t>
      </w:r>
    </w:p>
    <w:p>
      <w:pPr>
        <w:ind w:left="300"/>
        <w:spacing w:after="0"/>
        <w:rPr>
          <w:sz w:val="20"/>
          <w:szCs w:val="20"/>
          <w:color w:val="auto"/>
        </w:rPr>
      </w:pPr>
      <w:r>
        <w:rPr>
          <w:rFonts w:ascii="Times New Roman" w:cs="Times New Roman" w:eastAsia="Times New Roman" w:hAnsi="Times New Roman"/>
          <w:sz w:val="18"/>
          <w:szCs w:val="18"/>
          <w:color w:val="auto"/>
        </w:rPr>
        <w:t>March 23, 2026</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238125</wp:posOffset>
            </wp:positionV>
            <wp:extent cx="7016115" cy="51511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016115" cy="515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SA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2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6</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18,419</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18,419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18,419</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2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7</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6,604</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6,606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2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8</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878</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2,666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assets</w:t>
            </w:r>
          </w:p>
        </w:tc>
        <w:tc>
          <w:tcPr>
            <w:tcW w:w="12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9</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12,870</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5,919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2,320</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948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280" w:type="dxa"/>
            <w:vAlign w:val="bottom"/>
          </w:tcPr>
          <w:p>
            <w:pPr>
              <w:spacing w:after="0"/>
              <w:rPr>
                <w:sz w:val="18"/>
                <w:szCs w:val="18"/>
                <w:color w:val="auto"/>
              </w:rPr>
            </w:pP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41,090</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34,558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33,097</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assets</w:t>
            </w:r>
          </w:p>
        </w:tc>
        <w:tc>
          <w:tcPr>
            <w:tcW w:w="12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9</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9,186</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7,554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 and assets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24,845</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18,896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11</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251,942</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144,221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516,685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80" w:type="dxa"/>
            <w:vAlign w:val="bottom"/>
          </w:tcPr>
          <w:p>
            <w:pPr>
              <w:spacing w:after="0"/>
              <w:rPr>
                <w:sz w:val="18"/>
                <w:szCs w:val="18"/>
                <w:color w:val="auto"/>
              </w:rPr>
            </w:pP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285,972</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170,671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551,244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80" w:type="dxa"/>
            <w:vAlign w:val="bottom"/>
          </w:tcPr>
          <w:p>
            <w:pPr>
              <w:spacing w:after="0"/>
              <w:rPr>
                <w:sz w:val="18"/>
                <w:szCs w:val="18"/>
                <w:color w:val="auto"/>
              </w:rPr>
            </w:pP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327,062</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205,228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584,341</w:t>
            </w:r>
          </w:p>
        </w:tc>
      </w:tr>
      <w:tr>
        <w:trPr>
          <w:trHeight w:val="20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w:t>
            </w:r>
          </w:p>
        </w:tc>
        <w:tc>
          <w:tcPr>
            <w:tcW w:w="1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1280" w:type="dxa"/>
            <w:vAlign w:val="bottom"/>
          </w:tcPr>
          <w:p>
            <w:pPr>
              <w:spacing w:after="0"/>
              <w:rPr>
                <w:sz w:val="18"/>
                <w:szCs w:val="18"/>
                <w:color w:val="auto"/>
              </w:rPr>
            </w:pP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629</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633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Premiums related to share capital</w:t>
            </w:r>
          </w:p>
        </w:tc>
        <w:tc>
          <w:tcPr>
            <w:tcW w:w="1280" w:type="dxa"/>
            <w:vAlign w:val="bottom"/>
          </w:tcPr>
          <w:p>
            <w:pPr>
              <w:spacing w:after="0"/>
              <w:rPr>
                <w:sz w:val="18"/>
                <w:szCs w:val="18"/>
                <w:color w:val="auto"/>
              </w:rPr>
            </w:pP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478,218</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478,905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1,190,593</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Translation reserve</w:t>
            </w:r>
          </w:p>
        </w:tc>
        <w:tc>
          <w:tcPr>
            <w:tcW w:w="1280" w:type="dxa"/>
            <w:vAlign w:val="bottom"/>
          </w:tcPr>
          <w:p>
            <w:pPr>
              <w:spacing w:after="0"/>
              <w:rPr>
                <w:sz w:val="18"/>
                <w:szCs w:val="18"/>
                <w:color w:val="auto"/>
              </w:rPr>
            </w:pP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112</w:t>
            </w: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280" w:type="dxa"/>
            <w:vAlign w:val="bottom"/>
          </w:tcPr>
          <w:p>
            <w:pPr>
              <w:spacing w:after="0"/>
              <w:rPr>
                <w:sz w:val="18"/>
                <w:szCs w:val="18"/>
                <w:color w:val="auto"/>
              </w:rPr>
            </w:pPr>
          </w:p>
        </w:tc>
        <w:tc>
          <w:tcPr>
            <w:tcW w:w="17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(135,209)</w:t>
            </w: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(262,637)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(402,380)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Net loss for the period</w:t>
            </w:r>
          </w:p>
        </w:tc>
        <w:tc>
          <w:tcPr>
            <w:tcW w:w="1280" w:type="dxa"/>
            <w:vAlign w:val="bottom"/>
          </w:tcPr>
          <w:p>
            <w:pPr>
              <w:spacing w:after="0"/>
              <w:rPr>
                <w:sz w:val="18"/>
                <w:szCs w:val="18"/>
                <w:color w:val="auto"/>
              </w:rPr>
            </w:pPr>
          </w:p>
        </w:tc>
        <w:tc>
          <w:tcPr>
            <w:tcW w:w="17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(147,740)</w:t>
            </w: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(176,242)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(336,102)</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196,010</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40,584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455,205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Retirement benefit obligations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629</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756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30</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819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28,849</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2,563</w:t>
            </w: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29,056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r>
    </w:tbl>
    <w:p>
      <w:pPr>
        <w:sectPr>
          <w:pgSz w:w="11900" w:h="16881" w:orient="portrait"/>
          <w:cols w:equalWidth="0" w:num="1">
            <w:col w:w="9019"/>
          </w:cols>
          <w:pgMar w:left="1440" w:top="108" w:right="1440" w:bottom="0" w:gutter="0" w:footer="0" w:header="0"/>
        </w:sectPr>
      </w:pPr>
    </w:p>
    <w:bookmarkStart w:id="144" w:name="page145"/>
    <w:bookmarkEnd w:id="14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Convertible loan notes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24"/>
                <w:szCs w:val="24"/>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28"/>
                <w:szCs w:val="28"/>
                <w:b w:val="1"/>
                <w:bCs w:val="1"/>
                <w:color w:val="auto"/>
                <w:vertAlign w:val="subscript"/>
              </w:rPr>
              <w:t>AS OF</w:t>
            </w:r>
            <w:r>
              <w:rPr>
                <w:rFonts w:ascii="Times New Roman" w:cs="Times New Roman" w:eastAsia="Times New Roman" w:hAnsi="Times New Roman"/>
                <w:sz w:val="14"/>
                <w:szCs w:val="14"/>
                <w:color w:val="auto"/>
              </w:rPr>
              <w:t>21,643</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28"/>
                <w:szCs w:val="28"/>
                <w:b w:val="1"/>
                <w:bCs w:val="1"/>
                <w:color w:val="auto"/>
                <w:vertAlign w:val="subscript"/>
              </w:rPr>
              <w:t>AS OF</w:t>
            </w:r>
            <w:r>
              <w:rPr>
                <w:rFonts w:ascii="Times New Roman" w:cs="Times New Roman" w:eastAsia="Times New Roman" w:hAnsi="Times New Roman"/>
                <w:sz w:val="14"/>
                <w:szCs w:val="14"/>
                <w:color w:val="auto"/>
              </w:rPr>
              <w:t>23,370</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75"/>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0"/>
              </w:rPr>
              <w:t>Derivative(Amountsinstrumentsinthousands of euros)</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Notes15</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DECEMBER</w:t>
            </w:r>
            <w:r>
              <w:rPr>
                <w:rFonts w:ascii="Times New Roman" w:cs="Times New Roman" w:eastAsia="Times New Roman" w:hAnsi="Times New Roman"/>
                <w:sz w:val="14"/>
                <w:szCs w:val="14"/>
                <w:color w:val="auto"/>
                <w:w w:val="98"/>
              </w:rPr>
              <w:t>3,620</w:t>
            </w:r>
            <w:r>
              <w:rPr>
                <w:rFonts w:ascii="Times New Roman" w:cs="Times New Roman" w:eastAsia="Times New Roman" w:hAnsi="Times New Roman"/>
                <w:sz w:val="14"/>
                <w:szCs w:val="14"/>
                <w:b w:val="1"/>
                <w:bCs w:val="1"/>
                <w:color w:val="auto"/>
                <w:w w:val="98"/>
              </w:rPr>
              <w:t>31,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23"/>
                <w:szCs w:val="23"/>
                <w:color w:val="auto"/>
              </w:rPr>
            </w:pPr>
          </w:p>
        </w:tc>
        <w:tc>
          <w:tcPr>
            <w:tcW w:w="1400" w:type="dxa"/>
            <w:vAlign w:val="bottom"/>
          </w:tcPr>
          <w:p>
            <w:pPr>
              <w:jc w:val="right"/>
              <w:ind w:right="28"/>
              <w:spacing w:after="0" w:line="270" w:lineRule="exact"/>
              <w:rPr>
                <w:sz w:val="20"/>
                <w:szCs w:val="20"/>
                <w:color w:val="auto"/>
              </w:rPr>
            </w:pPr>
            <w:r>
              <w:rPr>
                <w:rFonts w:ascii="Times New Roman" w:cs="Times New Roman" w:eastAsia="Times New Roman" w:hAnsi="Times New Roman"/>
                <w:sz w:val="28"/>
                <w:szCs w:val="28"/>
                <w:b w:val="1"/>
                <w:bCs w:val="1"/>
                <w:color w:val="auto"/>
                <w:vertAlign w:val="superscript"/>
              </w:rPr>
              <w:t>2023</w:t>
            </w:r>
            <w:r>
              <w:rPr>
                <w:rFonts w:ascii="Times New Roman" w:cs="Times New Roman" w:eastAsia="Times New Roman" w:hAnsi="Times New Roman"/>
                <w:sz w:val="14"/>
                <w:szCs w:val="14"/>
                <w:color w:val="auto"/>
              </w:rPr>
              <w:t xml:space="preserve"> 12,229</w:t>
            </w:r>
          </w:p>
        </w:tc>
        <w:tc>
          <w:tcPr>
            <w:tcW w:w="1420" w:type="dxa"/>
            <w:vAlign w:val="bottom"/>
          </w:tcPr>
          <w:p>
            <w:pPr>
              <w:jc w:val="right"/>
              <w:ind w:right="48"/>
              <w:spacing w:after="0" w:line="270" w:lineRule="exact"/>
              <w:rPr>
                <w:sz w:val="20"/>
                <w:szCs w:val="20"/>
                <w:color w:val="auto"/>
              </w:rPr>
            </w:pPr>
            <w:r>
              <w:rPr>
                <w:rFonts w:ascii="Times New Roman" w:cs="Times New Roman" w:eastAsia="Times New Roman" w:hAnsi="Times New Roman"/>
                <w:sz w:val="28"/>
                <w:szCs w:val="28"/>
                <w:b w:val="1"/>
                <w:bCs w:val="1"/>
                <w:color w:val="auto"/>
                <w:vertAlign w:val="superscript"/>
              </w:rPr>
              <w:t>2024</w:t>
            </w:r>
            <w:r>
              <w:rPr>
                <w:rFonts w:ascii="Times New Roman" w:cs="Times New Roman" w:eastAsia="Times New Roman" w:hAnsi="Times New Roman"/>
                <w:sz w:val="14"/>
                <w:szCs w:val="14"/>
                <w:color w:val="auto"/>
              </w:rPr>
              <w:t xml:space="preserve"> 13,023</w:t>
            </w:r>
          </w:p>
        </w:tc>
        <w:tc>
          <w:tcPr>
            <w:tcW w:w="1340" w:type="dxa"/>
            <w:vAlign w:val="bottom"/>
          </w:tcPr>
          <w:p>
            <w:pPr>
              <w:jc w:val="right"/>
              <w:spacing w:after="0" w:line="270" w:lineRule="exact"/>
              <w:rPr>
                <w:sz w:val="20"/>
                <w:szCs w:val="20"/>
                <w:color w:val="auto"/>
              </w:rPr>
            </w:pPr>
            <w:r>
              <w:rPr>
                <w:rFonts w:ascii="Times New Roman" w:cs="Times New Roman" w:eastAsia="Times New Roman" w:hAnsi="Times New Roman"/>
                <w:sz w:val="28"/>
                <w:szCs w:val="28"/>
                <w:b w:val="1"/>
                <w:bCs w:val="1"/>
                <w:color w:val="auto"/>
                <w:vertAlign w:val="superscript"/>
              </w:rPr>
              <w:t>2025</w:t>
            </w:r>
            <w:r>
              <w:rPr>
                <w:rFonts w:ascii="Times New Roman" w:cs="Times New Roman" w:eastAsia="Times New Roman" w:hAnsi="Times New Roman"/>
                <w:sz w:val="14"/>
                <w:szCs w:val="14"/>
                <w:color w:val="auto"/>
              </w:rPr>
              <w:t xml:space="preserve"> 30,237</w:t>
            </w:r>
          </w:p>
        </w:tc>
        <w:tc>
          <w:tcPr>
            <w:tcW w:w="0" w:type="dxa"/>
            <w:vAlign w:val="bottom"/>
          </w:tcPr>
          <w:p>
            <w:pPr>
              <w:spacing w:after="0"/>
              <w:rPr>
                <w:sz w:val="1"/>
                <w:szCs w:val="1"/>
                <w:color w:val="auto"/>
              </w:rPr>
            </w:pPr>
          </w:p>
        </w:tc>
      </w:tr>
      <w:tr>
        <w:trPr>
          <w:trHeight w:val="190"/>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3,262</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22</w:t>
            </w: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40,356</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70,645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66,114</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Borrowings</w:t>
            </w: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1,655</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22,195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Convertible loan notes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29,605</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21,574</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Derivative instruments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2,579</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1,166</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3,509</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17,030</w:t>
            </w:r>
          </w:p>
        </w:tc>
        <w:tc>
          <w:tcPr>
            <w:tcW w:w="0" w:type="dxa"/>
            <w:vAlign w:val="bottom"/>
          </w:tcPr>
          <w:p>
            <w:pPr>
              <w:spacing w:after="0"/>
              <w:rPr>
                <w:sz w:val="1"/>
                <w:szCs w:val="1"/>
                <w:color w:val="auto"/>
              </w:rPr>
            </w:pPr>
          </w:p>
        </w:tc>
      </w:tr>
      <w:tr>
        <w:trPr>
          <w:trHeight w:val="172"/>
        </w:trPr>
        <w:tc>
          <w:tcPr>
            <w:tcW w:w="2800" w:type="dxa"/>
            <w:vAlign w:val="bottom"/>
          </w:tcPr>
          <w:p>
            <w:pPr>
              <w:ind w:left="60"/>
              <w:spacing w:after="0" w:line="152" w:lineRule="exact"/>
              <w:rPr>
                <w:sz w:val="20"/>
                <w:szCs w:val="20"/>
                <w:color w:val="auto"/>
              </w:rPr>
            </w:pPr>
            <w:r>
              <w:rPr>
                <w:rFonts w:ascii="Times New Roman" w:cs="Times New Roman" w:eastAsia="Times New Roman" w:hAnsi="Times New Roman"/>
                <w:sz w:val="14"/>
                <w:szCs w:val="14"/>
                <w:color w:val="auto"/>
              </w:rPr>
              <w:t>Trade payables and other current liabilities</w:t>
            </w:r>
          </w:p>
        </w:tc>
        <w:tc>
          <w:tcPr>
            <w:tcW w:w="13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17.1</w:t>
            </w:r>
          </w:p>
        </w:tc>
        <w:tc>
          <w:tcPr>
            <w:tcW w:w="60" w:type="dxa"/>
            <w:vAlign w:val="bottom"/>
          </w:tcPr>
          <w:p>
            <w:pPr>
              <w:spacing w:after="0"/>
              <w:rPr>
                <w:sz w:val="14"/>
                <w:szCs w:val="14"/>
                <w:color w:val="auto"/>
              </w:rPr>
            </w:pPr>
          </w:p>
        </w:tc>
        <w:tc>
          <w:tcPr>
            <w:tcW w:w="1400" w:type="dxa"/>
            <w:vAlign w:val="bottom"/>
          </w:tcPr>
          <w:p>
            <w:pPr>
              <w:jc w:val="right"/>
              <w:ind w:right="28"/>
              <w:spacing w:after="0" w:line="152" w:lineRule="exact"/>
              <w:rPr>
                <w:sz w:val="20"/>
                <w:szCs w:val="20"/>
                <w:color w:val="auto"/>
              </w:rPr>
            </w:pPr>
            <w:r>
              <w:rPr>
                <w:rFonts w:ascii="Times New Roman" w:cs="Times New Roman" w:eastAsia="Times New Roman" w:hAnsi="Times New Roman"/>
                <w:sz w:val="14"/>
                <w:szCs w:val="14"/>
                <w:color w:val="auto"/>
              </w:rPr>
              <w:t>47,221</w:t>
            </w:r>
          </w:p>
        </w:tc>
        <w:tc>
          <w:tcPr>
            <w:tcW w:w="1420" w:type="dxa"/>
            <w:vAlign w:val="bottom"/>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43,824</w:t>
            </w:r>
          </w:p>
        </w:tc>
        <w:tc>
          <w:tcPr>
            <w:tcW w:w="13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37,552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Tax and employee-related payables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17.2</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6,073</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4,709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income</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90,695</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93,999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63,021</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327,062</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205,228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584,341</w:t>
            </w:r>
          </w:p>
        </w:tc>
        <w:tc>
          <w:tcPr>
            <w:tcW w:w="0" w:type="dxa"/>
            <w:vAlign w:val="bottom"/>
          </w:tcPr>
          <w:p>
            <w:pPr>
              <w:spacing w:after="0"/>
              <w:rPr>
                <w:sz w:val="1"/>
                <w:szCs w:val="1"/>
                <w:color w:val="auto"/>
              </w:rPr>
            </w:pPr>
          </w:p>
        </w:tc>
      </w:tr>
      <w:tr>
        <w:trPr>
          <w:trHeight w:val="44"/>
        </w:trPr>
        <w:tc>
          <w:tcPr>
            <w:tcW w:w="2800" w:type="dxa"/>
            <w:vAlign w:val="bottom"/>
            <w:vMerge w:val="continue"/>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-3625215</wp:posOffset>
            </wp:positionV>
            <wp:extent cx="7016115" cy="39109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016115" cy="391096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234950</wp:posOffset>
            </wp:positionV>
            <wp:extent cx="7016115" cy="65227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016115" cy="652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SA CONSOLIDATED STATEMENTS OF INCOME (LOSS)</w:t>
      </w:r>
    </w:p>
    <w:p>
      <w:pPr>
        <w:spacing w:after="0" w:line="331"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3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(Amounts in thousands of euros, except per share</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83"/>
        </w:trPr>
        <w:tc>
          <w:tcPr>
            <w:tcW w:w="3440" w:type="dxa"/>
            <w:vAlign w:val="bottom"/>
            <w:vMerge w:val="continue"/>
          </w:tcPr>
          <w:p>
            <w:pPr>
              <w:spacing w:after="0"/>
              <w:rPr>
                <w:sz w:val="7"/>
                <w:szCs w:val="7"/>
                <w:color w:val="auto"/>
              </w:rPr>
            </w:pPr>
          </w:p>
        </w:tc>
        <w:tc>
          <w:tcPr>
            <w:tcW w:w="12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3"/>
        </w:trPr>
        <w:tc>
          <w:tcPr>
            <w:tcW w:w="34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color w:val="auto"/>
              </w:rPr>
              <w:t>amounts)</w:t>
            </w:r>
          </w:p>
        </w:tc>
        <w:tc>
          <w:tcPr>
            <w:tcW w:w="128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4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91"/>
        </w:trPr>
        <w:tc>
          <w:tcPr>
            <w:tcW w:w="344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operating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6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12,449</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12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4,621</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12,449</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4,570</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19.1</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19.2</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(103,176)</w:t>
            </w: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(146,532)</w:t>
            </w:r>
          </w:p>
        </w:tc>
        <w:tc>
          <w:tcPr>
            <w:tcW w:w="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(177,761)</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19.3</w:t>
            </w:r>
          </w:p>
        </w:tc>
        <w:tc>
          <w:tcPr>
            <w:tcW w:w="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(22,390)</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(32,946)</w:t>
            </w: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(67,670)</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(131,997)</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(185,433)</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(250,626)</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(127,376)</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(172,984)</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(246,056)</w:t>
            </w:r>
          </w:p>
        </w:tc>
        <w:tc>
          <w:tcPr>
            <w:tcW w:w="0" w:type="dxa"/>
            <w:vAlign w:val="bottom"/>
          </w:tcPr>
          <w:p>
            <w:pPr>
              <w:spacing w:after="0"/>
              <w:rPr>
                <w:sz w:val="1"/>
                <w:szCs w:val="1"/>
                <w:color w:val="auto"/>
              </w:rPr>
            </w:pPr>
          </w:p>
        </w:tc>
      </w:tr>
      <w:tr>
        <w:trPr>
          <w:trHeight w:val="189"/>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expenses</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(16,991)</w:t>
            </w: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(111,743)</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Financial income</w:t>
            </w:r>
          </w:p>
        </w:tc>
        <w:tc>
          <w:tcPr>
            <w:tcW w:w="1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7,511</w:t>
            </w:r>
          </w:p>
        </w:tc>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13,732</w:t>
            </w:r>
          </w:p>
        </w:tc>
        <w:tc>
          <w:tcPr>
            <w:tcW w:w="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27,545</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6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(20,364)</w:t>
            </w:r>
          </w:p>
        </w:tc>
        <w:tc>
          <w:tcPr>
            <w:tcW w:w="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w:t>
            </w:r>
          </w:p>
        </w:tc>
        <w:tc>
          <w:tcPr>
            <w:tcW w:w="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(84,198)</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Net loss before tax</w:t>
            </w: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(147,740)</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(176,242)</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(330,254)</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Income tax</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22</w:t>
            </w: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(147,740)</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(176,242)</w:t>
            </w:r>
          </w:p>
        </w:tc>
        <w:tc>
          <w:tcPr>
            <w:tcW w:w="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(336,102)</w:t>
            </w:r>
          </w:p>
        </w:tc>
        <w:tc>
          <w:tcPr>
            <w:tcW w:w="0" w:type="dxa"/>
            <w:vAlign w:val="bottom"/>
          </w:tcPr>
          <w:p>
            <w:pPr>
              <w:spacing w:after="0"/>
              <w:rPr>
                <w:sz w:val="1"/>
                <w:szCs w:val="1"/>
                <w:color w:val="auto"/>
              </w:rPr>
            </w:pPr>
          </w:p>
        </w:tc>
      </w:tr>
      <w:tr>
        <w:trPr>
          <w:trHeight w:val="191"/>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Loss per share (€/share)</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Weighted average number of outstanding shares used for</w:t>
            </w: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43,066,012</w:t>
            </w:r>
          </w:p>
        </w:tc>
        <w:tc>
          <w:tcPr>
            <w:tcW w:w="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63,046,350</w:t>
            </w:r>
          </w:p>
        </w:tc>
        <w:tc>
          <w:tcPr>
            <w:tcW w:w="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69,527,315</w:t>
            </w:r>
          </w:p>
        </w:tc>
        <w:tc>
          <w:tcPr>
            <w:tcW w:w="0" w:type="dxa"/>
            <w:vAlign w:val="bottom"/>
          </w:tcPr>
          <w:p>
            <w:pPr>
              <w:spacing w:after="0"/>
              <w:rPr>
                <w:sz w:val="1"/>
                <w:szCs w:val="1"/>
                <w:color w:val="auto"/>
              </w:rPr>
            </w:pPr>
          </w:p>
        </w:tc>
      </w:tr>
      <w:tr>
        <w:trPr>
          <w:trHeight w:val="94"/>
        </w:trPr>
        <w:tc>
          <w:tcPr>
            <w:tcW w:w="34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computing basic/diluted loss per share</w:t>
            </w:r>
          </w:p>
        </w:tc>
        <w:tc>
          <w:tcPr>
            <w:tcW w:w="1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440" w:type="dxa"/>
            <w:vAlign w:val="bottom"/>
            <w:vMerge w:val="continue"/>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Basic / diluted loss per share (€/share)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23</w:t>
            </w:r>
          </w:p>
        </w:tc>
        <w:tc>
          <w:tcPr>
            <w:tcW w:w="6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(3.43)</w:t>
            </w:r>
          </w:p>
        </w:tc>
        <w:tc>
          <w:tcPr>
            <w:tcW w:w="4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w:t>
            </w:r>
          </w:p>
        </w:tc>
        <w:tc>
          <w:tcPr>
            <w:tcW w:w="4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0"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5393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01611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245745</wp:posOffset>
            </wp:positionV>
            <wp:extent cx="7016115" cy="7894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016115" cy="7894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ABIVAX SA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8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(Amounts in thousands of euros)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91"/>
        </w:trPr>
        <w:tc>
          <w:tcPr>
            <w:tcW w:w="386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for the period</w:t>
            </w:r>
          </w:p>
        </w:tc>
        <w:tc>
          <w:tcPr>
            <w:tcW w:w="10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(147,740)</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(176,242)</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(336,102)</w:t>
            </w:r>
          </w:p>
        </w:tc>
        <w:tc>
          <w:tcPr>
            <w:tcW w:w="0" w:type="dxa"/>
            <w:vAlign w:val="bottom"/>
          </w:tcPr>
          <w:p>
            <w:pPr>
              <w:spacing w:after="0"/>
              <w:rPr>
                <w:sz w:val="1"/>
                <w:szCs w:val="1"/>
                <w:color w:val="auto"/>
              </w:rPr>
            </w:pPr>
          </w:p>
        </w:tc>
      </w:tr>
      <w:tr>
        <w:trPr>
          <w:trHeight w:val="191"/>
        </w:trPr>
        <w:tc>
          <w:tcPr>
            <w:tcW w:w="3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Items that will not be reclassified to profit or loss</w:t>
            </w:r>
          </w:p>
        </w:tc>
        <w:tc>
          <w:tcPr>
            <w:tcW w:w="10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w:t>
            </w:r>
          </w:p>
        </w:tc>
        <w:tc>
          <w:tcPr>
            <w:tcW w:w="0" w:type="dxa"/>
            <w:vAlign w:val="bottom"/>
          </w:tcPr>
          <w:p>
            <w:pPr>
              <w:spacing w:after="0"/>
              <w:rPr>
                <w:sz w:val="1"/>
                <w:szCs w:val="1"/>
                <w:color w:val="auto"/>
              </w:rPr>
            </w:pPr>
          </w:p>
        </w:tc>
      </w:tr>
      <w:tr>
        <w:trPr>
          <w:trHeight w:val="221"/>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Actuarial gains and losses on retirement benefit obligations</w:t>
            </w:r>
          </w:p>
        </w:tc>
        <w:tc>
          <w:tcPr>
            <w:tcW w:w="10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58"/>
        </w:trPr>
        <w:tc>
          <w:tcPr>
            <w:tcW w:w="386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Items that are or may be reclassified subsequently to profit</w:t>
            </w:r>
          </w:p>
        </w:tc>
        <w:tc>
          <w:tcPr>
            <w:tcW w:w="10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2,384</w:t>
            </w:r>
          </w:p>
        </w:tc>
        <w:tc>
          <w:tcPr>
            <w:tcW w:w="0" w:type="dxa"/>
            <w:vAlign w:val="bottom"/>
          </w:tcPr>
          <w:p>
            <w:pPr>
              <w:spacing w:after="0"/>
              <w:rPr>
                <w:sz w:val="1"/>
                <w:szCs w:val="1"/>
                <w:color w:val="auto"/>
              </w:rPr>
            </w:pPr>
          </w:p>
        </w:tc>
      </w:tr>
      <w:tr>
        <w:trPr>
          <w:trHeight w:val="109"/>
        </w:trPr>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10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8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differences</w:t>
            </w:r>
          </w:p>
        </w:tc>
        <w:tc>
          <w:tcPr>
            <w:tcW w:w="10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0" w:type="dxa"/>
            <w:vAlign w:val="bottom"/>
          </w:tcPr>
          <w:p>
            <w:pPr>
              <w:spacing w:after="0"/>
              <w:rPr>
                <w:sz w:val="1"/>
                <w:szCs w:val="1"/>
                <w:color w:val="auto"/>
              </w:rPr>
            </w:pPr>
          </w:p>
        </w:tc>
      </w:tr>
      <w:tr>
        <w:trPr>
          <w:trHeight w:val="191"/>
        </w:trPr>
        <w:tc>
          <w:tcPr>
            <w:tcW w:w="3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0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2,477</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comprehensive income (loss) for the period</w:t>
            </w:r>
          </w:p>
        </w:tc>
        <w:tc>
          <w:tcPr>
            <w:tcW w:w="1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(147,516)</w:t>
            </w: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(176,461)</w:t>
            </w: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(333,625)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440" w:right="1440" w:bottom="1440" w:gutter="0" w:footer="0" w:header="0"/>
          <w:type w:val="continuous"/>
        </w:sectPr>
      </w:pPr>
    </w:p>
    <w:bookmarkStart w:id="146" w:name="page147"/>
    <w:bookmarkEnd w:id="14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1677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016115" cy="1167765"/>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245745</wp:posOffset>
            </wp:positionV>
            <wp:extent cx="7016115" cy="90735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10240"/>
          </w:cols>
          <w:pgMar w:left="700" w:top="1440" w:right="959"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ABIVAX SA CONSOLIDATED STATEMENTS OF CHANGES IN SHAREHOLDERS’ E QUITY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NUMBER OF</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PREMIUMS</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NET LOSS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7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2"/>
            <w:vMerge w:val="continue"/>
          </w:tcPr>
          <w:p>
            <w:pPr>
              <w:spacing w:after="0"/>
              <w:rPr>
                <w:sz w:val="7"/>
                <w:szCs w:val="7"/>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SHARE</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RELATED TO</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TRANSLATIO</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SHARES</w:t>
            </w: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FOR THE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SHAREHOLDE</w:t>
            </w:r>
          </w:p>
        </w:tc>
        <w:tc>
          <w:tcPr>
            <w:tcW w:w="0" w:type="dxa"/>
            <w:vAlign w:val="bottom"/>
          </w:tcPr>
          <w:p>
            <w:pPr>
              <w:spacing w:after="0"/>
              <w:rPr>
                <w:sz w:val="1"/>
                <w:szCs w:val="1"/>
                <w:color w:val="auto"/>
              </w:rPr>
            </w:pPr>
          </w:p>
        </w:tc>
      </w:tr>
      <w:tr>
        <w:trPr>
          <w:trHeight w:val="81"/>
        </w:trPr>
        <w:tc>
          <w:tcPr>
            <w:tcW w:w="23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i w:val="1"/>
                <w:iCs w:val="1"/>
                <w:color w:val="auto"/>
              </w:rPr>
              <w:t>(In thousands of euros, except number of</w:t>
            </w:r>
          </w:p>
        </w:tc>
        <w:tc>
          <w:tcPr>
            <w:tcW w:w="70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SHARE</w:t>
            </w: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N RESERVE</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ISSUED</w:t>
            </w: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YEAR</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RS' EQUITY</w:t>
            </w:r>
          </w:p>
        </w:tc>
        <w:tc>
          <w:tcPr>
            <w:tcW w:w="0" w:type="dxa"/>
            <w:vAlign w:val="bottom"/>
          </w:tcPr>
          <w:p>
            <w:pPr>
              <w:spacing w:after="0"/>
              <w:rPr>
                <w:sz w:val="1"/>
                <w:szCs w:val="1"/>
                <w:color w:val="auto"/>
              </w:rPr>
            </w:pPr>
          </w:p>
        </w:tc>
      </w:tr>
      <w:tr>
        <w:trPr>
          <w:trHeight w:val="99"/>
        </w:trPr>
        <w:tc>
          <w:tcPr>
            <w:tcW w:w="232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i w:val="1"/>
                <w:iCs w:val="1"/>
                <w:color w:val="auto"/>
              </w:rPr>
              <w:t>shares)</w:t>
            </w:r>
          </w:p>
        </w:tc>
        <w:tc>
          <w:tcPr>
            <w:tcW w:w="7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320" w:type="dxa"/>
            <w:vAlign w:val="bottom"/>
            <w:tcBorders>
              <w:bottom w:val="single" w:sz="8" w:color="CCEEFF"/>
            </w:tcBorders>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 JANUARY 1, 2023</w:t>
            </w:r>
          </w:p>
        </w:tc>
        <w:tc>
          <w:tcPr>
            <w:tcW w:w="7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22,313,185</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150,476</w:t>
            </w:r>
          </w:p>
        </w:tc>
        <w:tc>
          <w:tcPr>
            <w:tcW w:w="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(82,770)</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(60,740)</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7,189</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7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(147,740)</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(147,740)</w:t>
            </w: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Total comprehensive loss for the period</w:t>
            </w:r>
          </w:p>
        </w:tc>
        <w:tc>
          <w:tcPr>
            <w:tcW w:w="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(147,740)</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(147,516)</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Appropriation of prior period net loss</w:t>
            </w:r>
          </w:p>
        </w:tc>
        <w:tc>
          <w:tcPr>
            <w:tcW w:w="7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(60,740)</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60,740</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 increase from issuance of ordinary</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13.2</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40,325,500</w:t>
            </w:r>
          </w:p>
        </w:tc>
        <w:tc>
          <w:tcPr>
            <w:tcW w:w="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352,974</w:t>
            </w:r>
          </w:p>
        </w:tc>
        <w:tc>
          <w:tcPr>
            <w:tcW w:w="60" w:type="dxa"/>
            <w:vAlign w:val="bottom"/>
          </w:tcPr>
          <w:p>
            <w:pPr>
              <w:spacing w:after="0"/>
              <w:rPr>
                <w:sz w:val="16"/>
                <w:szCs w:val="16"/>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353,377</w:t>
            </w:r>
          </w:p>
        </w:tc>
        <w:tc>
          <w:tcPr>
            <w:tcW w:w="0" w:type="dxa"/>
            <w:vAlign w:val="bottom"/>
          </w:tcPr>
          <w:p>
            <w:pPr>
              <w:spacing w:after="0"/>
              <w:rPr>
                <w:sz w:val="1"/>
                <w:szCs w:val="1"/>
                <w:color w:val="auto"/>
              </w:rPr>
            </w:pPr>
          </w:p>
        </w:tc>
      </w:tr>
      <w:tr>
        <w:trPr>
          <w:trHeight w:val="89"/>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shares</w:t>
            </w:r>
          </w:p>
        </w:tc>
        <w:tc>
          <w:tcPr>
            <w:tcW w:w="7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3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Transaction costs related to capital increase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(28,111)</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Issue of convertible notes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Exercises of the Kreos share warrants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13.2, 15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99,583</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0" w:type="dxa"/>
            <w:vAlign w:val="bottom"/>
          </w:tcPr>
          <w:p>
            <w:pPr>
              <w:spacing w:after="0"/>
              <w:rPr>
                <w:sz w:val="1"/>
                <w:szCs w:val="1"/>
                <w:color w:val="auto"/>
              </w:rPr>
            </w:pPr>
          </w:p>
        </w:tc>
      </w:tr>
      <w:tr>
        <w:trPr>
          <w:trHeight w:val="176"/>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Exercises of other share warrants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13.2, 14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190,550</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based compensation expense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Transactions on treasury shares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13.1</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5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62,928,818</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629</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478,218</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(135,210)</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(147,740)</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196,010</w:t>
            </w:r>
          </w:p>
        </w:tc>
        <w:tc>
          <w:tcPr>
            <w:tcW w:w="0" w:type="dxa"/>
            <w:vAlign w:val="bottom"/>
          </w:tcPr>
          <w:p>
            <w:pPr>
              <w:spacing w:after="0"/>
              <w:rPr>
                <w:sz w:val="1"/>
                <w:szCs w:val="1"/>
                <w:color w:val="auto"/>
              </w:rPr>
            </w:pPr>
          </w:p>
        </w:tc>
      </w:tr>
      <w:tr>
        <w:trPr>
          <w:trHeight w:val="91"/>
        </w:trPr>
        <w:tc>
          <w:tcPr>
            <w:tcW w:w="232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AS OF JANUARY 1, 2024</w:t>
            </w:r>
          </w:p>
        </w:tc>
        <w:tc>
          <w:tcPr>
            <w:tcW w:w="7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62,928,818</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629</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478,218</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(135,210)</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(147,740)</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196,010</w:t>
            </w:r>
          </w:p>
        </w:tc>
        <w:tc>
          <w:tcPr>
            <w:tcW w:w="0" w:type="dxa"/>
            <w:vAlign w:val="bottom"/>
          </w:tcPr>
          <w:p>
            <w:pPr>
              <w:spacing w:after="0"/>
              <w:rPr>
                <w:sz w:val="1"/>
                <w:szCs w:val="1"/>
                <w:color w:val="auto"/>
              </w:rPr>
            </w:pPr>
          </w:p>
        </w:tc>
      </w:tr>
      <w:tr>
        <w:trPr>
          <w:trHeight w:val="97"/>
        </w:trPr>
        <w:tc>
          <w:tcPr>
            <w:tcW w:w="2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7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Total comprehensive loss for the period</w:t>
            </w:r>
          </w:p>
        </w:tc>
        <w:tc>
          <w:tcPr>
            <w:tcW w:w="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(176,242)</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(176,461)</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Appropriation of prior period net loss</w:t>
            </w:r>
          </w:p>
        </w:tc>
        <w:tc>
          <w:tcPr>
            <w:tcW w:w="7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(147,740)</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147,740</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Transaction costs related to capital increase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share warrants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Exercises of share warrants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13.2, 14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free shares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415,019</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based compensation expense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20,224</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20,224</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Transactions on treasury shares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248"/>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7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13.1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63,347,837</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633</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478,905</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(262,638)</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(176,242)</w:t>
            </w:r>
          </w:p>
        </w:tc>
        <w:tc>
          <w:tcPr>
            <w:tcW w:w="6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40,584</w:t>
            </w:r>
          </w:p>
        </w:tc>
        <w:tc>
          <w:tcPr>
            <w:tcW w:w="0" w:type="dxa"/>
            <w:vAlign w:val="bottom"/>
          </w:tcPr>
          <w:p>
            <w:pPr>
              <w:spacing w:after="0"/>
              <w:rPr>
                <w:sz w:val="1"/>
                <w:szCs w:val="1"/>
                <w:color w:val="auto"/>
              </w:rPr>
            </w:pPr>
          </w:p>
        </w:tc>
      </w:tr>
      <w:tr>
        <w:trPr>
          <w:trHeight w:val="97"/>
        </w:trPr>
        <w:tc>
          <w:tcPr>
            <w:tcW w:w="232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AS OF JANUARY 1, 2025</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63,347,837</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633</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478,905</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(262,638)</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(176,242)</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40,584</w:t>
            </w:r>
          </w:p>
        </w:tc>
        <w:tc>
          <w:tcPr>
            <w:tcW w:w="0" w:type="dxa"/>
            <w:vAlign w:val="bottom"/>
          </w:tcPr>
          <w:p>
            <w:pPr>
              <w:spacing w:after="0"/>
              <w:rPr>
                <w:sz w:val="1"/>
                <w:szCs w:val="1"/>
                <w:color w:val="auto"/>
              </w:rPr>
            </w:pPr>
          </w:p>
        </w:tc>
      </w:tr>
      <w:tr>
        <w:trPr>
          <w:trHeight w:val="97"/>
        </w:trPr>
        <w:tc>
          <w:tcPr>
            <w:tcW w:w="232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7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(336,102)</w:t>
            </w: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(336,102)</w:t>
            </w: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comprehensive loss for the period</w:t>
            </w:r>
          </w:p>
        </w:tc>
        <w:tc>
          <w:tcPr>
            <w:tcW w:w="7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2,384</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(336,102)</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(333,625)</w:t>
            </w:r>
          </w:p>
        </w:tc>
        <w:tc>
          <w:tcPr>
            <w:tcW w:w="0" w:type="dxa"/>
            <w:vAlign w:val="bottom"/>
          </w:tcPr>
          <w:p>
            <w:pPr>
              <w:spacing w:after="0"/>
              <w:rPr>
                <w:sz w:val="1"/>
                <w:szCs w:val="1"/>
                <w:color w:val="auto"/>
              </w:rPr>
            </w:pPr>
          </w:p>
        </w:tc>
      </w:tr>
      <w:tr>
        <w:trPr>
          <w:trHeight w:val="174"/>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Appropriation of prior period net loss</w:t>
            </w:r>
          </w:p>
        </w:tc>
        <w:tc>
          <w:tcPr>
            <w:tcW w:w="7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32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Capital increase from issuance of ordinary</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13.2</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11,679,400</w:t>
            </w:r>
          </w:p>
        </w:tc>
        <w:tc>
          <w:tcPr>
            <w:tcW w:w="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637,345</w:t>
            </w:r>
          </w:p>
        </w:tc>
        <w:tc>
          <w:tcPr>
            <w:tcW w:w="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637,462</w:t>
            </w:r>
          </w:p>
        </w:tc>
        <w:tc>
          <w:tcPr>
            <w:tcW w:w="0" w:type="dxa"/>
            <w:vAlign w:val="bottom"/>
          </w:tcPr>
          <w:p>
            <w:pPr>
              <w:spacing w:after="0"/>
              <w:rPr>
                <w:sz w:val="1"/>
                <w:szCs w:val="1"/>
                <w:color w:val="auto"/>
              </w:rPr>
            </w:pPr>
          </w:p>
        </w:tc>
      </w:tr>
      <w:tr>
        <w:trPr>
          <w:trHeight w:val="106"/>
        </w:trPr>
        <w:tc>
          <w:tcPr>
            <w:tcW w:w="232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2"/>
                <w:szCs w:val="12"/>
                <w:color w:val="auto"/>
              </w:rPr>
              <w:t>shares</w:t>
            </w: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gridSpan w:val="2"/>
            <w:vMerge w:val="continue"/>
            <w:shd w:val="clear" w:color="auto" w:fill="CCEEFF"/>
          </w:tcPr>
          <w:p>
            <w:pPr>
              <w:spacing w:after="0"/>
              <w:rPr>
                <w:sz w:val="9"/>
                <w:szCs w:val="9"/>
                <w:color w:val="auto"/>
              </w:rPr>
            </w:pPr>
          </w:p>
        </w:tc>
        <w:tc>
          <w:tcPr>
            <w:tcW w:w="1040" w:type="dxa"/>
            <w:vAlign w:val="bottom"/>
            <w:tcBorders>
              <w:bottom w:val="single" w:sz="8" w:color="CCEEFF"/>
            </w:tcBorders>
            <w:gridSpan w:val="2"/>
            <w:vMerge w:val="continue"/>
            <w:shd w:val="clear" w:color="auto" w:fill="CCEEFF"/>
          </w:tcPr>
          <w:p>
            <w:pPr>
              <w:spacing w:after="0"/>
              <w:rPr>
                <w:sz w:val="9"/>
                <w:szCs w:val="9"/>
                <w:color w:val="auto"/>
              </w:rPr>
            </w:pPr>
          </w:p>
        </w:tc>
        <w:tc>
          <w:tcPr>
            <w:tcW w:w="1040" w:type="dxa"/>
            <w:vAlign w:val="bottom"/>
            <w:tcBorders>
              <w:bottom w:val="single" w:sz="8" w:color="CCEEFF"/>
            </w:tcBorders>
            <w:gridSpan w:val="2"/>
            <w:vMerge w:val="continue"/>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Transaction costs related to capital increase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(40,306)</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(40,306)</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Issue of share warrants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Exercises of the Kreos/Claret share warrants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13.2, 15.1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525,913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33,763</w:t>
            </w:r>
          </w:p>
        </w:tc>
        <w:tc>
          <w:tcPr>
            <w:tcW w:w="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Exercises of other share warrants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13.2, 14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257,087</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w:t>
            </w:r>
          </w:p>
        </w:tc>
        <w:tc>
          <w:tcPr>
            <w:tcW w:w="0" w:type="dxa"/>
            <w:vAlign w:val="bottom"/>
          </w:tcPr>
          <w:p>
            <w:pPr>
              <w:spacing w:after="0"/>
              <w:rPr>
                <w:sz w:val="1"/>
                <w:szCs w:val="1"/>
                <w:color w:val="auto"/>
              </w:rPr>
            </w:pPr>
          </w:p>
        </w:tc>
      </w:tr>
      <w:tr>
        <w:trPr>
          <w:trHeight w:val="211"/>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the Kreos Claret OCABSA</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1,178,084</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23,338</w:t>
            </w: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24,359</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Conversion of the Heights notes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920,377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53,912</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53,921</w:t>
            </w:r>
          </w:p>
        </w:tc>
        <w:tc>
          <w:tcPr>
            <w:tcW w:w="0" w:type="dxa"/>
            <w:vAlign w:val="bottom"/>
          </w:tcPr>
          <w:p>
            <w:pPr>
              <w:spacing w:after="0"/>
              <w:rPr>
                <w:sz w:val="1"/>
                <w:szCs w:val="1"/>
                <w:color w:val="auto"/>
              </w:rPr>
            </w:pPr>
          </w:p>
        </w:tc>
      </w:tr>
      <w:tr>
        <w:trPr>
          <w:trHeight w:val="211"/>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Issue of free 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627,714</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based compensation expense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35,397</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35,397</w:t>
            </w:r>
          </w:p>
        </w:tc>
        <w:tc>
          <w:tcPr>
            <w:tcW w:w="0" w:type="dxa"/>
            <w:vAlign w:val="bottom"/>
          </w:tcPr>
          <w:p>
            <w:pPr>
              <w:spacing w:after="0"/>
              <w:rPr>
                <w:sz w:val="1"/>
                <w:szCs w:val="1"/>
                <w:color w:val="auto"/>
              </w:rPr>
            </w:pPr>
          </w:p>
        </w:tc>
      </w:tr>
      <w:tr>
        <w:trPr>
          <w:trHeight w:val="268"/>
        </w:trPr>
        <w:tc>
          <w:tcPr>
            <w:tcW w:w="23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13.1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78,536,412</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785</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1,190,593</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2,309</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(402,380)</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(336,102)</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455,205</w:t>
            </w:r>
          </w:p>
        </w:tc>
        <w:tc>
          <w:tcPr>
            <w:tcW w:w="0" w:type="dxa"/>
            <w:vAlign w:val="bottom"/>
          </w:tcPr>
          <w:p>
            <w:pPr>
              <w:spacing w:after="0"/>
              <w:rPr>
                <w:sz w:val="1"/>
                <w:szCs w:val="1"/>
                <w:color w:val="auto"/>
              </w:rPr>
            </w:pPr>
          </w:p>
        </w:tc>
      </w:tr>
      <w:tr>
        <w:trPr>
          <w:trHeight w:val="91"/>
        </w:trPr>
        <w:tc>
          <w:tcPr>
            <w:tcW w:w="2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40"/>
          </w:cols>
          <w:pgMar w:left="700" w:top="1440" w:right="959" w:bottom="1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245745</wp:posOffset>
            </wp:positionV>
            <wp:extent cx="7016115" cy="1104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016115" cy="110490"/>
                    </a:xfrm>
                    <a:prstGeom prst="rect">
                      <a:avLst/>
                    </a:prstGeom>
                    <a:noFill/>
                  </pic:spPr>
                </pic:pic>
              </a:graphicData>
            </a:graphic>
          </wp:anchor>
        </w:drawing>
      </w:r>
    </w:p>
    <w:p>
      <w:pPr>
        <w:sectPr>
          <w:pgSz w:w="11900" w:h="16838" w:orient="portrait"/>
          <w:cols w:equalWidth="0" w:num="1">
            <w:col w:w="10240"/>
          </w:cols>
          <w:pgMar w:left="700" w:top="1440" w:right="959" w:bottom="135" w:gutter="0" w:footer="0" w:header="0"/>
          <w:type w:val="continuous"/>
        </w:sectPr>
      </w:pPr>
    </w:p>
    <w:bookmarkStart w:id="147" w:name="page148"/>
    <w:bookmarkEnd w:id="14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951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016115" cy="8951595"/>
                    </a:xfrm>
                    <a:prstGeom prst="rect">
                      <a:avLst/>
                    </a:prstGeom>
                    <a:noFill/>
                  </pic:spPr>
                </pic:pic>
              </a:graphicData>
            </a:graphic>
          </wp:anchor>
        </w:drawing>
        <w:t>ABIVAX SA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69"/>
        </w:trPr>
        <w:tc>
          <w:tcPr>
            <w:tcW w:w="5720" w:type="dxa"/>
            <w:vAlign w:val="bottom"/>
            <w:tcBorders>
              <w:bottom w:val="single" w:sz="8" w:color="CCEEFF"/>
            </w:tcBorders>
          </w:tcPr>
          <w:p>
            <w:pPr>
              <w:ind w:left="2060"/>
              <w:spacing w:after="0"/>
              <w:rPr>
                <w:sz w:val="20"/>
                <w:szCs w:val="20"/>
                <w:color w:val="auto"/>
              </w:rPr>
            </w:pPr>
            <w:r>
              <w:rPr>
                <w:rFonts w:ascii="Times New Roman" w:cs="Times New Roman" w:eastAsia="Times New Roman" w:hAnsi="Times New Roman"/>
                <w:sz w:val="13"/>
                <w:szCs w:val="13"/>
                <w:i w:val="1"/>
                <w:iCs w:val="1"/>
                <w:color w:val="auto"/>
              </w:rPr>
              <w:t>(Amounts in thousands of euros)</w:t>
            </w: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operating activities</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 for the period</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(147,740)</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(176,242)</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(336,102)</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Adjustments for:</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Amortization of intangibles and depreciation of property, plant and equipment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Retirement benefit obligations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16</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 expenses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14</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20,224</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35,397</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gain on sale of treasury shares</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 expenses and other financial expenses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21</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24,827</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14,203</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45,697</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Financial income</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21</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(11,609)</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(23,782)</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unwinding the discount related to advances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21</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Increase/(decrease) in derivatives and liabilities measured at fair value</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62,330</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Forgiveness of conditional advances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18</w:t>
            </w:r>
          </w:p>
        </w:tc>
        <w:tc>
          <w:tcPr>
            <w:tcW w:w="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Changes in provisions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14</w:t>
            </w:r>
          </w:p>
        </w:tc>
        <w:tc>
          <w:tcPr>
            <w:tcW w:w="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44,706</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Current and deferred taxes expenses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22</w:t>
            </w:r>
          </w:p>
        </w:tc>
        <w:tc>
          <w:tcPr>
            <w:tcW w:w="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w:t>
            </w: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83"/>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operating activities before change in working capital requirements</w:t>
            </w:r>
          </w:p>
        </w:tc>
        <w:tc>
          <w:tcPr>
            <w:tcW w:w="7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(118,395)</w:t>
            </w:r>
          </w:p>
        </w:tc>
        <w:tc>
          <w:tcPr>
            <w:tcW w:w="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(155,495)</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(164,780)</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Decrease / (increase) in other receivables and related accounts</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(14,231)</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0" w:type="dxa"/>
            <w:vAlign w:val="bottom"/>
          </w:tcPr>
          <w:p>
            <w:pPr>
              <w:spacing w:after="0"/>
              <w:rPr>
                <w:sz w:val="1"/>
                <w:szCs w:val="1"/>
                <w:color w:val="auto"/>
              </w:rPr>
            </w:pPr>
          </w:p>
        </w:tc>
      </w:tr>
      <w:tr>
        <w:trPr>
          <w:trHeight w:val="195"/>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Increase / (decrease) in trade payables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31,757</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Increase / (decrease) in tax and social security liabilities</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Changes in deferred income and other liabilities</w:t>
            </w:r>
          </w:p>
        </w:tc>
        <w:tc>
          <w:tcPr>
            <w:tcW w:w="7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Changes in working capital requirements</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21,265</w:t>
            </w:r>
          </w:p>
        </w:tc>
        <w:tc>
          <w:tcPr>
            <w:tcW w:w="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1,423</w:t>
            </w:r>
          </w:p>
        </w:tc>
        <w:tc>
          <w:tcPr>
            <w:tcW w:w="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3,651</w:t>
            </w:r>
          </w:p>
        </w:tc>
        <w:tc>
          <w:tcPr>
            <w:tcW w:w="0" w:type="dxa"/>
            <w:vAlign w:val="bottom"/>
          </w:tcPr>
          <w:p>
            <w:pPr>
              <w:spacing w:after="0"/>
              <w:rPr>
                <w:sz w:val="1"/>
                <w:szCs w:val="1"/>
                <w:color w:val="auto"/>
              </w:rPr>
            </w:pPr>
          </w:p>
        </w:tc>
      </w:tr>
      <w:tr>
        <w:trPr>
          <w:trHeight w:val="182"/>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Income taxes paid</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57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operating activities</w:t>
            </w: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(97,130)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(161,129)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investing activities</w:t>
            </w: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Acquisitions of intangible assets</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Advances reimbursed by / (made to) CROs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Increase in deposits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9</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(14,152)</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Decrease in deposits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9</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9,050</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Interest received</w:t>
            </w:r>
          </w:p>
        </w:tc>
        <w:tc>
          <w:tcPr>
            <w:tcW w:w="7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8,178</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w:t>
            </w:r>
          </w:p>
        </w:tc>
        <w:tc>
          <w:tcPr>
            <w:tcW w:w="0" w:type="dxa"/>
            <w:vAlign w:val="bottom"/>
          </w:tcPr>
          <w:p>
            <w:pPr>
              <w:spacing w:after="0"/>
              <w:rPr>
                <w:sz w:val="1"/>
                <w:szCs w:val="1"/>
                <w:color w:val="auto"/>
              </w:rPr>
            </w:pPr>
          </w:p>
        </w:tc>
      </w:tr>
      <w:tr>
        <w:trPr>
          <w:trHeight w:val="187"/>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investing activities</w:t>
            </w: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(8,095)</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15,762</w:t>
            </w:r>
          </w:p>
        </w:tc>
        <w:tc>
          <w:tcPr>
            <w:tcW w:w="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(8,193)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financing activities</w:t>
            </w: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Capital increases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13</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353,377</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648,124</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 costs related to capital increase</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13</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(28,111)</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(40,914)</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proceeds from non-convertible bond loans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47,944</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Repayments of non-convertible bond loans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(11,635)</w:t>
            </w:r>
          </w:p>
        </w:tc>
        <w:tc>
          <w:tcPr>
            <w:tcW w:w="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(53,920)</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proceeds from convertible loan notes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55,841</w:t>
            </w: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Repayments of convertible loan notes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(27,188)</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Repayment of PGE</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Repayments of conditional advances</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Payments of the lease liabilities</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94"/>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proceeds from sale of treasury shares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paid</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(7,696)</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(6,490)</w:t>
            </w:r>
          </w:p>
        </w:tc>
        <w:tc>
          <w:tcPr>
            <w:tcW w:w="0" w:type="dxa"/>
            <w:vAlign w:val="bottom"/>
          </w:tcPr>
          <w:p>
            <w:pPr>
              <w:spacing w:after="0"/>
              <w:rPr>
                <w:sz w:val="1"/>
                <w:szCs w:val="1"/>
                <w:color w:val="auto"/>
              </w:rPr>
            </w:pPr>
          </w:p>
        </w:tc>
      </w:tr>
      <w:tr>
        <w:trPr>
          <w:trHeight w:val="201"/>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warrants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15.1</w:t>
            </w:r>
          </w:p>
        </w:tc>
        <w:tc>
          <w:tcPr>
            <w:tcW w:w="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5,820</w:t>
            </w: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2"/>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provided by (used in) financing activities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335,290</w:t>
            </w:r>
          </w:p>
        </w:tc>
        <w:tc>
          <w:tcPr>
            <w:tcW w:w="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28,207</w:t>
            </w:r>
          </w:p>
        </w:tc>
        <w:tc>
          <w:tcPr>
            <w:tcW w:w="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547,307</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Effect of movements in exchange rates on cash held</w:t>
            </w:r>
          </w:p>
        </w:tc>
        <w:tc>
          <w:tcPr>
            <w:tcW w:w="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11</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(10,251)</w:t>
            </w:r>
          </w:p>
        </w:tc>
        <w:tc>
          <w:tcPr>
            <w:tcW w:w="0" w:type="dxa"/>
            <w:vAlign w:val="bottom"/>
          </w:tcPr>
          <w:p>
            <w:pPr>
              <w:spacing w:after="0"/>
              <w:rPr>
                <w:sz w:val="1"/>
                <w:szCs w:val="1"/>
                <w:color w:val="auto"/>
              </w:rPr>
            </w:pPr>
          </w:p>
        </w:tc>
      </w:tr>
      <w:tr>
        <w:trPr>
          <w:trHeight w:val="176"/>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Revaluation of cash equivalents measured at fair value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11 &amp; 21</w:t>
            </w:r>
          </w:p>
        </w:tc>
        <w:tc>
          <w:tcPr>
            <w:tcW w:w="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20" w:type="dxa"/>
            <w:vAlign w:val="bottom"/>
            <w:tcBorders>
              <w:bottom w:val="single" w:sz="8" w:color="CCEEFF"/>
            </w:tcBorders>
            <w:shd w:val="clear" w:color="auto" w:fill="CCEEFF"/>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7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224,992</w:t>
            </w:r>
          </w:p>
        </w:tc>
        <w:tc>
          <w:tcPr>
            <w:tcW w:w="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(107,720)</w:t>
            </w:r>
          </w:p>
        </w:tc>
        <w:tc>
          <w:tcPr>
            <w:tcW w:w="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372,464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Cash and cash equivalents at the beginning of the year</w:t>
            </w: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720" w:type="dxa"/>
            <w:vAlign w:val="bottom"/>
            <w:vMerge w:val="continue"/>
          </w:tcPr>
          <w:p>
            <w:pPr>
              <w:spacing w:after="0"/>
              <w:rPr>
                <w:sz w:val="12"/>
                <w:szCs w:val="12"/>
                <w:color w:val="auto"/>
              </w:rPr>
            </w:pPr>
          </w:p>
        </w:tc>
        <w:tc>
          <w:tcPr>
            <w:tcW w:w="760" w:type="dxa"/>
            <w:vAlign w:val="bottom"/>
          </w:tcPr>
          <w:p>
            <w:pPr>
              <w:ind w:left="320"/>
              <w:spacing w:after="0" w:line="149" w:lineRule="exact"/>
              <w:rPr>
                <w:sz w:val="20"/>
                <w:szCs w:val="20"/>
                <w:color w:val="auto"/>
              </w:rPr>
            </w:pPr>
            <w:r>
              <w:rPr>
                <w:rFonts w:ascii="Times New Roman" w:cs="Times New Roman" w:eastAsia="Times New Roman" w:hAnsi="Times New Roman"/>
                <w:sz w:val="13"/>
                <w:szCs w:val="13"/>
                <w:b w:val="1"/>
                <w:bCs w:val="1"/>
                <w:color w:val="auto"/>
              </w:rPr>
              <w:t>11</w:t>
            </w: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26,950</w:t>
            </w: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251,942</w:t>
            </w: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144,221</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 at the end of the year</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11</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251,942</w:t>
            </w: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144,221</w:t>
            </w:r>
          </w:p>
        </w:tc>
        <w:tc>
          <w:tcPr>
            <w:tcW w:w="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516,685</w:t>
            </w:r>
          </w:p>
        </w:tc>
        <w:tc>
          <w:tcPr>
            <w:tcW w:w="0" w:type="dxa"/>
            <w:vAlign w:val="bottom"/>
          </w:tcPr>
          <w:p>
            <w:pPr>
              <w:spacing w:after="0"/>
              <w:rPr>
                <w:sz w:val="1"/>
                <w:szCs w:val="1"/>
                <w:color w:val="auto"/>
              </w:rPr>
            </w:pPr>
          </w:p>
        </w:tc>
      </w:tr>
      <w:tr>
        <w:trPr>
          <w:trHeight w:val="157"/>
        </w:trPr>
        <w:tc>
          <w:tcPr>
            <w:tcW w:w="57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224,992</w:t>
            </w:r>
          </w:p>
        </w:tc>
        <w:tc>
          <w:tcPr>
            <w:tcW w:w="6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(107,720)</w:t>
            </w:r>
          </w:p>
        </w:tc>
        <w:tc>
          <w:tcPr>
            <w:tcW w:w="4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372,464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238125</wp:posOffset>
            </wp:positionV>
            <wp:extent cx="7016115" cy="14820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016115" cy="148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ABIVAX SA NOTES TO THE FINANCIAL STATEMENTS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 The Group</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Note 1.1. Information on the Group and its business</w:t>
      </w:r>
    </w:p>
    <w:p>
      <w:pPr>
        <w:sectPr>
          <w:pgSz w:w="11900" w:h="16838" w:orient="portrait"/>
          <w:cols w:equalWidth="0" w:num="1">
            <w:col w:w="9880"/>
          </w:cols>
          <w:pgMar w:left="1000" w:top="1224" w:right="1019" w:bottom="0" w:gutter="0" w:footer="0" w:header="0"/>
        </w:sectPr>
      </w:pPr>
    </w:p>
    <w:bookmarkStart w:id="148" w:name="page149"/>
    <w:bookmarkEnd w:id="14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5799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016115" cy="7579995"/>
                    </a:xfrm>
                    <a:prstGeom prst="rect">
                      <a:avLst/>
                    </a:prstGeom>
                    <a:noFill/>
                  </pic:spPr>
                </pic:pic>
              </a:graphicData>
            </a:graphic>
          </wp:anchor>
        </w:drawing>
      </w:r>
    </w:p>
    <w:p>
      <w:pPr>
        <w:ind w:right="80"/>
        <w:spacing w:after="0" w:line="236" w:lineRule="auto"/>
        <w:rPr>
          <w:sz w:val="20"/>
          <w:szCs w:val="20"/>
          <w:color w:val="auto"/>
        </w:rPr>
      </w:pPr>
      <w:r>
        <w:rPr>
          <w:rFonts w:ascii="Times New Roman" w:cs="Times New Roman" w:eastAsia="Times New Roman" w:hAnsi="Times New Roman"/>
          <w:sz w:val="17"/>
          <w:szCs w:val="17"/>
          <w:color w:val="auto"/>
        </w:rPr>
        <w:t>ABIVAX SA (the “Company”) is a société anonyme incorporated under the laws of France on December 4, 2013. Its registered office is located at 7-11 Boulevard Haussmann—75009 Paris, France. The Company is developing therapeutics that harness the body’s</w:t>
      </w:r>
    </w:p>
    <w:p>
      <w:pPr>
        <w:spacing w:after="0"/>
        <w:rPr>
          <w:sz w:val="20"/>
          <w:szCs w:val="20"/>
          <w:color w:val="auto"/>
        </w:rPr>
      </w:pPr>
      <w:r>
        <w:rPr>
          <w:rFonts w:ascii="Times New Roman" w:cs="Times New Roman" w:eastAsia="Times New Roman" w:hAnsi="Times New Roman"/>
          <w:sz w:val="18"/>
          <w:szCs w:val="18"/>
          <w:color w:val="auto"/>
        </w:rPr>
        <w:t>natural regulatory mechanisms to stabilize the immune response in patients with chronic inflammatory diseases.</w:t>
      </w:r>
    </w:p>
    <w:p>
      <w:pPr>
        <w:spacing w:after="0" w:line="16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These consolidated financial statements as of and for the year ended December 31, 2025 comprise the Company and ABIVAX LLC (the “Subsidiary”), the United States subsidiary of ABIVAX SA, created on March 20, 2023 under the laws of the State of Delaware</w:t>
      </w:r>
    </w:p>
    <w:p>
      <w:pPr>
        <w:spacing w:after="0"/>
        <w:rPr>
          <w:sz w:val="20"/>
          <w:szCs w:val="20"/>
          <w:color w:val="auto"/>
        </w:rPr>
      </w:pPr>
      <w:r>
        <w:rPr>
          <w:rFonts w:ascii="Times New Roman" w:cs="Times New Roman" w:eastAsia="Times New Roman" w:hAnsi="Times New Roman"/>
          <w:sz w:val="18"/>
          <w:szCs w:val="18"/>
          <w:color w:val="auto"/>
        </w:rPr>
        <w:t>(together referred to as the “Group”).</w:t>
      </w:r>
    </w:p>
    <w:p>
      <w:pPr>
        <w:spacing w:after="0" w:line="16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The Group has incurred losses since its inception and had shareholders’ equity of €455,205 thousand as of December 31, 2025. The Group anticipates incurring additional losses until such time, if ever, that it can generate significant revenue from its drug candidates</w:t>
      </w:r>
    </w:p>
    <w:p>
      <w:pPr>
        <w:ind w:right="360"/>
        <w:spacing w:after="0" w:line="226" w:lineRule="auto"/>
        <w:rPr>
          <w:sz w:val="20"/>
          <w:szCs w:val="20"/>
          <w:color w:val="auto"/>
        </w:rPr>
      </w:pPr>
      <w:r>
        <w:rPr>
          <w:rFonts w:ascii="Times New Roman" w:cs="Times New Roman" w:eastAsia="Times New Roman" w:hAnsi="Times New Roman"/>
          <w:sz w:val="18"/>
          <w:szCs w:val="18"/>
          <w:color w:val="auto"/>
        </w:rPr>
        <w:t>which are currently under development. Substantial additional financing will be needed by the Group to fund its operations and to commercially develop its drug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future operations are highly dependent on a combination of factors, including: (i) the success of its research and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development activities; (ii) regulatory approval and market acceptance of its proposed future products; (iii) the timely and successful completion of additional financing and (iv) the development of competitive therapies by other biotechnology and pharmaceutical companies. As a result, the Group is, and expects to continue to be, in the short to mid-term, financed through the issuance of new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or debt instruments.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focusing its efforts on the following areas:</w:t>
      </w:r>
    </w:p>
    <w:p>
      <w:pPr>
        <w:spacing w:after="0" w:line="198" w:lineRule="exact"/>
        <w:rPr>
          <w:sz w:val="20"/>
          <w:szCs w:val="20"/>
          <w:color w:val="auto"/>
        </w:rPr>
      </w:pPr>
    </w:p>
    <w:p>
      <w:pPr>
        <w:ind w:left="660" w:hanging="332"/>
        <w:spacing w:after="0" w:line="242" w:lineRule="auto"/>
        <w:tabs>
          <w:tab w:leader="none" w:pos="660" w:val="left"/>
        </w:tabs>
        <w:numPr>
          <w:ilvl w:val="0"/>
          <w:numId w:val="117"/>
        </w:numPr>
        <w:rPr>
          <w:rFonts w:ascii="Arial" w:cs="Arial" w:eastAsia="Arial" w:hAnsi="Arial"/>
          <w:sz w:val="22"/>
          <w:szCs w:val="22"/>
          <w:color w:val="auto"/>
        </w:rPr>
      </w:pPr>
      <w:r>
        <w:rPr>
          <w:rFonts w:ascii="Times New Roman" w:cs="Times New Roman" w:eastAsia="Times New Roman" w:hAnsi="Times New Roman"/>
          <w:sz w:val="18"/>
          <w:szCs w:val="18"/>
          <w:color w:val="auto"/>
        </w:rPr>
        <w:t>Completion of the Phase 3 clinical trial program (ABTECT) for obefazimod in moderately to severely active ulcerative colitis (“UC”).</w:t>
      </w:r>
    </w:p>
    <w:p>
      <w:pPr>
        <w:spacing w:after="0" w:line="3" w:lineRule="exact"/>
        <w:rPr>
          <w:rFonts w:ascii="Arial" w:cs="Arial" w:eastAsia="Arial" w:hAnsi="Arial"/>
          <w:sz w:val="22"/>
          <w:szCs w:val="22"/>
          <w:color w:val="auto"/>
        </w:rPr>
      </w:pPr>
    </w:p>
    <w:p>
      <w:pPr>
        <w:ind w:left="660" w:hanging="332"/>
        <w:spacing w:after="0"/>
        <w:tabs>
          <w:tab w:leader="none" w:pos="660" w:val="left"/>
        </w:tabs>
        <w:numPr>
          <w:ilvl w:val="0"/>
          <w:numId w:val="117"/>
        </w:numPr>
        <w:rPr>
          <w:rFonts w:ascii="Arial" w:cs="Arial" w:eastAsia="Arial" w:hAnsi="Arial"/>
          <w:sz w:val="22"/>
          <w:szCs w:val="22"/>
          <w:color w:val="auto"/>
        </w:rPr>
      </w:pPr>
      <w:r>
        <w:rPr>
          <w:rFonts w:ascii="Times New Roman" w:cs="Times New Roman" w:eastAsia="Times New Roman" w:hAnsi="Times New Roman"/>
          <w:sz w:val="18"/>
          <w:szCs w:val="18"/>
          <w:color w:val="auto"/>
        </w:rPr>
        <w:t>Continuation of the Phase 2b clinical trial (ENHANCE-CD) of obefazimod in Crohn’s disease (“CD”).</w:t>
      </w:r>
    </w:p>
    <w:p>
      <w:pPr>
        <w:spacing w:after="0" w:line="27" w:lineRule="exact"/>
        <w:rPr>
          <w:rFonts w:ascii="Arial" w:cs="Arial" w:eastAsia="Arial" w:hAnsi="Arial"/>
          <w:sz w:val="22"/>
          <w:szCs w:val="22"/>
          <w:color w:val="auto"/>
        </w:rPr>
      </w:pPr>
    </w:p>
    <w:p>
      <w:pPr>
        <w:ind w:left="660" w:hanging="332"/>
        <w:spacing w:after="0" w:line="204" w:lineRule="auto"/>
        <w:tabs>
          <w:tab w:leader="none" w:pos="660" w:val="left"/>
        </w:tabs>
        <w:numPr>
          <w:ilvl w:val="0"/>
          <w:numId w:val="117"/>
        </w:numPr>
        <w:rPr>
          <w:rFonts w:ascii="Arial" w:cs="Arial" w:eastAsia="Arial" w:hAnsi="Arial"/>
          <w:sz w:val="22"/>
          <w:szCs w:val="22"/>
          <w:color w:val="auto"/>
        </w:rPr>
      </w:pPr>
      <w:r>
        <w:rPr>
          <w:rFonts w:ascii="Times New Roman" w:cs="Times New Roman" w:eastAsia="Times New Roman" w:hAnsi="Times New Roman"/>
          <w:sz w:val="18"/>
          <w:szCs w:val="18"/>
          <w:color w:val="auto"/>
        </w:rPr>
        <w:t>Evaluating combination therapy candidates with obefazimod in UC.</w:t>
      </w:r>
    </w:p>
    <w:p>
      <w:pPr>
        <w:spacing w:after="0" w:line="27" w:lineRule="exact"/>
        <w:rPr>
          <w:rFonts w:ascii="Arial" w:cs="Arial" w:eastAsia="Arial" w:hAnsi="Arial"/>
          <w:sz w:val="22"/>
          <w:szCs w:val="22"/>
          <w:color w:val="auto"/>
        </w:rPr>
      </w:pPr>
    </w:p>
    <w:p>
      <w:pPr>
        <w:ind w:left="660" w:hanging="332"/>
        <w:spacing w:after="0" w:line="204" w:lineRule="auto"/>
        <w:tabs>
          <w:tab w:leader="none" w:pos="660" w:val="left"/>
        </w:tabs>
        <w:numPr>
          <w:ilvl w:val="0"/>
          <w:numId w:val="117"/>
        </w:numPr>
        <w:rPr>
          <w:rFonts w:ascii="Arial" w:cs="Arial" w:eastAsia="Arial" w:hAnsi="Arial"/>
          <w:sz w:val="22"/>
          <w:szCs w:val="22"/>
          <w:color w:val="auto"/>
        </w:rPr>
      </w:pPr>
      <w:r>
        <w:rPr>
          <w:rFonts w:ascii="Times New Roman" w:cs="Times New Roman" w:eastAsia="Times New Roman" w:hAnsi="Times New Roman"/>
          <w:sz w:val="18"/>
          <w:szCs w:val="18"/>
          <w:color w:val="auto"/>
        </w:rPr>
        <w:t>Selecting a follow-on candidate for obefazimod.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1.2. Date of authorization of issuance</w:t>
      </w:r>
    </w:p>
    <w:p>
      <w:pPr>
        <w:spacing w:after="0" w:line="8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7"/>
          <w:szCs w:val="17"/>
          <w:color w:val="auto"/>
        </w:rPr>
        <w:t>The consolidated financial statements and related notes (the “financial statements”) have been prepared under the responsibility of management of the Group and were approved and authorized for issuance by the Group’s board of directors on March 19,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preparation</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Except for share data and per share amounts, the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compliance</w:t>
      </w:r>
    </w:p>
    <w:p>
      <w:pPr>
        <w:spacing w:after="0" w:line="187"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auto"/>
        </w:rPr>
        <w:t>The consolidated financial statements of the Group as of and for the years ended December 31, 2023, 2024 and 2025 have been prepared in accordance with both International Financial Reporting Standards (“IFRS”) as issued by the International Accounting Standard Board (“IASB”) and IFRS as adopted by the European Union (“EU”) regulation n°1606/2002 of July 19, 2002. The term “IFRS” refers collectively to International Accounting Standards (“IAS”) and IFRS as well as the interpretations issued by the Standing Interpretations Committee (“SIC”) and the International Financial Reporting Interpretations Standards Committee (“IFRS IC”), whose application is mandatory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853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01611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Preparation of the financial statements</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consolidated financial statements of the Group were prepared on a historical cost basis, with the exception of certain asset and liability categories and in accordance with the provisions set out in IFRS such as employee benefits measured using the projected unit credit method, the Heights notes (classified under "Convertible loan notes") measured at fair value and derivative financial instruments measured at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Group has incurred </w:t>
      </w:r>
      <w:r>
        <w:rPr>
          <w:rFonts w:ascii="Times New Roman" w:cs="Times New Roman" w:eastAsia="Times New Roman" w:hAnsi="Times New Roman"/>
          <w:sz w:val="18"/>
          <w:szCs w:val="18"/>
          <w:color w:val="auto"/>
          <w:highlight w:val="white"/>
        </w:rPr>
        <w:t>substantial operating losses since inception and expects to continue to incur significant operating losses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foreseeable </w:t>
      </w:r>
      <w:r>
        <w:rPr>
          <w:rFonts w:ascii="Times New Roman" w:cs="Times New Roman" w:eastAsia="Times New Roman" w:hAnsi="Times New Roman"/>
          <w:sz w:val="18"/>
          <w:szCs w:val="18"/>
          <w:color w:val="auto"/>
        </w:rPr>
        <w:t>future and may never become profitable. For the year ended December 31, 2025, the Group had a net loss of €336,102</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thousand.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the Group has financed its operations through the issuance of ordinary shares with gross aggregate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€1,194.7 million, of which €130 million of gross proceeds were from offerings of its ordinary shares on Euronext Paris in February</w:t>
      </w:r>
    </w:p>
    <w:p>
      <w:pPr>
        <w:sectPr>
          <w:pgSz w:w="11900" w:h="16882" w:orient="portrait"/>
          <w:cols w:equalWidth="0" w:num="1">
            <w:col w:w="9720"/>
          </w:cols>
          <w:pgMar w:left="1080" w:top="337" w:right="1099" w:bottom="0" w:gutter="0" w:footer="0" w:header="0"/>
        </w:sectPr>
      </w:pPr>
    </w:p>
    <w:bookmarkStart w:id="149" w:name="page150"/>
    <w:bookmarkEnd w:id="149"/>
    <w:p>
      <w:pPr>
        <w:ind w:right="80"/>
        <w:spacing w:after="0" w:line="268" w:lineRule="auto"/>
        <w:rPr>
          <w:sz w:val="20"/>
          <w:szCs w:val="20"/>
          <w:color w:val="auto"/>
        </w:rPr>
      </w:pPr>
      <w:r>
        <w:rPr>
          <w:rFonts w:ascii="Times New Roman" w:cs="Times New Roman" w:eastAsia="Times New Roman" w:hAnsi="Times New Roman"/>
          <w:sz w:val="17"/>
          <w:szCs w:val="17"/>
          <w:color w:val="auto"/>
        </w:rPr>
        <w:t>2023, €223.3 million of gross proceeds were from its offering of ordinary shares in the form of American Depository Shares ("ADS") on the Nasdaq Global Market as well as ordinary shares in Europe (including France) and countries outside of the United States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-256540</wp:posOffset>
            </wp:positionV>
            <wp:extent cx="7016115" cy="62083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016115" cy="6208395"/>
                    </a:xfrm>
                    <a:prstGeom prst="rect">
                      <a:avLst/>
                    </a:prstGeom>
                    <a:noFill/>
                  </pic:spPr>
                </pic:pic>
              </a:graphicData>
            </a:graphic>
          </wp:anchor>
        </w:drawing>
      </w:r>
    </w:p>
    <w:p>
      <w:pPr>
        <w:ind w:right="100"/>
        <w:spacing w:after="0" w:line="252" w:lineRule="auto"/>
        <w:rPr>
          <w:sz w:val="20"/>
          <w:szCs w:val="20"/>
          <w:color w:val="auto"/>
        </w:rPr>
      </w:pPr>
      <w:r>
        <w:rPr>
          <w:rFonts w:ascii="Times New Roman" w:cs="Times New Roman" w:eastAsia="Times New Roman" w:hAnsi="Times New Roman"/>
          <w:sz w:val="17"/>
          <w:szCs w:val="17"/>
          <w:color w:val="auto"/>
        </w:rPr>
        <w:t xml:space="preserve">private placement in October 2023, and €637.5 million of gross proceeds were from the offering of the Group's ordinary shares in the form of ADS on the Nasdaq Global Market in July 2025 ("the Offering"), </w:t>
      </w:r>
      <w:r>
        <w:rPr>
          <w:rFonts w:ascii="Times New Roman" w:cs="Times New Roman" w:eastAsia="Times New Roman" w:hAnsi="Times New Roman"/>
          <w:sz w:val="17"/>
          <w:szCs w:val="17"/>
          <w:color w:val="auto"/>
          <w:highlight w:val="white"/>
        </w:rPr>
        <w:t>bank</w:t>
      </w:r>
      <w:r>
        <w:rPr>
          <w:rFonts w:ascii="Times New Roman" w:cs="Times New Roman" w:eastAsia="Times New Roman" w:hAnsi="Times New Roman"/>
          <w:sz w:val="17"/>
          <w:szCs w:val="17"/>
          <w:color w:val="auto"/>
        </w:rPr>
        <w:t xml:space="preserve"> borrowings and structured loans</w:t>
      </w:r>
      <w:r>
        <w:rPr>
          <w:sz w:val="1"/>
          <w:szCs w:val="1"/>
          <w:color w:val="auto"/>
        </w:rPr>
        <w:drawing>
          <wp:inline distT="0" distB="0" distL="0" distR="0">
            <wp:extent cx="34290" cy="1143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Times New Roman" w:cs="Times New Roman" w:eastAsia="Times New Roman" w:hAnsi="Times New Roman"/>
          <w:sz w:val="17"/>
          <w:szCs w:val="17"/>
          <w:color w:val="auto"/>
        </w:rPr>
        <w:t>for €175.0 million,</w:t>
      </w: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reimbursements of Research Tax Credits (Crédit d’Impôt Recherche (“CIR”)) in an aggregate amount </w:t>
      </w:r>
      <w:r>
        <w:rPr>
          <w:rFonts w:ascii="Times New Roman" w:cs="Times New Roman" w:eastAsia="Times New Roman" w:hAnsi="Times New Roman"/>
          <w:sz w:val="18"/>
          <w:szCs w:val="18"/>
          <w:color w:val="auto"/>
          <w:highlight w:val="white"/>
        </w:rPr>
        <w:t>of</w:t>
      </w:r>
      <w:r>
        <w:rPr>
          <w:rFonts w:ascii="Times New Roman" w:cs="Times New Roman" w:eastAsia="Times New Roman" w:hAnsi="Times New Roman"/>
          <w:sz w:val="18"/>
          <w:szCs w:val="18"/>
          <w:color w:val="auto"/>
        </w:rPr>
        <w:t xml:space="preserve"> €41.2 million, </w:t>
      </w:r>
      <w:r>
        <w:rPr>
          <w:rFonts w:ascii="Times New Roman" w:cs="Times New Roman" w:eastAsia="Times New Roman" w:hAnsi="Times New Roman"/>
          <w:sz w:val="18"/>
          <w:szCs w:val="18"/>
          <w:color w:val="auto"/>
          <w:highlight w:val="white"/>
        </w:rPr>
        <w:t>subsidies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received from Banque Publique d’Investissement (“Bpifrance”) (inclu</w:t>
      </w:r>
      <w:r>
        <w:rPr>
          <w:rFonts w:ascii="Times New Roman" w:cs="Times New Roman" w:eastAsia="Times New Roman" w:hAnsi="Times New Roman"/>
          <w:sz w:val="18"/>
          <w:szCs w:val="18"/>
          <w:color w:val="auto"/>
        </w:rPr>
        <w:t>ding €17.1 million of subsidies and €1.8 million of conditional</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advances) and royalty certificates in an amount of €2.9 million.</w:t>
      </w:r>
    </w:p>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Based on the Group’s existing cash and cash equivalents and other short-term investments of €530.4 million as of December 31, 2025, the Group expects, as of the date of issuance of these financial statements, to be able to fund its forecasted cash flow requirements into the fourth quarter of 2027. This takes into account management's assumptions of continued R&amp;D expenditure related to the continuation of the Phase 3 clinical trials of obefazimod in UC, progression of the Phase 2b clinical trials for CD and the initial stages of the scale up of the commercial organization as the Group prepares for a potential launch of obefazimod in UC.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above, these financial statements have been prepared on a going concern basis.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Ukraine/Russia Hostilities on the Group</w:t>
      </w:r>
    </w:p>
    <w:p>
      <w:pPr>
        <w:spacing w:after="0" w:line="187"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around the world.</w:t>
      </w:r>
    </w:p>
    <w:p>
      <w:pPr>
        <w:spacing w:after="0" w:line="14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Given these developments, the Group has decided not to include Russia and Belarus in its global Phase 3 program for obefazimod in UC. However, the global scale of this conflict cannot be predicted at this stage. The Group, therefore, cannot rule out an adverse impact of this conflict on its business, including in terms of access to raw materials, logistics, the performance of clinical studies and in relation to any future financing the Group may seek.</w:t>
      </w:r>
    </w:p>
    <w:p>
      <w:pPr>
        <w:spacing w:after="0" w:line="16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long-term safety and efficacy extension of the Phase 2b maintenance trial of obefazimod in moderately to severely active UC is the Group’s only clinical trial with patients currently enrolled in Ukraine. The Phase 2b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The Group also has a few Ukrainian sites active in the western part of Ukraine in the ABTECT Phase 3 clinical trials. None of these sites are located in the Crimea Region of Ukraine, the so-called Donetsk People’s Republic, or the so-called Luhansk People’s Republic. We continue to monitor developments in the region, but any instability as a result of the war may have material adverse impacts on these clinical sites, which could negatively impact our Phase 3 clinical trials.</w:t>
      </w:r>
    </w:p>
    <w:p>
      <w:pPr>
        <w:spacing w:after="0" w:line="17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Together with its contract research organizations ("CROs"), the Group is making considerable efforts to ensure the follow-up of patients who are unable to come to the study centers. Monitoring takes place through a remote monitoring system that was established and used successfully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4225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016115" cy="422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revised or amended Standards and Interpreta tions</w:t>
      </w:r>
    </w:p>
    <w:p>
      <w:pPr>
        <w:spacing w:after="0" w:line="18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Group applied the amendment to IAS 21 The Effects of Changes in Foreign Exchange Rates – Lack of Exchangeability that is effective as of December 31, 2025. The Group assessed the impacts resulting from the application of this issued accounting pronouncement and concluded that they are not material.</w:t>
      </w:r>
    </w:p>
    <w:p>
      <w:pPr>
        <w:spacing w:after="0" w:line="28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i w:val="1"/>
          <w:iCs w:val="1"/>
          <w:color w:val="auto"/>
        </w:rPr>
        <w:t>New standards, amendments and interpretations issued by IASB but not yet mandatory for financial years starting from January 1, 2025</w:t>
      </w:r>
    </w:p>
    <w:p>
      <w:pPr>
        <w:spacing w:after="0" w:line="3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The Group did not elect for early application of the following new standards, amendments and interpretations, which were issued but not mandatory as of December 31, 2025:</w:t>
      </w:r>
    </w:p>
    <w:p>
      <w:pPr>
        <w:spacing w:after="0" w:line="172" w:lineRule="exact"/>
        <w:rPr>
          <w:sz w:val="20"/>
          <w:szCs w:val="20"/>
          <w:color w:val="auto"/>
        </w:rPr>
      </w:pPr>
    </w:p>
    <w:p>
      <w:pPr>
        <w:ind w:left="980" w:hanging="328"/>
        <w:spacing w:after="0" w:line="257" w:lineRule="auto"/>
        <w:tabs>
          <w:tab w:leader="none" w:pos="980" w:val="left"/>
        </w:tabs>
        <w:numPr>
          <w:ilvl w:val="0"/>
          <w:numId w:val="118"/>
        </w:numPr>
        <w:rPr>
          <w:rFonts w:ascii="Arial" w:cs="Arial" w:eastAsia="Arial" w:hAnsi="Arial"/>
          <w:sz w:val="22"/>
          <w:szCs w:val="22"/>
          <w:color w:val="auto"/>
        </w:rPr>
      </w:pPr>
      <w:r>
        <w:rPr>
          <w:rFonts w:ascii="Times New Roman" w:cs="Times New Roman" w:eastAsia="Times New Roman" w:hAnsi="Times New Roman"/>
          <w:sz w:val="18"/>
          <w:szCs w:val="18"/>
          <w:color w:val="auto"/>
        </w:rPr>
        <w:t>Amendments to IFRS 9 Financial Instruments and IFRS 7 Financial Instruments: Disclosures – Amendments to the Classification and Measurement of Financial Instruments, whose application is for annual reporting periods beginning on or after January 1, 2026, as approved by the EU on May 27, 2025;</w:t>
      </w:r>
    </w:p>
    <w:p>
      <w:pPr>
        <w:spacing w:after="0" w:line="1" w:lineRule="exact"/>
        <w:rPr>
          <w:rFonts w:ascii="Arial" w:cs="Arial" w:eastAsia="Arial" w:hAnsi="Arial"/>
          <w:sz w:val="22"/>
          <w:szCs w:val="22"/>
          <w:color w:val="auto"/>
        </w:rPr>
      </w:pPr>
    </w:p>
    <w:p>
      <w:pPr>
        <w:ind w:left="980" w:right="40" w:hanging="328"/>
        <w:spacing w:after="0" w:line="237"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9 Financial Instruments and IFRS 7 Financial Instruments: Disclosures – Contracts Referencing Nature-dependent Electricity, whose application is for annual reporting periods beginning on or after January 1, 2026, as approved by the EU on June 30, 2025;</w:t>
      </w:r>
    </w:p>
    <w:p>
      <w:pPr>
        <w:ind w:left="980" w:right="720" w:hanging="328"/>
        <w:spacing w:after="0" w:line="234"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18 Presentation and Disclosure in Financial Statements, whose application is for annual reporting periods beginning on or after January 1, 2027, as approved by the EU on February 16, 2026;</w:t>
      </w:r>
    </w:p>
    <w:p>
      <w:pPr>
        <w:spacing w:after="0" w:line="1" w:lineRule="exact"/>
        <w:rPr>
          <w:rFonts w:ascii="Times New Roman" w:cs="Times New Roman" w:eastAsia="Times New Roman" w:hAnsi="Times New Roman"/>
          <w:sz w:val="18"/>
          <w:szCs w:val="18"/>
          <w:color w:val="auto"/>
        </w:rPr>
      </w:pPr>
    </w:p>
    <w:p>
      <w:pPr>
        <w:ind w:left="980" w:right="420" w:hanging="328"/>
        <w:spacing w:after="0" w:line="234"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19 Subsidiaries without Public Accountability: Disclosures, whose application is for annual reporting periods beginning on or after January 1, 2027 (not yet approved by the UE), and</w:t>
      </w:r>
    </w:p>
    <w:p>
      <w:pPr>
        <w:spacing w:after="0" w:line="1" w:lineRule="exact"/>
        <w:rPr>
          <w:rFonts w:ascii="Times New Roman" w:cs="Times New Roman" w:eastAsia="Times New Roman" w:hAnsi="Times New Roman"/>
          <w:sz w:val="18"/>
          <w:szCs w:val="18"/>
          <w:color w:val="auto"/>
        </w:rPr>
      </w:pPr>
    </w:p>
    <w:p>
      <w:pPr>
        <w:ind w:left="980" w:right="320" w:hanging="328"/>
        <w:spacing w:after="0" w:line="243"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Volume 11, whose application is for annual reporting periods beginning on or after January 1, 2026, as approved by the EU on July 9,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texts have not been early adopted. The application of the standards and interpretations issued respectively by the IASB and the</w:t>
      </w:r>
    </w:p>
    <w:p>
      <w:pPr>
        <w:sectPr>
          <w:pgSz w:w="11900" w:h="16838" w:orient="portrait"/>
          <w:cols w:equalWidth="0" w:num="1">
            <w:col w:w="9700"/>
          </w:cols>
          <w:pgMar w:left="1080" w:top="108" w:right="1119" w:bottom="0" w:gutter="0" w:footer="0" w:header="0"/>
        </w:sectPr>
      </w:pPr>
    </w:p>
    <w:bookmarkStart w:id="150" w:name="page151"/>
    <w:bookmarkEnd w:id="150"/>
    <w:p>
      <w:pPr>
        <w:ind w:right="420"/>
        <w:spacing w:after="0" w:line="227" w:lineRule="auto"/>
        <w:rPr>
          <w:sz w:val="20"/>
          <w:szCs w:val="20"/>
          <w:color w:val="auto"/>
        </w:rPr>
      </w:pPr>
      <w:r>
        <w:rPr>
          <w:rFonts w:ascii="Times New Roman" w:cs="Times New Roman" w:eastAsia="Times New Roman" w:hAnsi="Times New Roman"/>
          <w:sz w:val="17"/>
          <w:szCs w:val="17"/>
          <w:color w:val="auto"/>
        </w:rPr>
        <w:t>IFRS IC that are not yet effective as of December 31, 2025 is not expected to have a material impact on the Group’s consolidated financial statements. IFRS 18, issued in April 2024 and effective from January 1, 2027, will modify the presentation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-213995</wp:posOffset>
            </wp:positionV>
            <wp:extent cx="7016115" cy="48367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016115" cy="48367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Consolidated statements of income (loss) and the Consolidated statements of cash flows.</w:t>
      </w:r>
    </w:p>
    <w:p>
      <w:pPr>
        <w:spacing w:after="0" w:line="2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Note 3. Significant events for the years ended December 31, 2023, 2024 and 2025 and subsequent events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3.1. For the year ended December 31, 2023</w:t>
      </w:r>
    </w:p>
    <w:p>
      <w:pPr>
        <w:spacing w:after="0" w:line="22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announces successful oversubscribed €130.0 million cross-over financing at market price with top-tier U.S. and European Biotech investors – February 2023</w:t>
      </w:r>
    </w:p>
    <w:p>
      <w:pPr>
        <w:spacing w:after="0" w:line="52"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7"/>
          <w:szCs w:val="17"/>
          <w:color w:val="auto"/>
        </w:rPr>
        <w:t>On February 22, 2023, the Company announced the successful pricing of an oversubscribed €130.0 million financing with high-quality U.S. and European biotech specialist investors, led by TCGX, with participation from existing investors Invus, Deep Track Capital, Sofinnova Partners, and Venrock Healthcare Capital Partners, as well as from new investors Great Point Partners, LLC,</w:t>
      </w: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Deerfield Management Company, Commodore Capital, Samsara BioCapital, Boxer Capital and others, by way of a reserved capital increase of €130 million through the issuance of 20,000,000 newly-issued ordinary shares with a nominal value of €0.01 per share, representing 89.6% of its current share capital, at a subscription price of €6.50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transaction costs amounted to €6.7 million and were deducted from the share premiums.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governance and management – February-August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5, 2023, the Company announced the appointment of Marc de Garidel as Chief Executive Officer (“CEO”) and Interim</w:t>
      </w:r>
    </w:p>
    <w:p>
      <w:pPr>
        <w:spacing w:after="0" w:line="2"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7"/>
          <w:szCs w:val="17"/>
          <w:color w:val="auto"/>
        </w:rPr>
        <w:t>Board Chair, effective May 5, 2023. Corinna zur Bonsen-Thomas stepped down as acting Chair, a position she held since August 2022, and remains a Board Member. Prof. Hartmut J. Ehrlich, M.D., retired from the CEO position, which he held since the Company’s founding in 2013, and stayed on as a strategic advisor during the transition period, which ended on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17, 2023, and April 18, 2023, the Company respectively announced the appointments of Dr. Sheldon Sloan, M.D., 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Bioethics as new Chief Medical Officer and Michael Ferguson as new Chief Commercial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596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016115" cy="559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July 11, 2023, the Group announced the appointments of June Lee, M.D. and Troy Ignelzi as new independent members of the Group’s Board of Directors, replacing Joy Amundson and Jean-Jacques Bertrand.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23, 2023, the Group announced the appointment of Patrick Malloy as new Senior Vice President Investor Relations.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Creation of Abivax LLC – March 2023</w:t>
      </w:r>
    </w:p>
    <w:p>
      <w:pPr>
        <w:spacing w:after="0" w:line="119"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On March 20, 2023, Abivax LLC (or the "Subsidiary”), was incorporated as a limited liability company under the laws of Delaware. As of the issuance of the financial statements, the Company has full ownership over the Subsidiary. The Subsidiary hosts the Group’s operations in the United States.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 of the Kreos A&amp;B BSA – May 2023</w:t>
      </w:r>
    </w:p>
    <w:p>
      <w:pPr>
        <w:spacing w:after="0" w:line="187"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On May 24, 2023, Kreos Capital V UK Ltd (or “Kreos”) opted for the cashless exercise option of the share warrants they held (as defined in Note 15.3), implemented through the repurchase by the Group of 43,070 tranche A share warrants (“Kreos A BSA”) and 43,070 tranche B share warrants (“Kreos B BSA”) and the issuance of respectively 67,887 and 31,696 ordinary shares, as a result of the exercise by Kreos of the outstanding Kreos A &amp; B BSA. The accounting treatment of the operation is set forth in Note 15.3.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shares compensation plans – July-December 2023</w:t>
      </w:r>
    </w:p>
    <w:p>
      <w:pPr>
        <w:spacing w:after="0" w:line="198"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In July, September and December 2023, the Group issued five free shares compensation plans (</w:t>
      </w:r>
      <w:r>
        <w:rPr>
          <w:rFonts w:ascii="Times New Roman" w:cs="Times New Roman" w:eastAsia="Times New Roman" w:hAnsi="Times New Roman"/>
          <w:sz w:val="18"/>
          <w:szCs w:val="18"/>
          <w:i w:val="1"/>
          <w:iCs w:val="1"/>
          <w:color w:val="auto"/>
        </w:rPr>
        <w:t>attributions gratuites d’actions</w:t>
      </w:r>
      <w:r>
        <w:rPr>
          <w:rFonts w:ascii="Times New Roman" w:cs="Times New Roman" w:eastAsia="Times New Roman" w:hAnsi="Times New Roman"/>
          <w:sz w:val="18"/>
          <w:szCs w:val="18"/>
          <w:color w:val="auto"/>
        </w:rPr>
        <w:t>, or “AGAs”) to certain of its officers and employees, representing a maximum of 2,601,296 shares in the aggregate. The detailed terms and conditions and the accounting treatment of these plans are presented in Note 14.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 secures financing up to €150 million from two structured debt financing transactions – August 2023</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August 20, 2023, the Group concurrently signed two structured debt financing transactions for a total amount of up to €150 million consisting of (i) up to €75 million from Kreos Capital and Claret European Growth Capital (the “Kreos / Claret Financing”) together with the issuance of warrants (“the Kreos / Claret BSA”) exercisable to receive ordinary shares of the Company, for an aggregate exercise price of up to €8 million and (ii) up to €75 million from a fund advised by Heights Capital Management, Inc. (the “Heights Financing” and together with the Kreos / Claret Financing, the “Transaction”). The detailed structure and characteristics of the Transaction are set forth in Notes 15.1 and 15.2.</w:t>
      </w:r>
    </w:p>
    <w:p>
      <w:pPr>
        <w:spacing w:after="0" w:line="17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first tranches of the Kreos / Claret Financing and the Heights Financing, for €25 million and €35 million, respectively, were drawn on August 22, 2023, and August 24, 2023, respectively. In addition, the Group concurrently granted to Kreos and Claret, for no additional consideration, warrants exercisable to receive ordinary shares of the Company for an aggregate exercise price of up to €4 million.</w:t>
      </w:r>
    </w:p>
    <w:p>
      <w:pPr>
        <w:sectPr>
          <w:pgSz w:w="11900" w:h="16838" w:orient="portrait"/>
          <w:cols w:equalWidth="0" w:num="1">
            <w:col w:w="9720"/>
          </w:cols>
          <w:pgMar w:left="1080" w:top="108" w:right="1099" w:bottom="0" w:gutter="0" w:footer="0" w:header="0"/>
        </w:sectPr>
      </w:pPr>
    </w:p>
    <w:bookmarkStart w:id="151" w:name="page152"/>
    <w:bookmarkEnd w:id="151"/>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465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016115" cy="3465195"/>
                    </a:xfrm>
                    <a:prstGeom prst="rect">
                      <a:avLst/>
                    </a:prstGeom>
                    <a:noFill/>
                  </pic:spPr>
                </pic:pic>
              </a:graphicData>
            </a:graphic>
          </wp:anchor>
        </w:drawing>
      </w: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As part of the Transaction, the Group is also repaying in full a total outstanding amount of €33 million under (i) the pre-existing debt agreements with Kreos for a total amount of €8 million and (ii) the pre-existing OCEANE bonds for a total amount of €25 million by way of set-off with the Heights Financing, thereby fully repaying such pre-existing indebtedness.</w:t>
      </w:r>
    </w:p>
    <w:p>
      <w:pPr>
        <w:spacing w:after="0" w:line="16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net proceeds of the drawdown of the first tranche of the Kreos / Claret Financing and of the Heights Financing which, net of the refinancing of the existing indebtedness, amount to €27 million in the aggregate, are expected to be allocated mainly to the development of obefazimod for the treatment of adults with moderately to severely active UC and other potential chronic inflammatory indications, as well for working capital and general corporate purposes of the Group.</w:t>
      </w:r>
    </w:p>
    <w:p>
      <w:pPr>
        <w:spacing w:after="0" w:line="16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November 2, 2023, the Group granted additional warrants to Kreos and Claret, for an aggregate exercise price of up to €4 million, in order to secure the future drawdown of the third tranche of the Kreos / Claret debt financing. The detailed characteristics of the issuance is set forth in Note 15.1.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 announces closing of its Initial Public Offering on the Nasdaq Global Market – October 2023</w:t>
      </w:r>
    </w:p>
    <w:p>
      <w:pPr>
        <w:spacing w:after="0" w:line="18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October 24, 2023, the Group announced the closing of its previously announced initial public offering on the Nasdaq Global Market by way of a capital increase of 20,325,500 new ordinary shares, consisting of a public offering of 18,699,460 ordinary shares in the form of American Depositary Shares (“ADSs”), each representing the right to receive one ordinary share, in the United States (the “U.S. Offering”), and a concurrent offering of 1,626,040 ordinary shares in certain jurisdictions outside of the United States to certain investors (the “European Private Placement”, and together with the U.S. offering, the “Global Offering”). The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9684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016115" cy="696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was set at $11.60 per ADS in the U.S. Offering and a corresponding offering price of €10.9864 per ordinary share in the European Private Placement. All of the ADSs and ordinary shares in the Global Offering were offered by the Group. The ADSs began trading on the Nasdaq Global Market on October 20, 2023. The aggregate gross proceeds were approximately $235.8 million, equivalent to approximately €223.3 million based on the exchange rate then in effect, before deduction of underwriting commissions and expenses payable by the Group.</w:t>
      </w:r>
    </w:p>
    <w:p>
      <w:pPr>
        <w:spacing w:after="0" w:line="19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 xml:space="preserve">The net proceeds of the Global Offering were </w:t>
      </w:r>
      <w:r>
        <w:rPr>
          <w:rFonts w:ascii="Times New Roman" w:cs="Times New Roman" w:eastAsia="Times New Roman" w:hAnsi="Times New Roman"/>
          <w:sz w:val="18"/>
          <w:szCs w:val="18"/>
          <w:color w:val="auto"/>
          <w:highlight w:val="white"/>
        </w:rPr>
        <w:t>$212.2 million (€202.0 million), after deducting $23.6 million (€21.3 million) i</w:t>
      </w:r>
      <w:r>
        <w:rPr>
          <w:rFonts w:ascii="Times New Roman" w:cs="Times New Roman" w:eastAsia="Times New Roman" w:hAnsi="Times New Roman"/>
          <w:sz w:val="18"/>
          <w:szCs w:val="18"/>
          <w:color w:val="auto"/>
        </w:rPr>
        <w:t>n transaction costs. These costs were deducted from the share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3.2.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governance – February-December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7, 2024, the Group announced the appointment of Ana Sharma as Vice President, Global Head of Quality.</w:t>
      </w:r>
    </w:p>
    <w:p>
      <w:pPr>
        <w:spacing w:after="0" w:line="252"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7"/>
          <w:szCs w:val="17"/>
          <w:color w:val="auto"/>
        </w:rPr>
        <w:t>On April 2, 2024, the Group announced the appointment of Camilla Soenderby as Independent Board Member and also a member of the Appointments and Compensation Committee. Ms. Soenderby replaces Santé Holdings S.R.L., represented by Mr. Paolo Rampulla, who will continue to contribute to the work of the Board of Directors as an observer alongside Mr. Maurizio PetitBon from Kreos</w:t>
      </w:r>
    </w:p>
    <w:p>
      <w:pPr>
        <w:spacing w:after="0"/>
        <w:rPr>
          <w:sz w:val="20"/>
          <w:szCs w:val="20"/>
          <w:color w:val="auto"/>
        </w:rPr>
      </w:pPr>
      <w:r>
        <w:rPr>
          <w:rFonts w:ascii="Times New Roman" w:cs="Times New Roman" w:eastAsia="Times New Roman" w:hAnsi="Times New Roman"/>
          <w:sz w:val="18"/>
          <w:szCs w:val="18"/>
          <w:color w:val="auto"/>
        </w:rPr>
        <w:t>Capital/Blackrock.</w:t>
      </w:r>
    </w:p>
    <w:p>
      <w:pPr>
        <w:spacing w:after="0" w:line="124" w:lineRule="exact"/>
        <w:rPr>
          <w:sz w:val="20"/>
          <w:szCs w:val="20"/>
          <w:color w:val="auto"/>
        </w:rPr>
      </w:pPr>
    </w:p>
    <w:p>
      <w:pPr>
        <w:ind w:right="80"/>
        <w:spacing w:after="0" w:line="205" w:lineRule="auto"/>
        <w:rPr>
          <w:sz w:val="20"/>
          <w:szCs w:val="20"/>
          <w:color w:val="auto"/>
        </w:rPr>
      </w:pPr>
      <w:r>
        <w:rPr>
          <w:rFonts w:ascii="Times New Roman" w:cs="Times New Roman" w:eastAsia="Times New Roman" w:hAnsi="Times New Roman"/>
          <w:sz w:val="18"/>
          <w:szCs w:val="18"/>
          <w:color w:val="auto"/>
        </w:rPr>
        <w:t>In July 2024, the Group announced the appointment of Sylvie Grégoire as Independent Board Member, Chairman of the Board and also a member of the Audit Committee. Dr. Grégoire replaces Ms. Brosgart as Director, Mr. de Garidel as Chairman, and Mr. Hong as member of the Audit Committee.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13, 2024, the Group announced the appointment of Mark Stenhouse as Board Observer &amp; Advisor to the Group.</w:t>
      </w:r>
    </w:p>
    <w:p>
      <w:pPr>
        <w:spacing w:after="0" w:line="14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December 23, 2024, the Group announced the resignation of Dr. Philippe Pouletty, representative of Truffle Capital, as director of the Group, effective on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  – February-September 2024</w:t>
      </w:r>
    </w:p>
    <w:p>
      <w:pPr>
        <w:spacing w:after="0" w:line="29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In February, March, May, July and September 2024, the Group issued seven free-share compensation plans to certain of its officers and employees, representing a maximum of 1,946,125 shares in the aggregate, the vesting of which is subject to the following service</w:t>
      </w: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condition: 50% of the AGAs vest at the end of a two-year period from the allocation date, 25% at the end of a three-year period from the allocation date and 25% at the end of a four-year period from the allocation date (with the exception of the 20,000 2024-6 AGAs, whose vesting conditions are set forth in Note 14).</w:t>
      </w:r>
    </w:p>
    <w:p>
      <w:pPr>
        <w:spacing w:after="0" w:line="13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In March 2024, the Group granted its independent Board members the right to subscribe up to 77,820 share warrants (BSA) in the aggregate, the vesting of which (if subscribed) is subject to a service condition of four years, by tranches of 25% each, vested on each</w:t>
      </w:r>
    </w:p>
    <w:p>
      <w:pPr>
        <w:spacing w:after="0"/>
        <w:rPr>
          <w:sz w:val="20"/>
          <w:szCs w:val="20"/>
          <w:color w:val="auto"/>
        </w:rPr>
      </w:pPr>
      <w:r>
        <w:rPr>
          <w:rFonts w:ascii="Times New Roman" w:cs="Times New Roman" w:eastAsia="Times New Roman" w:hAnsi="Times New Roman"/>
          <w:sz w:val="18"/>
          <w:szCs w:val="18"/>
          <w:color w:val="auto"/>
        </w:rPr>
        <w:t>anniversary date. All the BSAs have been subscribed.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Drawdown of Tranches B and C of the Kreos / Claret Financing – March-June 2024</w:t>
      </w:r>
    </w:p>
    <w:p>
      <w:pPr>
        <w:spacing w:after="0" w:line="26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On March 28, 2024 and June 21, 2024, the Group drew down €25 million related to tranche B and €25 million related to tranche C of senior secured non-convertible bonds from the Kreos / Claret Financing. These second and third tranches each consist of 25,000,000</w:t>
      </w:r>
    </w:p>
    <w:p>
      <w:pPr>
        <w:sectPr>
          <w:pgSz w:w="11900" w:h="16962" w:orient="portrait"/>
          <w:cols w:equalWidth="0" w:num="1">
            <w:col w:w="9720"/>
          </w:cols>
          <w:pgMar w:left="1080" w:top="189" w:right="109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senior secured non-convertible bonds with a par value of €1.00 each, that will not be listed on any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-119380</wp:posOffset>
            </wp:positionV>
            <wp:extent cx="7016115" cy="2093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016115" cy="2093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detailed characteristics of these bond loans and their accounting treatments are set forth in Note 15.1.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Bpifrance RNP-VIR and Carena conditional advances – June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2024, the Group and Bpifrance renegotiated the RNP-VIR and CARENA conditional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83400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7016115" cy="834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right="800" w:hanging="332"/>
        <w:spacing w:after="0" w:line="266" w:lineRule="auto"/>
        <w:tabs>
          <w:tab w:leader="none" w:pos="66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17"/>
          <w:szCs w:val="17"/>
          <w:color w:val="auto"/>
        </w:rPr>
        <w:t>Between September 2017 and November 2019, the Group had received repayable conditional advances amounting €4,032 thousands and subsidies amounting to €1,123 thousand in relation to the RNP-VIR project, which aimed at</w:t>
      </w:r>
    </w:p>
    <w:p>
      <w:pPr>
        <w:spacing w:after="0" w:line="1" w:lineRule="exact"/>
        <w:rPr>
          <w:rFonts w:ascii="Arial" w:cs="Arial" w:eastAsia="Arial" w:hAnsi="Arial"/>
          <w:sz w:val="21"/>
          <w:szCs w:val="21"/>
          <w:color w:val="auto"/>
        </w:rPr>
      </w:pPr>
    </w:p>
    <w:p>
      <w:pPr>
        <w:ind w:left="660"/>
        <w:spacing w:after="0" w:line="305" w:lineRule="auto"/>
        <w:rPr>
          <w:rFonts w:ascii="Arial" w:cs="Arial" w:eastAsia="Arial" w:hAnsi="Arial"/>
          <w:sz w:val="21"/>
          <w:szCs w:val="21"/>
          <w:color w:val="auto"/>
        </w:rPr>
      </w:pPr>
      <w:r>
        <w:rPr>
          <w:rFonts w:ascii="Times New Roman" w:cs="Times New Roman" w:eastAsia="Times New Roman" w:hAnsi="Times New Roman"/>
          <w:sz w:val="18"/>
          <w:szCs w:val="18"/>
          <w:color w:val="auto"/>
        </w:rPr>
        <w:t>discovering new molecules for the treatment of viral infectious diseases through the development of the “Modulation of RNA biogenesis” platform. In June 2024, the Group and Bpifrance agreed to terminate the project due to technical failure, and Bpifrance agreed to waive 60% of the remaining advances. See Note 15.7 "Conditional Advances".</w:t>
      </w:r>
    </w:p>
    <w:p>
      <w:pPr>
        <w:spacing w:after="0" w:line="191" w:lineRule="exact"/>
        <w:rPr>
          <w:rFonts w:ascii="Arial" w:cs="Arial" w:eastAsia="Arial" w:hAnsi="Arial"/>
          <w:sz w:val="21"/>
          <w:szCs w:val="21"/>
          <w:color w:val="auto"/>
        </w:rPr>
      </w:pPr>
    </w:p>
    <w:p>
      <w:pPr>
        <w:ind w:left="660" w:hanging="332"/>
        <w:spacing w:after="0"/>
        <w:tabs>
          <w:tab w:leader="none" w:pos="660" w:val="left"/>
        </w:tabs>
        <w:numPr>
          <w:ilvl w:val="0"/>
          <w:numId w:val="119"/>
        </w:numPr>
        <w:rPr>
          <w:rFonts w:ascii="Arial" w:cs="Arial" w:eastAsia="Arial" w:hAnsi="Arial"/>
          <w:sz w:val="22"/>
          <w:szCs w:val="22"/>
          <w:color w:val="auto"/>
        </w:rPr>
      </w:pPr>
      <w:r>
        <w:rPr>
          <w:rFonts w:ascii="Times New Roman" w:cs="Times New Roman" w:eastAsia="Times New Roman" w:hAnsi="Times New Roman"/>
          <w:sz w:val="18"/>
          <w:szCs w:val="18"/>
          <w:color w:val="auto"/>
        </w:rPr>
        <w:t>Between December 2013 and June 2016, the Group had received repayable conditional advances amounting</w:t>
      </w:r>
    </w:p>
    <w:p>
      <w:pPr>
        <w:spacing w:after="0" w:line="27" w:lineRule="exact"/>
        <w:rPr>
          <w:rFonts w:ascii="Arial" w:cs="Arial" w:eastAsia="Arial" w:hAnsi="Arial"/>
          <w:sz w:val="22"/>
          <w:szCs w:val="22"/>
          <w:color w:val="auto"/>
        </w:rPr>
      </w:pPr>
    </w:p>
    <w:p>
      <w:pPr>
        <w:ind w:left="660" w:right="40"/>
        <w:spacing w:after="0" w:line="295" w:lineRule="auto"/>
        <w:rPr>
          <w:rFonts w:ascii="Arial" w:cs="Arial" w:eastAsia="Arial" w:hAnsi="Arial"/>
          <w:sz w:val="22"/>
          <w:szCs w:val="22"/>
          <w:color w:val="auto"/>
        </w:rPr>
      </w:pPr>
      <w:r>
        <w:rPr>
          <w:rFonts w:ascii="Times New Roman" w:cs="Times New Roman" w:eastAsia="Times New Roman" w:hAnsi="Times New Roman"/>
          <w:sz w:val="17"/>
          <w:szCs w:val="17"/>
          <w:color w:val="auto"/>
        </w:rPr>
        <w:t>€2,187 thousands in relation to the CARENA project, which aimed at developing an anti-HIV-AIDS therapeutic program with the compound ABX464 up to the Phase 2b study. In June 2024, the Group and Bpifrance agreed to terminate the project</w:t>
      </w:r>
    </w:p>
    <w:p>
      <w:pPr>
        <w:ind w:left="660" w:right="900"/>
        <w:spacing w:after="0" w:line="313" w:lineRule="auto"/>
        <w:rPr>
          <w:rFonts w:ascii="Arial" w:cs="Arial" w:eastAsia="Arial" w:hAnsi="Arial"/>
          <w:sz w:val="22"/>
          <w:szCs w:val="22"/>
          <w:color w:val="auto"/>
        </w:rPr>
      </w:pPr>
      <w:r>
        <w:rPr>
          <w:rFonts w:ascii="Times New Roman" w:cs="Times New Roman" w:eastAsia="Times New Roman" w:hAnsi="Times New Roman"/>
          <w:sz w:val="18"/>
          <w:szCs w:val="18"/>
          <w:color w:val="auto"/>
        </w:rPr>
        <w:t>due to technical failure, and Bpifrance agreed to waive 60% of the remaining conditional advance. See Note 15.7 "Conditional Advances".</w:t>
      </w:r>
    </w:p>
    <w:p>
      <w:pPr>
        <w:spacing w:after="0" w:line="162"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The Group fully reimbursed the remaining conditional advances for both programs during the last quarter of 2024. The subsidy income recognized over the period, corresponding to the amounts waived by Bpifrance and related interests, amounts to €4,123 thousand in the aggregate (see Note 18).</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Establishment of an At-the-Market ("ATM") Program on Nasdaq - November 2024</w:t>
      </w:r>
    </w:p>
    <w:p>
      <w:pPr>
        <w:spacing w:after="0" w:line="21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On November 19, 2024, the Group announced the implementation of an At-The-Market program (“ATM Program”) allowing the Group to issue and sell, including with unsolicited investors who have expressed an interest, ordinary shares in the form of ADSs, each ADS representing one ordinary share, nominal value €0.01 per share, of the Group, with aggregate gross sales proceeds of up to $150,000 thousand (subject to French regulatory limits and within the limits of the investors’ requests expressed in the context of the program), from time to time, pursuant to the terms of an equity distribution agreement with Piper Sandler &amp; Co. (“Piper Sandler”), acting as sales agent. The timing of any issuances in the form of ADSs will depend on a variety of factors. The ATM Program will be effective until terminated in accordance with the equity distribution agreement or if ADSs representing the maximum gross sales proceeds have been sold thereunder. To the extent that ADSs are sold pursuant to the ATM Program, the Group currently intends to use the net proceeds (after deduction of fees and expenses), if any, of sales of ADSs issued under the ATM Program primarily to fund the research and development of the Group's product candidates, for working capital and general corporate purposes, at its discretion.</w:t>
      </w:r>
    </w:p>
    <w:p>
      <w:pPr>
        <w:spacing w:after="0" w:line="17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 shelf registration statement on Form F-3, including a base prospectus relating to the Group's securities and an equity distribution agreement prospectus relating to the ATM Program, was filed with the SEC and went into effect during 2024. The base prospectus provides for the potential sale of ADSs of the Group with aggregate gross sales proceeds of up to $350,000 thousand (including the $150,000 thousand covered by the equity distribution agreement prospectus) to grant additional flexibility to the Group in connection with its financing strategy. The specific terms of any securities to be offered pursuant to the base prospectus will be specified in one or more prospectus supplements to the base prospectus. As of the date of issuance of these financial statements, the Group has not utilized the ATM Program.</w:t>
      </w:r>
    </w:p>
    <w:p>
      <w:pPr>
        <w:sectPr>
          <w:pgSz w:w="11900" w:h="16838" w:orient="portrait"/>
          <w:cols w:equalWidth="0" w:num="1">
            <w:col w:w="9700"/>
          </w:cols>
          <w:pgMar w:left="1080" w:top="121" w:right="111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219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016115" cy="721995"/>
                    </a:xfrm>
                    <a:prstGeom prst="rect">
                      <a:avLst/>
                    </a:prstGeom>
                    <a:noFill/>
                  </pic:spPr>
                </pic:pic>
              </a:graphicData>
            </a:graphic>
          </wp:anchor>
        </w:drawing>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90735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20"/>
          </w:cols>
          <w:pgMar w:left="1080" w:top="823" w:right="1099" w:bottom="8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3.3. For the year ended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 – January-November 2025</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January 2025, the Group granted its independent Board members, as well as one of its Board Observers and Advisor, the right to subscribe up to 125,000 share warrants (BSA) in the aggregate, the vesting of which is subject to a service condition of four years, by tranches of 25% each, vested on January 1 of each year.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March, May, August and November 2025, the Group issued eight free-share compensation plans to certain of its officers and employees, representing a maximum of 6,280,727 shares in the aggregate, the vesting of which is subject to the following service condition: 50% of the AGAs vest at the end of a two-year period from the allocation date, 25% at the end of a three-year period from the allocation date and 25% at the end of a four-year period from the allocation date (with the exception of the 123,102 2025-2 AGAs, which vest at the end of a two-year period from the allocation date, and the 50,000 2025-5 AGAs , which vest only upon the achievement of milestones related to clinical studies). Moreover, the vesting of almost half of the 4,319,500 2025-1 AGAs is subject to the occurrence of a tender offer on the securities issued by the Group and resulting in a change of control of the Group before a certain date.</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2025, the Group granted to one of its Board members the right to subscribe up to 39,370 share warrants (BSA), the vesting of which is subject to a service condition of four years, by tranches of 25% each, vested on May 1 of each year. The BSAs were subscribed in May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detailed terms and conditions of these plans are set forth in Note 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management – April 2025</w:t>
      </w: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22, 2025, the Group announced the appointment of Dominik Höchli, MD to the Board of Directors of Abivax, effective immediately.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enrollment for the Phase 3 ABTECT trials in patients with moderately to severely active UC - April 2025</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29, 2025, the Group announced the completion of enrollment for the Phase 3 ABTECT trials in patients with moderately to severely active UC.</w:t>
      </w:r>
    </w:p>
    <w:p>
      <w:pPr>
        <w:spacing w:after="0" w:line="16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Publication of positive Phase 3 results from both ABTECT 8-week induction trials investigating obefazimod, in moderate to severely active UC – July 2025</w:t>
      </w:r>
    </w:p>
    <w:p>
      <w:pPr>
        <w:spacing w:after="0" w:line="1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On July 22, 2025, the Group announced the positive results of the ABTECT-1 and ABTECT-2 induction trials in patients with moderately to severely active UC. ABTECT-1 and 2 are global, multicenter, randomized, double-blind, placebo-controlled trials assessing once-daily oral administration of obefazimod at 25 mg or 50 mg doses in adult patients with moderately to severely active UC. Eligible participants had inadequate response, loss of response, or intolerance to conventional and/or advanced therapies.</w:t>
      </w:r>
    </w:p>
    <w:p>
      <w:pPr>
        <w:spacing w:after="0" w:line="16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 xml:space="preserve">Following this announcement and that of its Offering completed on July 28, 2025 (see </w:t>
      </w:r>
      <w:r>
        <w:rPr>
          <w:rFonts w:ascii="Times New Roman" w:cs="Times New Roman" w:eastAsia="Times New Roman" w:hAnsi="Times New Roman"/>
          <w:sz w:val="18"/>
          <w:szCs w:val="18"/>
          <w:i w:val="1"/>
          <w:iCs w:val="1"/>
          <w:color w:val="auto"/>
        </w:rPr>
        <w:t>Completion of a public offering – July 2025</w:t>
      </w:r>
      <w:r>
        <w:rPr>
          <w:rFonts w:ascii="Times New Roman" w:cs="Times New Roman" w:eastAsia="Times New Roman" w:hAnsi="Times New Roman"/>
          <w:sz w:val="18"/>
          <w:szCs w:val="18"/>
          <w:color w:val="auto"/>
        </w:rPr>
        <w:t xml:space="preserve"> within this section), the Group’s share price increased significantly, from €6.64 as of June 30, 2025, to €57.00 as of July 28, 2025. At the same time, the Group reassessed the probability of success (“POS”) of obtaining a future market authorization for obefazimod in UC, to reflect a reduced level of uncertainty following positive Phase 3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financial effects of this event on the Group’s financial statements are the following:</w:t>
      </w:r>
    </w:p>
    <w:p>
      <w:pPr>
        <w:spacing w:after="0" w:line="198" w:lineRule="exact"/>
        <w:rPr>
          <w:sz w:val="20"/>
          <w:szCs w:val="20"/>
          <w:color w:val="auto"/>
        </w:rPr>
      </w:pPr>
    </w:p>
    <w:p>
      <w:pPr>
        <w:ind w:left="660" w:hanging="332"/>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the carrying value of the royalty certificates, measured at amortized cost, reflecting an increase in the projected probability-weighted cash flows of the instrument, following the reassessment of the POS (see Note 15.9),</w:t>
      </w:r>
    </w:p>
    <w:p>
      <w:pPr>
        <w:spacing w:after="0" w:line="162" w:lineRule="exact"/>
        <w:rPr>
          <w:rFonts w:ascii="Times New Roman" w:cs="Times New Roman" w:eastAsia="Times New Roman" w:hAnsi="Times New Roman"/>
          <w:sz w:val="18"/>
          <w:szCs w:val="18"/>
          <w:color w:val="auto"/>
        </w:rPr>
      </w:pPr>
    </w:p>
    <w:p>
      <w:pPr>
        <w:ind w:left="660" w:hanging="332"/>
        <w:spacing w:after="0" w:line="258" w:lineRule="auto"/>
        <w:tabs>
          <w:tab w:leader="none" w:pos="6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Significant changes in the carrying value of the Group’s financial liabilities measured at fair value through profit or loss, i.e. the Kreos / Claret BSA, the Kreos / Claret MRI and the Heights convertible notes (the latter as well as the Kreos / Claret BSA being converted into ordinary shares at the request of the noteholders in July and August 2025, see </w:t>
      </w:r>
      <w:r>
        <w:rPr>
          <w:rFonts w:ascii="Times New Roman" w:cs="Times New Roman" w:eastAsia="Times New Roman" w:hAnsi="Times New Roman"/>
          <w:sz w:val="17"/>
          <w:szCs w:val="17"/>
          <w:i w:val="1"/>
          <w:iCs w:val="1"/>
          <w:color w:val="auto"/>
        </w:rPr>
        <w:t>Conversion of the Heights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convertible notes, Kreos / Claret OCABSA and Kreos / Claret BSA – July-August 2025 below </w:t>
      </w:r>
      <w:r>
        <w:rPr>
          <w:rFonts w:ascii="Times New Roman" w:cs="Times New Roman" w:eastAsia="Times New Roman" w:hAnsi="Times New Roman"/>
          <w:sz w:val="17"/>
          <w:szCs w:val="17"/>
          <w:color w:val="auto"/>
        </w:rPr>
        <w:t>and Notes 15.1 and 15.2),</w:t>
      </w:r>
    </w:p>
    <w:p>
      <w:pPr>
        <w:sectPr>
          <w:pgSz w:w="11900" w:h="16838" w:orient="portrait"/>
          <w:cols w:equalWidth="0" w:num="1">
            <w:col w:w="9720"/>
          </w:cols>
          <w:pgMar w:left="1080" w:top="823" w:right="1099" w:bottom="8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5562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016115" cy="556260"/>
                    </a:xfrm>
                    <a:prstGeom prst="rect">
                      <a:avLst/>
                    </a:prstGeom>
                    <a:noFill/>
                  </pic:spPr>
                </pic:pic>
              </a:graphicData>
            </a:graphic>
          </wp:anchor>
        </w:drawing>
      </w:r>
    </w:p>
    <w:p>
      <w:pPr>
        <w:sectPr>
          <w:pgSz w:w="11900" w:h="16838" w:orient="portrait"/>
          <w:cols w:equalWidth="0" w:num="1">
            <w:col w:w="9720"/>
          </w:cols>
          <w:pgMar w:left="1080" w:top="823" w:right="1099" w:bottom="837" w:gutter="0" w:footer="0" w:header="0"/>
          <w:type w:val="continuous"/>
        </w:sectPr>
      </w:pPr>
    </w:p>
    <w:bookmarkStart w:id="154" w:name="page155"/>
    <w:bookmarkEnd w:id="154"/>
    <w:p>
      <w:pPr>
        <w:ind w:left="660" w:right="220" w:hanging="332"/>
        <w:spacing w:after="0" w:line="245"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505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016115" cy="8505825"/>
                    </a:xfrm>
                    <a:prstGeom prst="rect">
                      <a:avLst/>
                    </a:prstGeom>
                    <a:noFill/>
                  </pic:spPr>
                </pic:pic>
              </a:graphicData>
            </a:graphic>
          </wp:anchor>
        </w:drawing>
        <w:t>Significant changes in the disclosure of the fair values of other financial instruments measured at amortized cost (i.e. the royalty certificates, the debt components of (i) the Kreos / Claret OCABSA (Tranche A, converted into shares in August 2025) and (ii) Tranche B and C bond loans; these fair value changes are not expected directly to impact the future financial position and net loss of the Group - see Note 15),</w:t>
      </w:r>
    </w:p>
    <w:p>
      <w:pPr>
        <w:spacing w:after="0" w:line="167" w:lineRule="exact"/>
        <w:rPr>
          <w:rFonts w:ascii="Times New Roman" w:cs="Times New Roman" w:eastAsia="Times New Roman" w:hAnsi="Times New Roman"/>
          <w:sz w:val="18"/>
          <w:szCs w:val="18"/>
          <w:color w:val="auto"/>
        </w:rPr>
      </w:pPr>
    </w:p>
    <w:p>
      <w:pPr>
        <w:ind w:left="660" w:right="140" w:hanging="332"/>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provisions related to employer contributions on AGAs (the contribution being based on the vesting date share price - see Note 14).</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a public offering – July 2025</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28, 2025, the Group announced the completion of an underwritten public offering of 11,679,400 ADSs (the “Offering”) at a price of $64.00 per ADS (corresponding to €54.58 per ordinary share, based on the exchange rate of €1.00 = $1.1726 as published by the European Central Bank on July 23, 2025). The aggregate gross proceeds amounted to approximately $747.5 million, equivalent to approximately €637.5 million, before deduction of underwriting commissions and estimated expenses, and the net proceeds, after deducting underwriting commissions and estimated offering expenses, were approximately $700.3 million, equivalent to approximately €597.2 million. The net cash from the Offering of €607.2 million presented within the Consolidated Statements of Cash Flows also includes the effect of a net foreign exchange gain resulting from the favorable change in the euro to U.S. dollar exchange rate between the closing of the Offering and the date of receipt of funds.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Group believes that the net proceeds from the Offering, together with its current cash and cash equivalents, will allow it to finance its operations into the fourth quarter of 2027, allowing it to reach 12 months of expected cash runway following the planned NDA submission for UC, assuming positive results from its Phase 3 maintenance trial (see Note 2 above "Going concern").</w:t>
      </w:r>
    </w:p>
    <w:p>
      <w:pPr>
        <w:spacing w:after="0" w:line="3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Conversion of the Heights convertible notes, Kreos OCABSA and Kreos / Claret BSA and prepayment of the Kreos / Claret Tranches B and C bond loans – July-December 2025</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23 and July 30, 2025, the Group received notices from entities affiliated with Heights Capital Management, which hold amortizing senior convertible notes of the Group issued in August 2023 (the “Height convertible notes”), for the immediate conversion of respectively 150 and 200 convertible notes (corresponding to the entirety of the outstanding principal amount of €21.9 million) into 920,377 new ordinary shares of the Group at a conversion price of €23.7674 per ordinary share in accordance with the terms and conditions of the convertible notes.</w:t>
      </w:r>
    </w:p>
    <w:p>
      <w:pPr>
        <w:spacing w:after="0" w:line="1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 August 8, 2025, Kreos Capital VII (UK) Limited converted its portion of the Tranche A of the Kreos / Claret Financing (the Kreos OCABSA), resulting in the issuance of 785,389 ordinary shares. In addition, on July 30, 2025, Kreos Capital VII Aggregator SCSp</w:t>
      </w:r>
    </w:p>
    <w:p>
      <w:pPr>
        <w:spacing w:after="0" w:line="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exercised its share warrants (the tranche A-B BSA and tranche C BSA) resulting in the issuance of 319,251 ordinary shares of the Group.</w:t>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28, 2025, Claret European Growth Capital Fund III SCSp exercised its share warrants (the tranche A-B BSA and tranche C BSA) resulting in the issuance of 206,662 ordinary shares of the Group.</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25, 2025, Claret European Growth Capital Fund III SCSp converted its portion of the Tranche A portion of the Kreos / Claret Financing (the Claret OCABSA), resulting in the issuance of 392,695 ordinary shares of the Group.</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23, 2025, the Group completed the full prepayment of the outstanding balances of Tranches B and C of the Kreos / Claret Financing. The repayment amount, including end-of-loan exit fees and prepayment fees, amounts to 33,823 thousand.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these transactions, the Group no longer holds any debt related to the Kreos / Claret and Heights Financings.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impacts of these operations on the Group's financial statements are set forth in Note 15.1 and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9278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01611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Admission to the CAC Mid 60 and SBF 120 indices - September 2025</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the annual review of the Euronext Paris indices on September 11, 2025, the Scientific Council of the Indices has decided to admit the Company to the CAC Mid 60 and SBF 120 indices. This decision took effect on Friday, September 19, 2025, after market close. The CAC Mid 60 and SBF 120 are key indices on the Euronext Paris exchange, representing mid-sized listed companies and a broader selection of 120 major securities, respectively.</w:t>
      </w:r>
    </w:p>
    <w:p>
      <w:pPr>
        <w:sectPr>
          <w:pgSz w:w="11900" w:h="16838" w:orient="portrait"/>
          <w:cols w:equalWidth="0" w:num="1">
            <w:col w:w="9720"/>
          </w:cols>
          <w:pgMar w:left="1080" w:top="702" w:right="1099" w:bottom="24"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1342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016115" cy="7134225"/>
                    </a:xfrm>
                    <a:prstGeom prst="rect">
                      <a:avLst/>
                    </a:prstGeom>
                    <a:noFill/>
                  </pic:spPr>
                </pic:pic>
              </a:graphicData>
            </a:graphic>
          </wp:anchor>
        </w:drawing>
        <w:t>Note 3.4. Subsequent events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 – February 2026</w:t>
      </w:r>
    </w:p>
    <w:p>
      <w:pPr>
        <w:spacing w:after="0" w:line="2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February 2026, the Group issued a new free-share compensation plan to certain of its officers and employees, representing a maximum of 47,500 shares in the aggregate, the vesting of which is subject to the following service condition: 50% of the AGAs vest at the end of a two-year period from the allocation date, 25% at the end of a three-year period from the allocation date and 25% at the end of a four-year period from the allocation date.</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February 2026, the Group granted its independent Board members, as well as one of its Board Observers and Advisor, the right to subscribe up to 23,477 share warrants (BSA) in the aggregate, the vesting of which (if subscribed) is subject to a service condition of four years, by tranches of 25% each, vested on each February 1st thereafter.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Management - March</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March 2026, the Group appointed Michael Nesrallah, MBA, as Chief Commercial Officer, Keith Fournier, Ph.D., as Senior Vice President of Global Regulatory Affairs, and Maurus de la Rosa, Ph.D., Senior Vice President of Research.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Sofinnova Partners, represented by Dr. Kinam Hong, stepped down from the Group's Board of Directors.</w:t>
      </w:r>
    </w:p>
    <w:p>
      <w:pPr>
        <w:spacing w:after="0" w:line="198"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In light of Mr. Didier Scherrer's departure from his role as Chief Scientific Officer, the Group entered into a settlement agreement ("protocole d’accord transactionnel") with Mr. Didier Scherrer under which:</w:t>
      </w:r>
    </w:p>
    <w:p>
      <w:pPr>
        <w:spacing w:after="0" w:line="1" w:lineRule="exact"/>
        <w:rPr>
          <w:sz w:val="20"/>
          <w:szCs w:val="20"/>
          <w:color w:val="auto"/>
        </w:rPr>
      </w:pPr>
    </w:p>
    <w:p>
      <w:pPr>
        <w:ind w:left="660" w:right="640" w:hanging="332"/>
        <w:spacing w:after="0" w:line="234"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Scherrer received a balance of notice pay in the total gross amount of €278 thousand, together with a contractual severance indemnity of €240 thousand (net);</w:t>
      </w:r>
    </w:p>
    <w:p>
      <w:pPr>
        <w:spacing w:after="0" w:line="1" w:lineRule="exact"/>
        <w:rPr>
          <w:rFonts w:ascii="Times New Roman" w:cs="Times New Roman" w:eastAsia="Times New Roman" w:hAnsi="Times New Roman"/>
          <w:sz w:val="18"/>
          <w:szCs w:val="18"/>
          <w:color w:val="auto"/>
        </w:rPr>
      </w:pPr>
    </w:p>
    <w:p>
      <w:pPr>
        <w:ind w:left="660" w:hanging="332"/>
        <w:spacing w:after="0" w:line="234"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waived the continued employment condition attached to 77,050 free shares previously granted to Mr. Scherrer;</w:t>
      </w:r>
    </w:p>
    <w:p>
      <w:pPr>
        <w:ind w:left="660" w:right="460" w:hanging="332"/>
        <w:spacing w:after="0" w:line="234"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waived the continued employment condition for a further 40,200 free shares, subject to specific performance conditions;</w:t>
      </w:r>
    </w:p>
    <w:p>
      <w:pPr>
        <w:spacing w:after="0" w:line="1" w:lineRule="exact"/>
        <w:rPr>
          <w:rFonts w:ascii="Times New Roman" w:cs="Times New Roman" w:eastAsia="Times New Roman" w:hAnsi="Times New Roman"/>
          <w:sz w:val="18"/>
          <w:szCs w:val="18"/>
          <w:color w:val="auto"/>
        </w:rPr>
      </w:pPr>
    </w:p>
    <w:p>
      <w:pPr>
        <w:ind w:left="660" w:hanging="332"/>
        <w:spacing w:after="0" w:line="234"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217,750 free shares previously granted to Mr. Scherrer are lapsed; and</w:t>
      </w:r>
    </w:p>
    <w:p>
      <w:pPr>
        <w:ind w:left="660" w:hanging="33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Scherrer irrevocably waived all claims and renounced any legal action against the Group.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Accounting principles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 Goodwill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initial recognition, goodwill is stated at cost less any accumulated impairment losses (see Note 4.4).</w:t>
      </w:r>
    </w:p>
    <w:p>
      <w:pPr>
        <w:spacing w:after="0" w:line="19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In respect of business combinations prior to January 1, 2020, in accordance with IFRS 1 exemption, goodwill is included on the basis of its deemed cost, which represents the amount recorded under the prior basis of accounting, French GAAP, (“Previous GAAP”).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4.2. Intangible assets</w:t>
      </w:r>
    </w:p>
    <w:p>
      <w:pPr>
        <w:spacing w:after="0" w:line="92"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Pursuant to IAS 38—</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intangible assets acquired are recognized as assets on the statements of financial position at their acquisition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2994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016115" cy="329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patents and development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separately acquired research and development are capitalized within “intangible assets” provided that they meet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definition of an intangible asset: a resource that is (i) controlled by the Group, (ii) expected to provide future economic benefits for the Group and (iii) identifiable (i.e., it is either separable or arises from contractual or legal rights). In accordance with paragraph 25 of IAS 38—</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recognition criterion relating to the likelihood of future economic benefits generated by the intangible</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asset, is presumed to be achieved for research and development activities when they are acquired separately. In this context, amounts paid to third parties in the form of initial payments or milestone payments relating to pharmaceutical specialties that have not yet obtained a marketing authorization are recognized as intangible assets. These rights will be amortized on a straight-line basis, after</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obtaining the marketing authorization, over their useful life. Unamortized rights (before marketing authorization) are subject to impairment tests in accordance with the method defined in Note 4.4.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Pursuant to IAS 38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research costs are expensed in the period during which they are incurred. Development costs are only recognized as intangible assets if the following criteria are met:</w:t>
      </w:r>
    </w:p>
    <w:p>
      <w:pPr>
        <w:spacing w:after="0" w:line="38" w:lineRule="exact"/>
        <w:rPr>
          <w:sz w:val="20"/>
          <w:szCs w:val="20"/>
          <w:color w:val="auto"/>
        </w:rPr>
      </w:pPr>
    </w:p>
    <w:p>
      <w:pPr>
        <w:ind w:left="1000" w:hanging="336"/>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development of the project;</w:t>
      </w:r>
    </w:p>
    <w:p>
      <w:pPr>
        <w:spacing w:after="0" w:line="76"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Group’s intention to complete the project and to utilize it;</w:t>
      </w:r>
    </w:p>
    <w:p>
      <w:pPr>
        <w:spacing w:after="0" w:line="90"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capacity to utilize the intangible asset;</w:t>
      </w:r>
    </w:p>
    <w:p>
      <w:pPr>
        <w:sectPr>
          <w:pgSz w:w="11900" w:h="16838" w:orient="portrait"/>
          <w:cols w:equalWidth="0" w:num="1">
            <w:col w:w="9700"/>
          </w:cols>
          <w:pgMar w:left="1080" w:top="711" w:right="1119" w:bottom="0" w:gutter="0" w:footer="0" w:header="0"/>
        </w:sectPr>
      </w:pPr>
    </w:p>
    <w:bookmarkStart w:id="156" w:name="page157"/>
    <w:bookmarkEnd w:id="156"/>
    <w:p>
      <w:pPr>
        <w:spacing w:after="0" w:line="25" w:lineRule="exact"/>
        <w:rPr>
          <w:sz w:val="20"/>
          <w:szCs w:val="20"/>
          <w:color w:val="auto"/>
        </w:rPr>
      </w:pPr>
    </w:p>
    <w:p>
      <w:pPr>
        <w:ind w:left="1000" w:hanging="336"/>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proof of the probability of future economic benefits associated with the asset</w:t>
      </w:r>
    </w:p>
    <w:p>
      <w:pPr>
        <w:ind w:left="1000" w:hanging="336"/>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availability of the technical, financial and other resources for completing the project; and</w:t>
      </w:r>
    </w:p>
    <w:p>
      <w:pPr>
        <w:spacing w:after="0" w:line="70"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reliable evaluation of the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-384810</wp:posOffset>
            </wp:positionV>
            <wp:extent cx="7016115" cy="57626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016115" cy="5762625"/>
                    </a:xfrm>
                    <a:prstGeom prst="rect">
                      <a:avLst/>
                    </a:prstGeom>
                    <a:noFill/>
                  </pic:spPr>
                </pic:pic>
              </a:graphicData>
            </a:graphic>
          </wp:anchor>
        </w:drawing>
      </w:r>
    </w:p>
    <w:p>
      <w:pPr>
        <w:spacing w:after="0" w:line="16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The initial measurement of the asset is the sum of expenses incurred starting on the date on which the development project meets the above criteria. Because of the risks and uncertainties related to regulatory authorizations and to the research and development process,</w:t>
      </w:r>
    </w:p>
    <w:p>
      <w:pPr>
        <w:ind w:right="360"/>
        <w:spacing w:after="0" w:line="226" w:lineRule="auto"/>
        <w:rPr>
          <w:sz w:val="20"/>
          <w:szCs w:val="20"/>
          <w:color w:val="auto"/>
        </w:rPr>
      </w:pPr>
      <w:r>
        <w:rPr>
          <w:rFonts w:ascii="Times New Roman" w:cs="Times New Roman" w:eastAsia="Times New Roman" w:hAnsi="Times New Roman"/>
          <w:sz w:val="18"/>
          <w:szCs w:val="18"/>
          <w:color w:val="auto"/>
        </w:rPr>
        <w:t>the Group believes that the six criteria stipulated by IAS 38 have not been fulfilled to date and the application of this principle has resulted in all development costs being expensed as incurred in all periods presented.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9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Other intangible assets mainly consist of acquired software. Costs related to the acquisition of software licenses are recognized as assets based on the costs incurred to acquire and set up the related software. Other intangible assets are amortized using the straight-line method over a period of one year.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4.3. Property, plant and equipment</w:t>
      </w:r>
    </w:p>
    <w:p>
      <w:pPr>
        <w:spacing w:after="0" w:line="7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 xml:space="preserve">Pursuant to IAS 16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property, plant and equipment are recognized at their acquisition cost (purchase price and directly attributable costs) or at their production cost by the Group, as applicable.</w:t>
      </w:r>
    </w:p>
    <w:p>
      <w:pPr>
        <w:spacing w:after="0" w:line="172"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Property, plant and equipment are depreciated using the straight-line method over the estimated useful life of the asset. The principal useful lives applied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Buildings</w:t>
            </w:r>
          </w:p>
        </w:tc>
        <w:tc>
          <w:tcPr>
            <w:tcW w:w="2180" w:type="dxa"/>
            <w:vAlign w:val="bottom"/>
          </w:tcPr>
          <w:p>
            <w:pPr>
              <w:spacing w:after="0"/>
              <w:rPr>
                <w:sz w:val="22"/>
                <w:szCs w:val="22"/>
                <w:color w:val="auto"/>
              </w:rPr>
            </w:pPr>
          </w:p>
        </w:tc>
      </w:tr>
      <w:tr>
        <w:trPr>
          <w:trHeight w:val="27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Office fixtures and fittings</w:t>
            </w:r>
          </w:p>
        </w:tc>
        <w:tc>
          <w:tcPr>
            <w:tcW w:w="2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 xml:space="preserve">3 years </w:t>
            </w:r>
            <w:r>
              <w:rPr>
                <w:rFonts w:ascii="Times New Roman" w:cs="Times New Roman" w:eastAsia="Times New Roman" w:hAnsi="Times New Roman"/>
                <w:sz w:val="23"/>
                <w:szCs w:val="23"/>
                <w:color w:val="auto"/>
                <w:vertAlign w:val="superscript"/>
              </w:rPr>
              <w:t>(1)</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Equipment</w:t>
            </w:r>
          </w:p>
        </w:tc>
        <w:tc>
          <w:tcPr>
            <w:tcW w:w="2180" w:type="dxa"/>
            <w:vAlign w:val="bottom"/>
          </w:tcPr>
          <w:p>
            <w:pPr>
              <w:spacing w:after="0"/>
              <w:rPr>
                <w:sz w:val="20"/>
                <w:szCs w:val="20"/>
                <w:color w:val="auto"/>
              </w:rPr>
            </w:pP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Industrial materials and equipment</w:t>
            </w:r>
          </w:p>
        </w:tc>
        <w:tc>
          <w:tcPr>
            <w:tcW w:w="2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 to 10 years</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Technical facilities</w:t>
            </w:r>
          </w:p>
        </w:tc>
        <w:tc>
          <w:tcPr>
            <w:tcW w:w="2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 to 10 years</w:t>
            </w:r>
          </w:p>
        </w:tc>
      </w:tr>
      <w:tr>
        <w:trPr>
          <w:trHeight w:val="25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Furniture and computer equipment:</w:t>
            </w:r>
          </w:p>
        </w:tc>
        <w:tc>
          <w:tcPr>
            <w:tcW w:w="2180" w:type="dxa"/>
            <w:vAlign w:val="bottom"/>
          </w:tcPr>
          <w:p>
            <w:pPr>
              <w:spacing w:after="0"/>
              <w:rPr>
                <w:sz w:val="22"/>
                <w:szCs w:val="22"/>
                <w:color w:val="auto"/>
              </w:rPr>
            </w:pP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 to 10 years</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 years</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2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46710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016115" cy="467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right="360" w:hanging="437"/>
        <w:spacing w:after="0" w:line="237" w:lineRule="auto"/>
        <w:tabs>
          <w:tab w:leader="none" w:pos="4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fixtures and fittings estimated useful lives correspond to the Paris headquarters and Boston offices residual estimated lease terms.</w:t>
      </w:r>
    </w:p>
    <w:p>
      <w:pPr>
        <w:spacing w:after="0" w:line="172"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The useful lives of property, plant and equipment as well as any residual values are reviewed at each year-end and, in the event of a significant change, the depreciation schedule is revised prospectively.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4.4. Impairment of goodwill, intangible assets, property and plant and equipment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not yet available for use are not amortized and are tested for impairment annually.</w:t>
      </w:r>
    </w:p>
    <w:p>
      <w:pPr>
        <w:spacing w:after="0" w:line="18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 addition, the Group assesses at the end of each reporting period whether there is an indication that intangible assets and property, plant and equipment may be impaired. Pursuant to IAS 36—</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criteria for assessing indication of loss in value may</w:t>
      </w:r>
    </w:p>
    <w:p>
      <w:pPr>
        <w:spacing w:after="0" w:line="2" w:lineRule="exact"/>
        <w:rPr>
          <w:sz w:val="20"/>
          <w:szCs w:val="20"/>
          <w:color w:val="auto"/>
        </w:rPr>
      </w:pPr>
    </w:p>
    <w:p>
      <w:pPr>
        <w:ind w:right="720"/>
        <w:spacing w:after="0" w:line="226" w:lineRule="auto"/>
        <w:rPr>
          <w:sz w:val="20"/>
          <w:szCs w:val="20"/>
          <w:color w:val="auto"/>
        </w:rPr>
      </w:pPr>
      <w:r>
        <w:rPr>
          <w:rFonts w:ascii="Times New Roman" w:cs="Times New Roman" w:eastAsia="Times New Roman" w:hAnsi="Times New Roman"/>
          <w:sz w:val="18"/>
          <w:szCs w:val="18"/>
          <w:color w:val="auto"/>
        </w:rPr>
        <w:t>notably include performance levels lower than forecast, a significant change in market data or the regulatory environment, or obsolescence or physical damage of the asset not included in the amortization/depreciation schedule.</w:t>
      </w:r>
    </w:p>
    <w:p>
      <w:pPr>
        <w:spacing w:after="0" w:line="15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For the purpose of impairment testing, goodwill and intangible assets not yet available for use are allocated to each of the Group’s CGUs expected to benefit from synergies arising from the business combination or from the use of the intangible assets.</w:t>
      </w:r>
    </w:p>
    <w:p>
      <w:pPr>
        <w:spacing w:after="0" w:line="14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An impairment loss is recognized when the carrying amount of a CGU, including the goodwill, exceeds the recoverable amount of the CGU. The recoverable amount of a CGU is the higher of the CGU’s fair value less cost to sell and value-in-use. The total impairment</w:t>
      </w:r>
    </w:p>
    <w:p>
      <w:pPr>
        <w:ind w:right="400"/>
        <w:spacing w:after="0" w:line="226" w:lineRule="auto"/>
        <w:rPr>
          <w:sz w:val="20"/>
          <w:szCs w:val="20"/>
          <w:color w:val="auto"/>
        </w:rPr>
      </w:pPr>
      <w:r>
        <w:rPr>
          <w:rFonts w:ascii="Times New Roman" w:cs="Times New Roman" w:eastAsia="Times New Roman" w:hAnsi="Times New Roman"/>
          <w:sz w:val="18"/>
          <w:szCs w:val="18"/>
          <w:color w:val="auto"/>
        </w:rPr>
        <w:t>loss of a CGU is allocated first to reduce the carrying amount of goodwill allocated to the CGU and then to the other assets of the CGU pro-rata on the basis of the carrying amount of each asset in the CGU.</w:t>
      </w:r>
    </w:p>
    <w:p>
      <w:pPr>
        <w:spacing w:after="0" w:line="15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 impairment loss on goodwill is not reversed in a subsequent period. Impairment losses on intangible assets and property, plant and equipment shall be reversed subsequently if the impairment loss no longer exists or has decreased.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4.5. Financial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at amortized cost</w:t>
      </w:r>
    </w:p>
    <w:p>
      <w:pPr>
        <w:spacing w:after="0" w:line="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Other financial assets (advances, loans and deposits granted to third parties and other short-term investments) and other receivables are non-derivative financial assets with fixed or determinable payments that are not listed on an active market. They are initially</w:t>
      </w:r>
    </w:p>
    <w:p>
      <w:pPr>
        <w:sectPr>
          <w:pgSz w:w="11900" w:h="16863" w:orient="portrait"/>
          <w:cols w:equalWidth="0" w:num="1">
            <w:col w:w="9720"/>
          </w:cols>
          <w:pgMar w:left="1080" w:top="56" w:right="1099" w:bottom="0" w:gutter="0" w:footer="0" w:header="0"/>
        </w:sectPr>
      </w:pPr>
    </w:p>
    <w:bookmarkStart w:id="157" w:name="page158"/>
    <w:bookmarkEnd w:id="157"/>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at fair value plus transaction costs that are directly attributable to the acquisition or issue of the financial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43910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016115" cy="4391025"/>
                    </a:xfrm>
                    <a:prstGeom prst="rect">
                      <a:avLst/>
                    </a:prstGeom>
                    <a:noFill/>
                  </pic:spPr>
                </pic:pic>
              </a:graphicData>
            </a:graphic>
          </wp:anchor>
        </w:drawing>
      </w:r>
    </w:p>
    <w:p>
      <w:pPr>
        <w:spacing w:after="0" w:line="8"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 xml:space="preserve">IFRS 9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an entity to recognize a loss allowance for expected credit losses on a financial asset at amortized cost at each statement of financial position date. The amount of the loss allowance for expected credit losses equal to: (i) the 12—month expected credit losses or (ii) the full lifetime expected credit losses. The latter applies if credit risk has increased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since initial recognition of the financial instrument.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7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Group classifies investments as cash equivalents in the statements of financial position and statements of cash flows when they meet the conditions of IAS 7—</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i.e., when they are:</w:t>
      </w:r>
    </w:p>
    <w:p>
      <w:pPr>
        <w:spacing w:after="0" w:line="41" w:lineRule="exact"/>
        <w:rPr>
          <w:sz w:val="20"/>
          <w:szCs w:val="20"/>
          <w:color w:val="auto"/>
        </w:rPr>
      </w:pPr>
    </w:p>
    <w:p>
      <w:pPr>
        <w:ind w:left="1000" w:hanging="336"/>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order to face short-term cash commitments; and</w:t>
      </w:r>
    </w:p>
    <w:p>
      <w:pPr>
        <w:spacing w:after="0" w:line="76" w:lineRule="exact"/>
        <w:rPr>
          <w:rFonts w:ascii="Times New Roman" w:cs="Times New Roman" w:eastAsia="Times New Roman" w:hAnsi="Times New Roman"/>
          <w:sz w:val="18"/>
          <w:szCs w:val="18"/>
          <w:color w:val="auto"/>
        </w:rPr>
      </w:pPr>
    </w:p>
    <w:p>
      <w:pPr>
        <w:ind w:left="1000" w:right="60" w:hanging="336"/>
        <w:spacing w:after="0" w:line="250"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and highly liquid assets at acquisition date, readily convertible into known amount of cash and not exposed to any material risk of change in value.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4.6. Share capital</w:t>
      </w:r>
    </w:p>
    <w:p>
      <w:pPr>
        <w:spacing w:after="0" w:line="8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Ordinary shares are classified in shareholders’ equity. Costs associated with the issuance of new shares are directly accounted for in shareholders’ equity in diminution of issuance premium.</w:t>
      </w:r>
    </w:p>
    <w:p>
      <w:pPr>
        <w:spacing w:after="0" w:line="149"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The Group’s own shares bought in the context of a brokering/liquidity agreement entered with an independent broker are presented as a reduction of shareholders’ equity until their cancellation, their reissuance or their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0426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016115" cy="604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4.7. Share-based payments</w:t>
      </w:r>
    </w:p>
    <w:p>
      <w:pPr>
        <w:spacing w:after="0" w:line="9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Since its inception, the Group has established several plans for compensation settled in equity instruments in the form of founders’ share subscription warrants (“bons de souscription de parts de créateur d’entreprise” or “BCE”), share subscription warrants (“Bons de souscription d’actions,” or “BSA”) and free shares (“Attributions gratuites d’actions,” or “AGA”), granted to its employees, corporate</w:t>
      </w:r>
    </w:p>
    <w:p>
      <w:pPr>
        <w:spacing w:after="0"/>
        <w:rPr>
          <w:sz w:val="20"/>
          <w:szCs w:val="20"/>
          <w:color w:val="auto"/>
        </w:rPr>
      </w:pPr>
      <w:r>
        <w:rPr>
          <w:rFonts w:ascii="Times New Roman" w:cs="Times New Roman" w:eastAsia="Times New Roman" w:hAnsi="Times New Roman"/>
          <w:sz w:val="18"/>
          <w:szCs w:val="18"/>
          <w:color w:val="auto"/>
        </w:rPr>
        <w:t>officers and scientific consultants.</w:t>
      </w:r>
    </w:p>
    <w:p>
      <w:pPr>
        <w:spacing w:after="0" w:line="16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Pursuant to IFRS 2—</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xml:space="preserve"> these awards are measured at their fair value on the date of grant. The values of the equity instruments are determined using the option pricing model (in particular, a Black and Scholes model for the BCE and BSA plans and a</w:t>
      </w:r>
    </w:p>
    <w:p>
      <w:pPr>
        <w:ind w:right="20"/>
        <w:spacing w:after="0" w:line="218" w:lineRule="auto"/>
        <w:rPr>
          <w:sz w:val="20"/>
          <w:szCs w:val="20"/>
          <w:color w:val="auto"/>
        </w:rPr>
      </w:pPr>
      <w:r>
        <w:rPr>
          <w:rFonts w:ascii="Times New Roman" w:cs="Times New Roman" w:eastAsia="Times New Roman" w:hAnsi="Times New Roman"/>
          <w:sz w:val="18"/>
          <w:szCs w:val="18"/>
          <w:color w:val="auto"/>
        </w:rPr>
        <w:t>Monte-Carlo simulation for the AGA plans which include market performance vesting conditions) based on the value of the underlying equity instrument at grant date, the volatility observed in a sample of comparable listed companies and the estimated life of the related equity instruments.</w:t>
      </w:r>
    </w:p>
    <w:p>
      <w:pPr>
        <w:spacing w:after="0" w:line="17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The Group recognizes the fair value of these awards as a share-based compensation expense over the period in which the related services are received, i.e. over the vesting period, with a corresponding increase in shareholders’ equity. Share-based compensation is recognized by installments in consistency with their graded vesting schedule, when applicable.</w:t>
      </w:r>
    </w:p>
    <w:p>
      <w:pPr>
        <w:spacing w:after="0" w:line="17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w:t>
      </w:r>
    </w:p>
    <w:p>
      <w:pPr>
        <w:spacing w:after="0" w:line="171" w:lineRule="exact"/>
        <w:rPr>
          <w:sz w:val="20"/>
          <w:szCs w:val="20"/>
          <w:color w:val="auto"/>
        </w:rPr>
      </w:pPr>
    </w:p>
    <w:p>
      <w:pPr>
        <w:jc w:val="both"/>
        <w:ind w:right="300"/>
        <w:spacing w:after="0" w:line="216" w:lineRule="auto"/>
        <w:rPr>
          <w:sz w:val="20"/>
          <w:szCs w:val="20"/>
          <w:color w:val="auto"/>
        </w:rPr>
      </w:pPr>
      <w:r>
        <w:rPr>
          <w:rFonts w:ascii="Times New Roman" w:cs="Times New Roman" w:eastAsia="Times New Roman" w:hAnsi="Times New Roman"/>
          <w:sz w:val="18"/>
          <w:szCs w:val="18"/>
          <w:color w:val="auto"/>
        </w:rPr>
        <w:t>For share-based payment awards with market vesting conditions and non-vesting conditions, the grant-date fair value of the share-based payment is measured to reflect such conditions and there is no true-up for differences between expected and actual outcome. The measurement of the fair value of BSA, BCE and AGA incorporates the market-based vesting conditions and non-vesting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as described in Note 4.15 “Use of judgments and estimates”.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4.8. Financial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 4.8.1. Financial liabilities at amortized cost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IFRS 9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the borrowings, the debt component of the Kreos / Claret OCABSA (classified as</w:t>
      </w:r>
    </w:p>
    <w:p>
      <w:pPr>
        <w:spacing w:after="0" w:line="4"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 xml:space="preserve">convertible loan notes – see </w:t>
      </w:r>
      <w:r>
        <w:rPr>
          <w:rFonts w:ascii="Times New Roman" w:cs="Times New Roman" w:eastAsia="Times New Roman" w:hAnsi="Times New Roman"/>
          <w:sz w:val="18"/>
          <w:szCs w:val="18"/>
          <w:i w:val="1"/>
          <w:iCs w:val="1"/>
          <w:color w:val="auto"/>
        </w:rPr>
        <w:t>Compound instruments</w:t>
      </w:r>
      <w:r>
        <w:rPr>
          <w:rFonts w:ascii="Times New Roman" w:cs="Times New Roman" w:eastAsia="Times New Roman" w:hAnsi="Times New Roman"/>
          <w:sz w:val="18"/>
          <w:szCs w:val="18"/>
          <w:color w:val="auto"/>
        </w:rPr>
        <w:t xml:space="preserve"> Compound instruments below), royalty certificates and Other financial liabilities (conditional advances) other than financial derivative liabilities are measured at amortized cost. They are initially recognized at fair value and subsequently measured at amortized cost calculated using the effective interest rate (“EIR”) method. The transaction costs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that are directly attributable to the issue of the financial liability reduce that financial liability. These expenses are then amortized over the lifetime of the liability, on the basis of the EIR. The EIR is the rate that exactly discounts estimated future cash payments through the expected life of the financial liability to the amortized cost of a financial liability. Financial liabilities that are due within one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presented as current financial liabilities in the statements of financial position.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certificates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certificates meet the definition of financial liabilities. The Group concluded that they do not include embedded derivatives</w:t>
      </w:r>
    </w:p>
    <w:p>
      <w:pPr>
        <w:sectPr>
          <w:pgSz w:w="11900" w:h="16877" w:orient="portrait"/>
          <w:cols w:equalWidth="0" w:num="1">
            <w:col w:w="9720"/>
          </w:cols>
          <w:pgMar w:left="1080" w:top="108" w:right="1099" w:bottom="0" w:gutter="0" w:footer="0" w:header="0"/>
        </w:sectPr>
      </w:pPr>
    </w:p>
    <w:bookmarkStart w:id="158" w:name="page159"/>
    <w:bookmarkEnd w:id="158"/>
    <w:p>
      <w:pPr>
        <w:spacing w:after="0" w:line="25"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7"/>
          <w:szCs w:val="17"/>
          <w:color w:val="auto"/>
        </w:rPr>
        <w:t>related to the variability of royalties that are based on future net sales. In addition, the Group concluded that the prepayment options were separate derivative instruments as their redemption price did not reimburse holders for an amount up to the approximate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-197485</wp:posOffset>
            </wp:positionV>
            <wp:extent cx="7016115" cy="30194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016115" cy="3019425"/>
                    </a:xfrm>
                    <a:prstGeom prst="rect">
                      <a:avLst/>
                    </a:prstGeom>
                    <a:noFill/>
                  </pic:spPr>
                </pic:pic>
              </a:graphicData>
            </a:graphic>
          </wp:anchor>
        </w:drawing>
      </w:r>
    </w:p>
    <w:p>
      <w:pPr>
        <w:ind w:right="40"/>
        <w:spacing w:after="0" w:line="233" w:lineRule="auto"/>
        <w:rPr>
          <w:sz w:val="20"/>
          <w:szCs w:val="20"/>
          <w:color w:val="auto"/>
        </w:rPr>
      </w:pPr>
      <w:r>
        <w:rPr>
          <w:rFonts w:ascii="Times New Roman" w:cs="Times New Roman" w:eastAsia="Times New Roman" w:hAnsi="Times New Roman"/>
          <w:sz w:val="18"/>
          <w:szCs w:val="18"/>
          <w:color w:val="auto"/>
        </w:rPr>
        <w:t>value of lost interest for the remaining term of the host contracts. However, their value at inception and subsequent dates is nil and has no impact on the financial statements.</w:t>
      </w:r>
    </w:p>
    <w:p>
      <w:pPr>
        <w:spacing w:after="0" w:line="2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Royalty certificates are initially measured at fair value (refer to note 15.9 for valuation model applied). They are subsequently measured at amortized cost calculated using the EIR method. The EIR is calculated based on future cash flows, which are estimated on the basis of development and commercialization plans and budgets approved by the Board of Directors of the Group, and probability-weighted to reflect the probability of success of clinical studies and any other uncertainty affecting them. If there is a change in the timing or amount of estimated cash flows, then the gross carrying amount of the amortized cost of the financial liability is adjusted in the period of change to reflect the revised actual and estimated cash flows, with a corresponding income or expense being recognized in profit or loss. The revised gross carrying amount of the amortized cost of the financial liability is calculated by discounting the future revised estimated cash flows at the original EIR.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advances and State guaranteed loan – “PGE”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74142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016115" cy="741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treatment for conditional advances and the State-guaranteed loan (Prêt garanti par l'Etat, or "PGE") is set forth in Note 4.9.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treatment for lease liabilities is set forth in Note 4.12.</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 4.8.2. Financial liabilities measured at fair value through profit or loss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BSA attached to Kreos 1 bonds, the conversion option of OCEANE, certain prepayment options of bonds, the Kreos / Claret warrants</w:t>
      </w:r>
    </w:p>
    <w:p>
      <w:pPr>
        <w:spacing w:after="0" w:line="2" w:lineRule="exact"/>
        <w:rPr>
          <w:sz w:val="20"/>
          <w:szCs w:val="20"/>
          <w:color w:val="auto"/>
        </w:rPr>
      </w:pPr>
    </w:p>
    <w:p>
      <w:pPr>
        <w:jc w:val="both"/>
        <w:ind w:right="140"/>
        <w:spacing w:after="0" w:line="231" w:lineRule="auto"/>
        <w:rPr>
          <w:sz w:val="20"/>
          <w:szCs w:val="20"/>
          <w:color w:val="auto"/>
        </w:rPr>
      </w:pPr>
      <w:r>
        <w:rPr>
          <w:rFonts w:ascii="Times New Roman" w:cs="Times New Roman" w:eastAsia="Times New Roman" w:hAnsi="Times New Roman"/>
          <w:sz w:val="17"/>
          <w:szCs w:val="17"/>
          <w:color w:val="auto"/>
        </w:rPr>
        <w:t>and the Kreos / Claret Minimum Return Indemnifications ("MRI") are derivatives instruments. Derivatives are recognized initially at fair value at the date the derivative contract is entered into and are subsequently remeasured to their fair value at each reporting date. The resulting gain or loss from change in the fair value is recognized in profit or loss immediately, as financial expenses or income.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Hybrid instruments</w:t>
      </w:r>
    </w:p>
    <w:p>
      <w:pPr>
        <w:spacing w:after="0" w:line="295" w:lineRule="exact"/>
        <w:rPr>
          <w:sz w:val="20"/>
          <w:szCs w:val="20"/>
          <w:color w:val="auto"/>
        </w:rPr>
      </w:pPr>
    </w:p>
    <w:p>
      <w:pPr>
        <w:jc w:val="both"/>
        <w:ind w:right="40"/>
        <w:spacing w:after="0" w:line="222" w:lineRule="auto"/>
        <w:rPr>
          <w:sz w:val="20"/>
          <w:szCs w:val="20"/>
          <w:color w:val="auto"/>
        </w:rPr>
      </w:pPr>
      <w:r>
        <w:rPr>
          <w:rFonts w:ascii="Times New Roman" w:cs="Times New Roman" w:eastAsia="Times New Roman" w:hAnsi="Times New Roman"/>
          <w:sz w:val="18"/>
          <w:szCs w:val="18"/>
          <w:color w:val="auto"/>
        </w:rPr>
        <w:t>OCEANE bonds and Heights convertible notes (whose characteristics are described in Note 15.2 and Note 15.5) are hybrid instruments. A “hybrid contract” is a contract that includes both a non-derivative host contract and one or more embedded derivatives.</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Embedded derivatives are required to be separated from the host contract (bifurcated) if: the economic characteristics and risks of the embedded derivative are not closely related to those of the host, a separate instrument with the same terms as the embedded derivative would meet the definition of a derivative, and the hybrid contract is not measured at fair value through profit or loss.</w:t>
      </w:r>
    </w:p>
    <w:p>
      <w:pPr>
        <w:spacing w:after="0" w:line="17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Separable embedded derivatives are required to be measured at fair value at each reporting date, with changes in fair value recognized in profit or loss. The initial bifurcation of a separable embedded derivative does not result in any gain or loss being recognized. Because the embedded derivative component is measured at fair value on initial recognition, the carrying amount of the host contract</w:t>
      </w:r>
    </w:p>
    <w:p>
      <w:pPr>
        <w:ind w:right="240"/>
        <w:spacing w:after="0" w:line="220" w:lineRule="auto"/>
        <w:rPr>
          <w:sz w:val="20"/>
          <w:szCs w:val="20"/>
          <w:color w:val="auto"/>
        </w:rPr>
      </w:pPr>
      <w:r>
        <w:rPr>
          <w:rFonts w:ascii="Times New Roman" w:cs="Times New Roman" w:eastAsia="Times New Roman" w:hAnsi="Times New Roman"/>
          <w:sz w:val="17"/>
          <w:szCs w:val="17"/>
          <w:color w:val="auto"/>
        </w:rPr>
        <w:t>on initial recognition is the difference between the carrying amount of the hybrid instrument and the fair value of the embedded derivative. If the fair values of the hybrid instrument and host contract are more reliably measurable than that of the derivative component - e.g. because of the availability of quoted market prices - then it may be acceptable to use those values to determine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derivative on initial recognition indirectly - i.e. as a residual amount.</w:t>
      </w:r>
    </w:p>
    <w:p>
      <w:pPr>
        <w:spacing w:after="0" w:line="16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Heights convertible notes issued on August 24, 2023 included embedded derivatives as detailed in Note 15. The Group concluded that these features were embedded derivatives that would modify the cash flows required under the contract and require to be bifurcated from their host contract. The Group being unable to reliably value each embedded derivative at issuance date and on subsequent reporting dates, it measured the whole hybrid instrument at fair value through profit or loss (“FVTPL”) as permitted by IFRS 9. Instruments measured at FVTPL under these conditions are measured at their fair value on issuance and on subsequent reporting dates, with changes in fair value recognized in profit or loss.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 instruments</w:t>
      </w:r>
    </w:p>
    <w:p>
      <w:pPr>
        <w:spacing w:after="0" w:line="22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 xml:space="preserve">The Kreos / Claret OCABSA are compound instruments (whose characteristics are described </w:t>
      </w:r>
      <w:r>
        <w:rPr>
          <w:rFonts w:ascii="Times New Roman" w:cs="Times New Roman" w:eastAsia="Times New Roman" w:hAnsi="Times New Roman"/>
          <w:sz w:val="18"/>
          <w:szCs w:val="18"/>
          <w:color w:val="auto"/>
          <w:highlight w:val="white"/>
        </w:rPr>
        <w:t>in Note 15.1).</w:t>
      </w:r>
      <w:r>
        <w:rPr>
          <w:rFonts w:ascii="Times New Roman" w:cs="Times New Roman" w:eastAsia="Times New Roman" w:hAnsi="Times New Roman"/>
          <w:sz w:val="18"/>
          <w:szCs w:val="18"/>
          <w:color w:val="auto"/>
        </w:rPr>
        <w:t xml:space="preserve"> A “compound contract” is a contract that includes both a debt component and an equity component. The debt component (excluding the conversion option and the attached OCABSA warrants) is initially recognized at fair value and subsequently measured at amortized cost calculated using the EIR method. The equity component corresponding to the conversion option and the attached OCABSA warrants is recorded in equity, for the difference between the whole instrument’s fair value (its nominal value) and the standalone fair value of the debt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79"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Company uses market observable data as far as possible. Fair values are categorized into different levels in a fair value hierarchy based on the inputs used in the valuation techniques as follows:</w:t>
      </w:r>
    </w:p>
    <w:p>
      <w:pPr>
        <w:spacing w:after="0" w:line="64" w:lineRule="exact"/>
        <w:rPr>
          <w:sz w:val="20"/>
          <w:szCs w:val="20"/>
          <w:color w:val="auto"/>
        </w:rPr>
      </w:pPr>
    </w:p>
    <w:p>
      <w:pPr>
        <w:ind w:left="1000" w:hanging="336"/>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calculated using quoted prices in an active market for identical assets and liabilities;</w:t>
      </w:r>
    </w:p>
    <w:p>
      <w:pPr>
        <w:sectPr>
          <w:pgSz w:w="11900" w:h="16864" w:orient="portrait"/>
          <w:cols w:equalWidth="0" w:num="1">
            <w:col w:w="9720"/>
          </w:cols>
          <w:pgMar w:left="1080" w:top="108" w:right="1099" w:bottom="0" w:gutter="0" w:footer="0" w:header="0"/>
        </w:sectPr>
      </w:pPr>
    </w:p>
    <w:bookmarkStart w:id="159" w:name="page160"/>
    <w:bookmarkEnd w:id="159"/>
    <w:p>
      <w:pPr>
        <w:ind w:left="1000" w:right="260" w:hanging="336"/>
        <w:spacing w:after="0" w:line="22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6478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7016115" cy="1647825"/>
                    </a:xfrm>
                    <a:prstGeom prst="rect">
                      <a:avLst/>
                    </a:prstGeom>
                    <a:noFill/>
                  </pic:spPr>
                </pic:pic>
              </a:graphicData>
            </a:graphic>
          </wp:anchor>
        </w:drawing>
        <w:t>level 2: fair value calculated using valuation techniques based on observable market data such as prices for assets and liabilities or similar parameters quoted in an active market;</w:t>
      </w:r>
    </w:p>
    <w:p>
      <w:pPr>
        <w:spacing w:after="0" w:line="1" w:lineRule="exact"/>
        <w:rPr>
          <w:rFonts w:ascii="Times New Roman" w:cs="Times New Roman" w:eastAsia="Times New Roman" w:hAnsi="Times New Roman"/>
          <w:sz w:val="18"/>
          <w:szCs w:val="18"/>
          <w:color w:val="auto"/>
        </w:rPr>
      </w:pPr>
    </w:p>
    <w:p>
      <w:pPr>
        <w:ind w:left="1000" w:right="140" w:hanging="336"/>
        <w:spacing w:after="0" w:line="22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calculated using valuation techniques based in whole or in part on unobservable inputs such as prices in an inactive market or a valuation based on multiples of unlisted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Financial assets and liabilities and Note 15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87858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01611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4.9. Research tax credit, subsidies and conditional advances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tax credit</w:t>
      </w:r>
    </w:p>
    <w:p>
      <w:pPr>
        <w:spacing w:after="0" w:line="90"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8"/>
          <w:szCs w:val="18"/>
          <w:color w:val="auto"/>
        </w:rPr>
        <w:t xml:space="preserve">The Group benefits from the provisions of Article 244 </w:t>
      </w:r>
      <w:r>
        <w:rPr>
          <w:rFonts w:ascii="Times New Roman" w:cs="Times New Roman" w:eastAsia="Times New Roman" w:hAnsi="Times New Roman"/>
          <w:sz w:val="18"/>
          <w:szCs w:val="18"/>
          <w:i w:val="1"/>
          <w:iCs w:val="1"/>
          <w:color w:val="auto"/>
        </w:rPr>
        <w:t>quater</w:t>
      </w:r>
      <w:r>
        <w:rPr>
          <w:rFonts w:ascii="Times New Roman" w:cs="Times New Roman" w:eastAsia="Times New Roman" w:hAnsi="Times New Roman"/>
          <w:sz w:val="18"/>
          <w:szCs w:val="18"/>
          <w:color w:val="auto"/>
        </w:rPr>
        <w:t xml:space="preserve"> B of the French General Tax Code relating to the French research tax credit (“</w:t>
      </w:r>
      <w:r>
        <w:rPr>
          <w:rFonts w:ascii="Times New Roman" w:cs="Times New Roman" w:eastAsia="Times New Roman" w:hAnsi="Times New Roman"/>
          <w:sz w:val="18"/>
          <w:szCs w:val="18"/>
          <w:i w:val="1"/>
          <w:iCs w:val="1"/>
          <w:color w:val="auto"/>
        </w:rPr>
        <w:t>Crédit d’Impôt Recherche</w:t>
      </w:r>
      <w:r>
        <w:rPr>
          <w:rFonts w:ascii="Times New Roman" w:cs="Times New Roman" w:eastAsia="Times New Roman" w:hAnsi="Times New Roman"/>
          <w:sz w:val="18"/>
          <w:szCs w:val="18"/>
          <w:color w:val="auto"/>
        </w:rPr>
        <w:t>” or “CIR”). The CIR is granted to companies in order to encourage them to conduct technical and scientific research. Companies that prove that they have expenditures which meet the required criteria (research expenditures located</w:t>
      </w:r>
    </w:p>
    <w:p>
      <w:pPr>
        <w:spacing w:after="0" w:line="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in France or, since January 1, 2005, within the European Union or in another state that is a party to the Agreement on the European Economic Area and has concluded a tax treaty with France that contains an administrative assistance clause) receive a tax credit that can be used for the payment of the corporate tax due for the fiscal year in which the expenditures were made and the next three fiscal</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years, or as applicable, companies may receive cash reimbursement for any excess portion at the three-year period following the fiscal year of the expenditures. Only those companies meeting the EU definition of a small or medium-sized entity (“SME”) are eligible for payment in cash of their research tax credit (to the extent not used to offset corporate tax payables) in the year following the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reimbursement. The expenditures taken into account for the calculation of the CIR involve only research expenses.</w:t>
      </w:r>
    </w:p>
    <w:p>
      <w:pPr>
        <w:spacing w:after="0" w:line="165"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 xml:space="preserve">The CIR is presented under “Other operating income” in the statements of income (loss) as it is accounted for as a government grant as defined in IAS 20 – </w:t>
      </w:r>
      <w:r>
        <w:rPr>
          <w:rFonts w:ascii="Times New Roman" w:cs="Times New Roman" w:eastAsia="Times New Roman" w:hAnsi="Times New Roman"/>
          <w:sz w:val="18"/>
          <w:szCs w:val="18"/>
          <w:i w:val="1"/>
          <w:iCs w:val="1"/>
          <w:color w:val="auto"/>
        </w:rPr>
        <w:t>Accounting for Government Grants and Disclosure of Government Assistanc</w:t>
      </w:r>
      <w:r>
        <w:rPr>
          <w:rFonts w:ascii="Times New Roman" w:cs="Times New Roman" w:eastAsia="Times New Roman" w:hAnsi="Times New Roman"/>
          <w:sz w:val="18"/>
          <w:szCs w:val="18"/>
          <w:color w:val="auto"/>
        </w:rPr>
        <w:t>e, and as “Other receivables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in the statement of financial position until its payment is received.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Subsidies</w:t>
      </w:r>
    </w:p>
    <w:p>
      <w:pPr>
        <w:spacing w:after="0" w:line="79"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Subsidies are non-repayable grants received by the Group and recognized in the financial statements when there exists reasonable assurance that the Group will comply with the conditions attached to the subsidies and the subsidies will be received.</w:t>
      </w:r>
    </w:p>
    <w:p>
      <w:pPr>
        <w:spacing w:after="0" w:line="149"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Subsidies that are upfront payments are presented as deferred income and recognized through “Other operating income” for the amount of the expenses incurred as part of the research program to which the subsidy relates.</w:t>
      </w:r>
    </w:p>
    <w:p>
      <w:pPr>
        <w:spacing w:after="0" w:line="172"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A subsidy that is to be received either as compensation for expenses or for losses already incurred, or for immediate financial support of the Group without associated future costs, is recognized in the Statements of income (loss) as “Other operating income” when there exists reasonable assurance that the subsidies will be received.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advances and PGE</w:t>
      </w:r>
    </w:p>
    <w:p>
      <w:pPr>
        <w:spacing w:after="0" w:line="79"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8"/>
          <w:szCs w:val="18"/>
          <w:color w:val="auto"/>
        </w:rPr>
        <w:t>The Group receives conditional advances to finance at below market interest rate research and development projects. Due to the innovative nature of its drug candidate development programs, the Group has benefited from certain sources of financial assistance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from Bpifrance. Bpifrance provides financial assistance and support to emerging French enterprises to facilitate the development and commercialization of innovative technologies.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received from Bpifrance in the form of conditional advances are recognized as financial liabilities, as the Group has a</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contractual obligation to reimburse Bpifrance for such conditional advances in cash based on a repayment schedule. Each award of an advance is made to help fund a specific development milestone. More details on conditional advances are provided in Note 15.7. Receipts or reimbursements of conditional advances are reflected as financing transactions in the statements of cash flows.</w:t>
      </w:r>
    </w:p>
    <w:p>
      <w:pPr>
        <w:spacing w:after="0" w:line="17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difference between the present value of the advance at market rate (i.e., present value of contractual cash flows including principal and interests, discounted using a market rate as effective interest rate in accordance with IFRS 9) and the amount received as cash from the Bpifrance constitutes a subsidy within the meaning of IAS 20. Considering that these advances do not finance fixed assets,</w:t>
      </w:r>
    </w:p>
    <w:p>
      <w:pPr>
        <w:spacing w:after="0" w:line="218" w:lineRule="auto"/>
        <w:rPr>
          <w:sz w:val="20"/>
          <w:szCs w:val="20"/>
          <w:color w:val="auto"/>
        </w:rPr>
      </w:pPr>
      <w:r>
        <w:rPr>
          <w:rFonts w:ascii="Times New Roman" w:cs="Times New Roman" w:eastAsia="Times New Roman" w:hAnsi="Times New Roman"/>
          <w:sz w:val="18"/>
          <w:szCs w:val="18"/>
          <w:color w:val="auto"/>
        </w:rPr>
        <w:t>these subsidies are presented as “Deferred income” in the statement of financial position and recognized in the statement of net income (loss) as “Other operating income“ on a systematic basis over the periods in which the Group recognizes as expenses the related costs for which the grants are intended to compensate.</w:t>
      </w:r>
    </w:p>
    <w:p>
      <w:pPr>
        <w:spacing w:after="0" w:line="17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The incremental interest expense resulting from the difference between (a) the market interest rate and the (b) below-market rate is spread over the contractual period until the last repayment and recognized in the statement of income (loss) accordingly, using the EIR method. In the event of a change in estimate of contractual cash flows due under the conditional advances, the Group recalculates the</w:t>
      </w:r>
    </w:p>
    <w:p>
      <w:pPr>
        <w:ind w:right="360"/>
        <w:spacing w:after="0" w:line="226" w:lineRule="auto"/>
        <w:rPr>
          <w:sz w:val="20"/>
          <w:szCs w:val="20"/>
          <w:color w:val="auto"/>
        </w:rPr>
      </w:pPr>
      <w:r>
        <w:rPr>
          <w:rFonts w:ascii="Times New Roman" w:cs="Times New Roman" w:eastAsia="Times New Roman" w:hAnsi="Times New Roman"/>
          <w:sz w:val="18"/>
          <w:szCs w:val="18"/>
          <w:color w:val="auto"/>
        </w:rPr>
        <w:t>book value of the debt resulting from the discounting of the anticipated new future cash flows at the initial EIR. The adjustment is recognized in the statements of income (loss) for the period during which the modification is recognized.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statements of financial position, these conditional advances are recorded in “Other financial liabilities” as current or non-current</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portion depending on their maturity. In the event Bpifrance waived the repayment of the advance, the corresponding liability is derecognized and treated as a subsidy in the statements of income (loss).</w:t>
      </w:r>
    </w:p>
    <w:p>
      <w:pPr>
        <w:spacing w:after="0" w:line="157"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auto"/>
        </w:rPr>
        <w:t>The benefit resulting from the low interest of PGE loans is also recognized as a subsidy corresponding to the difference between the present value of the PGE at market rate and the amount received as cash. The accounting treatment is therefore similar to the above-</w:t>
      </w:r>
    </w:p>
    <w:p>
      <w:pPr>
        <w:sectPr>
          <w:pgSz w:w="11900" w:h="16838" w:orient="portrait"/>
          <w:cols w:equalWidth="0" w:num="1">
            <w:col w:w="9720"/>
          </w:cols>
          <w:pgMar w:left="1080" w:top="162" w:right="1099" w:bottom="618" w:gutter="0" w:footer="0" w:header="0"/>
        </w:sectPr>
      </w:pPr>
    </w:p>
    <w:bookmarkStart w:id="160" w:name="page161"/>
    <w:bookmarkEnd w:id="160"/>
    <w:p>
      <w:pPr>
        <w:jc w:val="center"/>
        <w:ind w:right="-5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-111760</wp:posOffset>
            </wp:positionV>
            <wp:extent cx="7016115" cy="94316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016115" cy="9431655"/>
                    </a:xfrm>
                    <a:prstGeom prst="rect">
                      <a:avLst/>
                    </a:prstGeom>
                    <a:noFill/>
                  </pic:spPr>
                </pic:pic>
              </a:graphicData>
            </a:graphic>
          </wp:anchor>
        </w:drawing>
      </w:r>
    </w:p>
    <w:p>
      <w:pPr>
        <w:sectPr>
          <w:pgSz w:w="11900" w:h="16838" w:orient="portrait"/>
          <w:cols w:equalWidth="0" w:num="1">
            <w:col w:w="9680"/>
          </w:cols>
          <w:pgMar w:left="1080" w:top="121" w:right="1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mentioned accounting treatment for conditional advances. PGE are recorded in “Borrowings” as current or non-current portion depending on their maturity.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4.10. Employee benefits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employees in France benefit from retirement benefits provided under French law, which consist in the following:</w:t>
      </w:r>
    </w:p>
    <w:p>
      <w:pPr>
        <w:spacing w:after="0" w:line="77" w:lineRule="exact"/>
        <w:rPr>
          <w:sz w:val="20"/>
          <w:szCs w:val="20"/>
          <w:color w:val="auto"/>
        </w:rPr>
      </w:pPr>
    </w:p>
    <w:p>
      <w:pPr>
        <w:ind w:left="1000" w:hanging="336"/>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paid by the Group to employees upon their retirement (a defined benefit plan); and</w:t>
      </w:r>
    </w:p>
    <w:p>
      <w:pPr>
        <w:spacing w:after="0" w:line="90" w:lineRule="exact"/>
        <w:rPr>
          <w:rFonts w:ascii="Times New Roman" w:cs="Times New Roman" w:eastAsia="Times New Roman" w:hAnsi="Times New Roman"/>
          <w:sz w:val="18"/>
          <w:szCs w:val="18"/>
          <w:color w:val="auto"/>
        </w:rPr>
      </w:pPr>
    </w:p>
    <w:p>
      <w:pPr>
        <w:ind w:left="1000" w:right="40" w:hanging="336"/>
        <w:spacing w:after="0" w:line="22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retirement pensions by the social security agencies, which are financed by the contributions made by the Group and employees. As they meet the definition of a defined contribution plan, the liabilities are presented as Tax and employee-related payables in the statement of financial position.</w:t>
      </w:r>
    </w:p>
    <w:p>
      <w:pPr>
        <w:spacing w:after="0" w:line="169"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8"/>
          <w:szCs w:val="18"/>
          <w:color w:val="auto"/>
        </w:rPr>
        <w:t xml:space="preserve">In accordance with IAS 19 –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the liability with respect to defined benefit plans is estimated by using the projected credit unit method. According to this method, the cost of the retirement benefit is recognized in the statements of income (loss). The retirement benefit commitments are valued at the current value of the estimated future payments, discounted using the market rate for</w:t>
      </w:r>
    </w:p>
    <w:p>
      <w:pPr>
        <w:spacing w:after="0" w:line="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high quality corporate bonds with a term and currency that correspond to that estimated for the payment of the benefits. The Group applied the decision of the IFRS IC, published on May 24, 2021, that concluded that, in the case that no rights were acquired in the event of departure before retirement age and that the rights were capped after a certain number of years of seniority (“30 years”),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would only be recognized for the last 30 years of the employee’s career within the Group.</w:t>
      </w:r>
    </w:p>
    <w:p>
      <w:pPr>
        <w:spacing w:after="0" w:line="16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The difference between the amount of the provision at the beginning of a period and at the close of that period is recognized through operating expenses for the portion representing the costs of services rendered and financial expenses for the net interest costs, and</w:t>
      </w:r>
    </w:p>
    <w:p>
      <w:pPr>
        <w:ind w:right="160"/>
        <w:spacing w:after="0" w:line="226" w:lineRule="auto"/>
        <w:rPr>
          <w:sz w:val="20"/>
          <w:szCs w:val="20"/>
          <w:color w:val="auto"/>
        </w:rPr>
      </w:pPr>
      <w:r>
        <w:rPr>
          <w:rFonts w:ascii="Times New Roman" w:cs="Times New Roman" w:eastAsia="Times New Roman" w:hAnsi="Times New Roman"/>
          <w:sz w:val="18"/>
          <w:szCs w:val="18"/>
          <w:color w:val="auto"/>
        </w:rPr>
        <w:t>through other comprehensive income (loss) for the portion representing the actuarial gains and losses due to changes in assumptions and experience adjustments.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4.11. Provisions</w:t>
      </w:r>
    </w:p>
    <w:p>
      <w:pPr>
        <w:spacing w:after="0" w:line="94"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7"/>
          <w:szCs w:val="17"/>
          <w:color w:val="auto"/>
        </w:rPr>
        <w:t xml:space="preserve">Provisions correspond to commitments resulting from litigation and various risks to which the Group may face in the context of its operations, as well as taxes and employer contributions related to AGAs that become due upon the vesting of the awards. In accordance with IAS 37 – </w:t>
      </w:r>
      <w:r>
        <w:rPr>
          <w:rFonts w:ascii="Times New Roman" w:cs="Times New Roman" w:eastAsia="Times New Roman" w:hAnsi="Times New Roman"/>
          <w:sz w:val="17"/>
          <w:szCs w:val="17"/>
          <w:i w:val="1"/>
          <w:iCs w:val="1"/>
          <w:color w:val="auto"/>
        </w:rPr>
        <w:t>Provisions, Contingent Liabilities and Contingent Assets,</w:t>
      </w:r>
      <w:r>
        <w:rPr>
          <w:rFonts w:ascii="Times New Roman" w:cs="Times New Roman" w:eastAsia="Times New Roman" w:hAnsi="Times New Roman"/>
          <w:sz w:val="17"/>
          <w:szCs w:val="17"/>
          <w:color w:val="auto"/>
        </w:rPr>
        <w:t xml:space="preserve"> a provision is recorded when the Group has an</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obligation to a third party resulting from a past event that will likely result in an outflow of resources to the third party, and for which future cash outflows may be estimated reliably. The amount recorded as a provision is an estimate of the expenditure required to settle the obligation, discounted where necessary at year end. For AGA taxes, the taxes are based on the vesting date share price, and the</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provision is estimated based on the spot listed price at year-end multiplied by the number of AGAs which are expected to vest. Contingent liabilities are not recognized, but are disclosed in the notes to the financial statements unless the possibility of an outflow of economic resources is remote.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4.12. Leases</w:t>
      </w:r>
    </w:p>
    <w:p>
      <w:pPr>
        <w:spacing w:after="0" w:line="81"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As lessee, the Group assesses whether a contract contains a lease at inception of a contract and upon the modification of a contract. The Group elected to allocate the consideration in the contract to the lease and non-lease components on the basis of the relative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standalone price. The Group recognizes a right-of-use asset and a corresponding lease liability for all arrangements in which it is a lessee, except for leases with a term of 12 months or less (short-term leases) and low-value leases (value of the underlying asset below €5.0 thousand). For these short-term and low-value leases, the Group recognizes the lease payments as an operating expense on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basis over the term of the lease.</w:t>
      </w:r>
    </w:p>
    <w:p>
      <w:pPr>
        <w:spacing w:after="0" w:line="16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The lease liability is initially measured at the present value of the future lease payments as from the commencement date of the lease to the end of the lease term. The lease terms used by the Group reflect the non-cancellable terms of each contract, plus any extension</w:t>
      </w:r>
    </w:p>
    <w:p>
      <w:pPr>
        <w:ind w:right="260"/>
        <w:spacing w:after="0" w:line="218" w:lineRule="auto"/>
        <w:rPr>
          <w:sz w:val="20"/>
          <w:szCs w:val="20"/>
          <w:color w:val="auto"/>
        </w:rPr>
      </w:pPr>
      <w:r>
        <w:rPr>
          <w:rFonts w:ascii="Times New Roman" w:cs="Times New Roman" w:eastAsia="Times New Roman" w:hAnsi="Times New Roman"/>
          <w:sz w:val="18"/>
          <w:szCs w:val="18"/>
          <w:color w:val="auto"/>
        </w:rPr>
        <w:t>or termination options that the Group is reasonably certain to exercise or not exercise for all of the leases periods covered by the extension options. The lease payments are discounted using the interest rate implicit in the lease or, if not readily determinable, the Group incremental borrowing rate for the asset subject to the lease in the respective markets.</w:t>
      </w:r>
    </w:p>
    <w:p>
      <w:pPr>
        <w:spacing w:after="0" w:line="17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The Group remeasures the lease liability (and makes a corresponding adjustment to the related right-of-use asset) whenever there is a change to the lease terms or expected payments under the lease, or a modification that is not accounted for as a separate lease. The portion of the lease payments attributable to the repayment of lease liabilities and the portion attributable to payment of interests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cash flows used in financing activities.</w:t>
      </w:r>
    </w:p>
    <w:p>
      <w:pPr>
        <w:spacing w:after="0" w:line="165"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Right-of-use assets are initially recognized on the balance sheet at cost, which comprises the amount of the initial measurement of the corresponding lease liability, adjusted for any lease payments made at or prior to the commencement date of the lease, any lease</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incentives received and any initial direct costs incurred by the Group, and expected costs for obligations to dismantle and remove right-of-use assets when they are no longer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0020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016115" cy="1002030"/>
                    </a:xfrm>
                    <a:prstGeom prst="rect">
                      <a:avLst/>
                    </a:prstGeom>
                    <a:noFill/>
                  </pic:spPr>
                </pic:pic>
              </a:graphicData>
            </a:graphic>
          </wp:anchor>
        </w:drawing>
      </w:r>
    </w:p>
    <w:p>
      <w:pPr>
        <w:sectPr>
          <w:pgSz w:w="11900" w:h="16838" w:orient="portrait"/>
          <w:cols w:equalWidth="0" w:num="1">
            <w:col w:w="9680"/>
          </w:cols>
          <w:pgMar w:left="1080" w:top="121" w:right="1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Right-of-use assets are depreciated on a straight-line basis from the commencement date of the lease over the shorter of the useful life</w:t>
      </w:r>
    </w:p>
    <w:p>
      <w:pPr>
        <w:sectPr>
          <w:pgSz w:w="11900" w:h="16838" w:orient="portrait"/>
          <w:cols w:equalWidth="0" w:num="1">
            <w:col w:w="9680"/>
          </w:cols>
          <w:pgMar w:left="1080" w:top="121" w:right="1139" w:bottom="0" w:gutter="0" w:footer="0" w:header="0"/>
          <w:type w:val="continuous"/>
        </w:sectPr>
      </w:pPr>
    </w:p>
    <w:bookmarkStart w:id="161" w:name="page162"/>
    <w:bookmarkEnd w:id="161"/>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right-of-use asset or the end of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80600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016115" cy="8060055"/>
                    </a:xfrm>
                    <a:prstGeom prst="rect">
                      <a:avLst/>
                    </a:prstGeom>
                    <a:noFill/>
                  </pic:spPr>
                </pic:pic>
              </a:graphicData>
            </a:graphic>
          </wp:anchor>
        </w:drawing>
      </w:r>
    </w:p>
    <w:p>
      <w:pPr>
        <w:spacing w:after="0" w:line="43"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Right-of-use assets are assessed for impairment whenever there is an indication that the balance sheet carrying amount may not be recoverable using cash flow projections.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4.13. Translation of transactions denominated in foreign currency</w:t>
      </w:r>
    </w:p>
    <w:p>
      <w:pPr>
        <w:spacing w:after="0" w:line="92" w:lineRule="exact"/>
        <w:rPr>
          <w:sz w:val="20"/>
          <w:szCs w:val="20"/>
          <w:color w:val="auto"/>
        </w:rPr>
      </w:pPr>
    </w:p>
    <w:p>
      <w:pPr>
        <w:jc w:val="both"/>
        <w:ind w:right="40"/>
        <w:spacing w:after="0" w:line="227" w:lineRule="auto"/>
        <w:rPr>
          <w:sz w:val="20"/>
          <w:szCs w:val="20"/>
          <w:color w:val="auto"/>
        </w:rPr>
      </w:pPr>
      <w:r>
        <w:rPr>
          <w:rFonts w:ascii="Times New Roman" w:cs="Times New Roman" w:eastAsia="Times New Roman" w:hAnsi="Times New Roman"/>
          <w:sz w:val="18"/>
          <w:szCs w:val="18"/>
          <w:color w:val="auto"/>
        </w:rPr>
        <w:t xml:space="preserve">Pursuant to IAS 21 – </w:t>
      </w:r>
      <w:r>
        <w:rPr>
          <w:rFonts w:ascii="Times New Roman" w:cs="Times New Roman" w:eastAsia="Times New Roman" w:hAnsi="Times New Roman"/>
          <w:sz w:val="18"/>
          <w:szCs w:val="18"/>
          <w:i w:val="1"/>
          <w:iCs w:val="1"/>
          <w:color w:val="auto"/>
        </w:rPr>
        <w:t>The Effects of Changes in Foreign Exchange Rates</w:t>
      </w:r>
      <w:r>
        <w:rPr>
          <w:rFonts w:ascii="Times New Roman" w:cs="Times New Roman" w:eastAsia="Times New Roman" w:hAnsi="Times New Roman"/>
          <w:sz w:val="18"/>
          <w:szCs w:val="18"/>
          <w:color w:val="auto"/>
        </w:rPr>
        <w:t>, transactions performed by the Company and the Subsidiary in currencies other than their functional currencies, which are respectively the Euro and the U.S. dollar, are translated at the prevailing exchange rate on the transaction date.</w:t>
      </w:r>
    </w:p>
    <w:p>
      <w:pPr>
        <w:spacing w:after="0" w:line="171"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Trade receivables and payables and liabilities denominated in a currency other than the functional currency are translated at the period-end exchange rate. Unrealized gains and losses arising on translation are recognized in net financial income /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4.14. Current and deferred tax</w:t>
      </w:r>
    </w:p>
    <w:p>
      <w:pPr>
        <w:spacing w:after="0" w:line="94"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Tax assets and liabilities for the current and prior periods are measured at the amount expected to be recovered from or paid to the French tax authorities, using tax rates and tax laws enacted or substantively enacted at the end of the reporting period in accordance with IAS 12 – Income Tax.</w:t>
      </w:r>
    </w:p>
    <w:p>
      <w:pPr>
        <w:spacing w:after="0" w:line="171"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income tax charge for the period comprises current tax due and the deferred tax charge. The tax expense is recognized in the statement of income (loss) unless it relates to items recorded in other comprehensive income (loss) or directly in equity, in which case the tax is also recorded in other comprehensive income (loss) or directly in equity.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taxes</w:t>
      </w:r>
    </w:p>
    <w:p>
      <w:pPr>
        <w:spacing w:after="0" w:line="79"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color w:val="auto"/>
        </w:rPr>
        <w:t>The current tax expense is calculated based on taxable profit for the period, using tax rates enacted or substantively enacted at the statement of financial position date. Considering the level of tax loss of the Group, no current tax expense is recognized.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taxes</w:t>
      </w:r>
    </w:p>
    <w:p>
      <w:pPr>
        <w:spacing w:after="0" w:line="7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Deferred taxes are recognized when there are temporary differences between the carrying amount of assets and liabilities in the Group’s financial statements and the corresponding tax basis used to calculate taxable profit. Deferred taxes are not recognized if they</w:t>
      </w:r>
    </w:p>
    <w:p>
      <w:pPr>
        <w:ind w:right="340"/>
        <w:spacing w:after="0" w:line="203" w:lineRule="auto"/>
        <w:rPr>
          <w:sz w:val="20"/>
          <w:szCs w:val="20"/>
          <w:color w:val="auto"/>
        </w:rPr>
      </w:pPr>
      <w:r>
        <w:rPr>
          <w:rFonts w:ascii="Times New Roman" w:cs="Times New Roman" w:eastAsia="Times New Roman" w:hAnsi="Times New Roman"/>
          <w:sz w:val="18"/>
          <w:szCs w:val="18"/>
          <w:color w:val="auto"/>
        </w:rPr>
        <w:t>arise from the initial recognition of an asset or liability in a transaction other than a business combination which, at the time of the transaction, does not affect either the accounting or the taxable profit (tax loss).</w:t>
      </w:r>
    </w:p>
    <w:p>
      <w:pPr>
        <w:spacing w:after="0" w:line="220" w:lineRule="auto"/>
        <w:rPr>
          <w:sz w:val="20"/>
          <w:szCs w:val="20"/>
          <w:color w:val="auto"/>
        </w:rPr>
      </w:pPr>
      <w:r>
        <w:rPr>
          <w:rFonts w:ascii="Times New Roman" w:cs="Times New Roman" w:eastAsia="Times New Roman" w:hAnsi="Times New Roman"/>
          <w:sz w:val="18"/>
          <w:szCs w:val="18"/>
          <w:color w:val="auto"/>
        </w:rPr>
        <w:t xml:space="preserve">The Group applies the Amendments to IAS 12 – </w:t>
      </w:r>
      <w:r>
        <w:rPr>
          <w:rFonts w:ascii="Times New Roman" w:cs="Times New Roman" w:eastAsia="Times New Roman" w:hAnsi="Times New Roman"/>
          <w:sz w:val="18"/>
          <w:szCs w:val="18"/>
          <w:i w:val="1"/>
          <w:iCs w:val="1"/>
          <w:color w:val="auto"/>
        </w:rPr>
        <w:t>Deferred Tax related to Assets and Liabilities arising from a Single Transaction</w:t>
      </w:r>
      <w:r>
        <w:rPr>
          <w:rFonts w:ascii="Times New Roman" w:cs="Times New Roman" w:eastAsia="Times New Roman" w:hAnsi="Times New Roman"/>
          <w:sz w:val="18"/>
          <w:szCs w:val="18"/>
          <w:color w:val="auto"/>
        </w:rPr>
        <w:t xml:space="preserve"> ,</w:t>
      </w: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 xml:space="preserve">issued on May 7, 2021, and presents the deferred tax assets and liabilities arising from such transactions separately within Note 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w:t>
      </w:r>
      <w:r>
        <w:rPr>
          <w:rFonts w:ascii="Times New Roman" w:cs="Times New Roman" w:eastAsia="Times New Roman" w:hAnsi="Times New Roman"/>
          <w:sz w:val="18"/>
          <w:szCs w:val="18"/>
          <w:color w:val="auto"/>
        </w:rPr>
        <w:t>rather than on a net basis. The Amendments have no impact on the Statements of financial position and the Statement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(loss) for the periods presented.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w:t>
      </w:r>
    </w:p>
    <w:p>
      <w:pPr>
        <w:spacing w:after="0" w:line="7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Deferred tax assets are recognized for all deductible temporary differences, unused tax losses and unused tax credits to the extent that it is probable that the temporary difference will reverse in the foreseeable future and that taxable profit will be available against which</w:t>
      </w:r>
    </w:p>
    <w:p>
      <w:pPr>
        <w:ind w:right="140"/>
        <w:spacing w:after="0" w:line="220" w:lineRule="auto"/>
        <w:rPr>
          <w:sz w:val="20"/>
          <w:szCs w:val="20"/>
          <w:color w:val="auto"/>
        </w:rPr>
      </w:pPr>
      <w:r>
        <w:rPr>
          <w:rFonts w:ascii="Times New Roman" w:cs="Times New Roman" w:eastAsia="Times New Roman" w:hAnsi="Times New Roman"/>
          <w:sz w:val="17"/>
          <w:szCs w:val="17"/>
          <w:color w:val="auto"/>
        </w:rPr>
        <w:t>the deductible temporary difference, unused tax losses or unused tax credits can be utilized. In this regard, the Group applies the decision of the IFRS IC, published on January 29, 2021, on the amount of deferred tax assets recognized from unused tax losses as a result of suitable taxable temporary differences, in the case when the use of such tax losses is restricted or limited by the tax law. See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4.15. Use of judgments and estimates and Note 22 Income tax.</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4.15. Use of judgments and estimates</w:t>
      </w:r>
    </w:p>
    <w:p>
      <w:pPr>
        <w:spacing w:after="0" w:line="8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order to prepare financial statements in accordance with IFRS, estimates, judgments and assumptions were made by the Group’s management which could affect the reported amounts of assets, liabilities, contingent liabilities, income and expenses.</w:t>
      </w:r>
    </w:p>
    <w:p>
      <w:pPr>
        <w:spacing w:after="0" w:line="149"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These estimates are based on the assumption of going concern and are prepared in accordance with information available at the date the financial statements were prepared. They are reviewed on an ongoing basis using past experience and various other factors</w:t>
      </w:r>
    </w:p>
    <w:p>
      <w:pPr>
        <w:spacing w:after="0" w:line="2" w:lineRule="exact"/>
        <w:rPr>
          <w:sz w:val="20"/>
          <w:szCs w:val="20"/>
          <w:color w:val="auto"/>
        </w:rPr>
      </w:pPr>
    </w:p>
    <w:p>
      <w:pPr>
        <w:ind w:right="420"/>
        <w:spacing w:after="0" w:line="218" w:lineRule="auto"/>
        <w:rPr>
          <w:sz w:val="20"/>
          <w:szCs w:val="20"/>
          <w:color w:val="auto"/>
        </w:rPr>
      </w:pPr>
      <w:r>
        <w:rPr>
          <w:rFonts w:ascii="Times New Roman" w:cs="Times New Roman" w:eastAsia="Times New Roman" w:hAnsi="Times New Roman"/>
          <w:sz w:val="18"/>
          <w:szCs w:val="18"/>
          <w:color w:val="auto"/>
        </w:rPr>
        <w:t>considered to be reasonable as the basis to measure the carrying amount of assets and liabilities. Estimates may be revised due to changes in the underlying circumstances or subsequent to new information. Actual results may differ significantly from these estimates in line with assumptions or different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3736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016115" cy="237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This note provides an overview of the areas that involved a higher degree of judgment or complexity, and of items which are more likely to be materially adjusted due to changes in estimates and assumptions. Detailed information about each of these estimates and</w:t>
      </w:r>
    </w:p>
    <w:p>
      <w:pPr>
        <w:spacing w:after="0" w:line="226" w:lineRule="auto"/>
        <w:rPr>
          <w:sz w:val="20"/>
          <w:szCs w:val="20"/>
          <w:color w:val="auto"/>
        </w:rPr>
      </w:pPr>
      <w:r>
        <w:rPr>
          <w:rFonts w:ascii="Times New Roman" w:cs="Times New Roman" w:eastAsia="Times New Roman" w:hAnsi="Times New Roman"/>
          <w:sz w:val="18"/>
          <w:szCs w:val="18"/>
          <w:color w:val="auto"/>
        </w:rPr>
        <w:t>judgments is included in other notes together with information about the basis of calculation for each affected line item in the financial statements.</w:t>
      </w:r>
    </w:p>
    <w:p>
      <w:pPr>
        <w:spacing w:after="0" w:line="49" w:lineRule="exact"/>
        <w:rPr>
          <w:sz w:val="20"/>
          <w:szCs w:val="20"/>
          <w:color w:val="auto"/>
        </w:rPr>
      </w:pPr>
    </w:p>
    <w:p>
      <w:pPr>
        <w:ind w:left="1000" w:hanging="336"/>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impairment of CGUs. The main assumptions used for the impairment test include</w:t>
      </w:r>
    </w:p>
    <w:p>
      <w:pPr>
        <w:spacing w:after="0" w:line="2" w:lineRule="exact"/>
        <w:rPr>
          <w:rFonts w:ascii="Times New Roman" w:cs="Times New Roman" w:eastAsia="Times New Roman" w:hAnsi="Times New Roman"/>
          <w:sz w:val="18"/>
          <w:szCs w:val="18"/>
          <w:color w:val="auto"/>
        </w:rPr>
      </w:pPr>
    </w:p>
    <w:p>
      <w:pPr>
        <w:ind w:left="100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cash flows that are set on the basis of the development and commercialization plans and budgets approved by Board of Directors, (b) assumptions related to the achievement of the clinical trials and the launch of the commercialization, (c) the discount rate, (d) assumptions on risk related to the development and (e) for the commercialization, selling price and volume of sales. The sensitivity analysis in respect of the recoverable amount of the CGUs is presented in Note 6.</w:t>
      </w:r>
    </w:p>
    <w:p>
      <w:pPr>
        <w:spacing w:after="0" w:line="51" w:lineRule="exact"/>
        <w:rPr>
          <w:rFonts w:ascii="Times New Roman" w:cs="Times New Roman" w:eastAsia="Times New Roman" w:hAnsi="Times New Roman"/>
          <w:sz w:val="18"/>
          <w:szCs w:val="18"/>
          <w:color w:val="auto"/>
        </w:rPr>
      </w:pPr>
    </w:p>
    <w:p>
      <w:pPr>
        <w:ind w:left="1000" w:right="40" w:hanging="336"/>
        <w:spacing w:after="0" w:line="312" w:lineRule="auto"/>
        <w:tabs>
          <w:tab w:leader="none" w:pos="10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of share-based payments granted to employees, corporate officers and scientific consultants, such as BCE, BSA and AGA, which is based on actuarial models; these models require the use by the Group of certain calculation</w:t>
      </w:r>
    </w:p>
    <w:p>
      <w:pPr>
        <w:sectPr>
          <w:pgSz w:w="11900" w:h="16936" w:orient="portrait"/>
          <w:cols w:equalWidth="0" w:num="1">
            <w:col w:w="9700"/>
          </w:cols>
          <w:pgMar w:left="1080" w:top="108" w:right="1119" w:bottom="0" w:gutter="0" w:footer="0" w:header="0"/>
        </w:sectPr>
      </w:pPr>
    </w:p>
    <w:bookmarkStart w:id="162" w:name="page163"/>
    <w:bookmarkEnd w:id="162"/>
    <w:p>
      <w:pPr>
        <w:ind w:left="1000" w:right="180"/>
        <w:spacing w:after="0" w:line="243" w:lineRule="auto"/>
        <w:rPr>
          <w:sz w:val="20"/>
          <w:szCs w:val="20"/>
          <w:color w:val="auto"/>
        </w:rPr>
      </w:pPr>
      <w:r>
        <w:rPr>
          <w:rFonts w:ascii="Times New Roman" w:cs="Times New Roman" w:eastAsia="Times New Roman" w:hAnsi="Times New Roman"/>
          <w:sz w:val="17"/>
          <w:szCs w:val="17"/>
          <w:color w:val="auto"/>
        </w:rPr>
        <w:t>assumptions such as the estimated vesting, the occurrence dates of a change of control or a M&amp;A transaction dates, the percentage of success (“POS”) of obefazimod, the expected volatility and maturity of the underlying equity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-230505</wp:posOffset>
            </wp:positionV>
            <wp:extent cx="7016115" cy="66884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016115" cy="668845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(see Note 4.7 and Note 14),</w:t>
      </w:r>
    </w:p>
    <w:p>
      <w:pPr>
        <w:spacing w:after="0" w:line="85" w:lineRule="exact"/>
        <w:rPr>
          <w:sz w:val="20"/>
          <w:szCs w:val="20"/>
          <w:color w:val="auto"/>
        </w:rPr>
      </w:pPr>
    </w:p>
    <w:p>
      <w:pPr>
        <w:ind w:left="1000" w:right="80" w:hanging="336"/>
        <w:spacing w:after="0" w:line="24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at inception and after of derivative financial instruments resulting from (i) the warrants issued concomitantly with the issuance of the straight and convertible bonds to Kreos on July 24, 2018 (or “Kreos 1”), (ii) the Kreos / Claret BSA issued on August 21, 2023 and November 2, 2023, related to tranches A-B and tranche C, respectively, and (iii) the Kreos / Claret Minimum Return Indemnifications related to tranches B and C, issued in March 2024 and June 2024, respectively,</w:t>
      </w:r>
    </w:p>
    <w:p>
      <w:pPr>
        <w:spacing w:after="0" w:line="86" w:lineRule="exact"/>
        <w:rPr>
          <w:rFonts w:ascii="Times New Roman" w:cs="Times New Roman" w:eastAsia="Times New Roman" w:hAnsi="Times New Roman"/>
          <w:sz w:val="18"/>
          <w:szCs w:val="18"/>
          <w:color w:val="auto"/>
        </w:rPr>
      </w:pPr>
    </w:p>
    <w:p>
      <w:pPr>
        <w:ind w:left="1000" w:right="200" w:hanging="336"/>
        <w:spacing w:after="0" w:line="220"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measurement and fair value of royalty certificates, based on the following assumptions: (a) future cash flows, estimated on the basis of development and commercialization plans and budgets approved by the Board of Directors, (b) the effective interest rate (for the amortized cost measurement) and (c) the discount rate (for the fair value). The sensitivity analyses in respect of the amortized cost measurement and fair value of royalty certificates is presented in Note 15,</w:t>
      </w:r>
    </w:p>
    <w:p>
      <w:pPr>
        <w:spacing w:after="0" w:line="50" w:lineRule="exact"/>
        <w:rPr>
          <w:rFonts w:ascii="Times New Roman" w:cs="Times New Roman" w:eastAsia="Times New Roman" w:hAnsi="Times New Roman"/>
          <w:sz w:val="18"/>
          <w:szCs w:val="18"/>
          <w:color w:val="auto"/>
        </w:rPr>
      </w:pPr>
    </w:p>
    <w:p>
      <w:pPr>
        <w:jc w:val="both"/>
        <w:ind w:left="1000" w:right="40" w:hanging="336"/>
        <w:spacing w:after="0" w:line="258"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of other financial liabilities at inception, and after, for the Heights convertible notes measured at fair value at each reporting period, with fair value changes recognized in profit or loss, as well as for disclosure purposes (see Note 15),</w:t>
      </w:r>
    </w:p>
    <w:p>
      <w:pPr>
        <w:spacing w:after="0" w:line="61" w:lineRule="exact"/>
        <w:rPr>
          <w:rFonts w:ascii="Times New Roman" w:cs="Times New Roman" w:eastAsia="Times New Roman" w:hAnsi="Times New Roman"/>
          <w:sz w:val="18"/>
          <w:szCs w:val="18"/>
          <w:color w:val="auto"/>
        </w:rPr>
      </w:pPr>
    </w:p>
    <w:p>
      <w:pPr>
        <w:ind w:left="1000" w:right="20" w:hanging="336"/>
        <w:spacing w:after="0" w:line="250"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CIR, based on internal and external expenses, which meet the required criteria, incurred by the Group each year (see Note 4.9),</w:t>
      </w:r>
    </w:p>
    <w:p>
      <w:pPr>
        <w:spacing w:after="0" w:line="41" w:lineRule="exact"/>
        <w:rPr>
          <w:rFonts w:ascii="Times New Roman" w:cs="Times New Roman" w:eastAsia="Times New Roman" w:hAnsi="Times New Roman"/>
          <w:sz w:val="18"/>
          <w:szCs w:val="18"/>
          <w:color w:val="auto"/>
        </w:rPr>
      </w:pPr>
    </w:p>
    <w:p>
      <w:pPr>
        <w:ind w:left="1000" w:right="260" w:hanging="336"/>
        <w:spacing w:after="0" w:line="263" w:lineRule="auto"/>
        <w:tabs>
          <w:tab w:leader="none" w:pos="10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deferred tax assets: availability and timing of future taxable profit against which deductible temporary differences and tax losses carried forward can be utilized and whether sufficient evidence exists (see Note 22),</w:t>
      </w:r>
    </w:p>
    <w:p>
      <w:pPr>
        <w:spacing w:after="0" w:line="44" w:lineRule="exact"/>
        <w:rPr>
          <w:rFonts w:ascii="Times New Roman" w:cs="Times New Roman" w:eastAsia="Times New Roman" w:hAnsi="Times New Roman"/>
          <w:sz w:val="17"/>
          <w:szCs w:val="17"/>
          <w:color w:val="auto"/>
        </w:rPr>
      </w:pPr>
    </w:p>
    <w:p>
      <w:pPr>
        <w:ind w:left="1000" w:hanging="336"/>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deferred tax assets: tax deductibility of future royalty payments related to the royalty certificates issued in September 2022 (see Notes 15 and 22),</w:t>
      </w:r>
    </w:p>
    <w:p>
      <w:pPr>
        <w:spacing w:after="0" w:line="53" w:lineRule="exact"/>
        <w:rPr>
          <w:rFonts w:ascii="Times New Roman" w:cs="Times New Roman" w:eastAsia="Times New Roman" w:hAnsi="Times New Roman"/>
          <w:sz w:val="18"/>
          <w:szCs w:val="18"/>
          <w:color w:val="auto"/>
        </w:rPr>
      </w:pPr>
    </w:p>
    <w:p>
      <w:pPr>
        <w:ind w:left="1000" w:right="100" w:hanging="336"/>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terms of the leases, including whether the Group is reasonably certain to exercise extension and/or termination options (see Note 15.8).</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critical judgments made by the Group’s management impact the following items:</w:t>
      </w:r>
    </w:p>
    <w:p>
      <w:pPr>
        <w:spacing w:after="0" w:line="293" w:lineRule="exact"/>
        <w:rPr>
          <w:sz w:val="20"/>
          <w:szCs w:val="20"/>
          <w:color w:val="auto"/>
        </w:rPr>
      </w:pPr>
    </w:p>
    <w:p>
      <w:pPr>
        <w:ind w:left="1000" w:hanging="336"/>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treatment of specific conditions of share-based compensation plans (see Notes 4.7 and 14),</w:t>
      </w:r>
    </w:p>
    <w:p>
      <w:pPr>
        <w:spacing w:after="0" w:line="117" w:lineRule="exact"/>
        <w:rPr>
          <w:rFonts w:ascii="Times New Roman" w:cs="Times New Roman" w:eastAsia="Times New Roman" w:hAnsi="Times New Roman"/>
          <w:sz w:val="18"/>
          <w:szCs w:val="18"/>
          <w:color w:val="auto"/>
        </w:rPr>
      </w:pPr>
    </w:p>
    <w:p>
      <w:pPr>
        <w:ind w:left="1000" w:right="180" w:hanging="336"/>
        <w:spacing w:after="0" w:line="253" w:lineRule="auto"/>
        <w:tabs>
          <w:tab w:leader="none" w:pos="1000" w:val="left"/>
        </w:tabs>
        <w:numPr>
          <w:ilvl w:val="0"/>
          <w:numId w:val="132"/>
        </w:numPr>
        <w:rPr>
          <w:rFonts w:ascii="Arial" w:cs="Arial" w:eastAsia="Arial" w:hAnsi="Arial"/>
          <w:sz w:val="19"/>
          <w:szCs w:val="19"/>
          <w:color w:val="auto"/>
        </w:rPr>
      </w:pPr>
      <w:r>
        <w:rPr>
          <w:rFonts w:ascii="Times New Roman" w:cs="Times New Roman" w:eastAsia="Times New Roman" w:hAnsi="Times New Roman"/>
          <w:sz w:val="18"/>
          <w:szCs w:val="18"/>
          <w:color w:val="auto"/>
        </w:rPr>
        <w:t>Accounting treatment of the royalty certificates and August 2023 Kreos / Claret and Heights Financings (see Notes 4.8 and 15).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8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assessment of the Group’s performance and the decisions about resources to be allocated are made by the chief operating decision maker, based on the management reporting system of the Group. The Group identified the Chief Executive Officer of the Group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7452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016115" cy="374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“chief operating decision maker”. The chief operating decision maker reviews on an aggregated basis the incurred expenses for allocating and evaluating performance of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operates in a single operating segment: R&amp;D of pharmaceutical products in order to market them in the future.</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December 31, 2023 and 2024, substantially all operations, assets, liabilities, and losses of the Group were located in France. As of December 31, 2025, the U.S. Subsidiary's contributions to the Group’s liabilities and net losses were less than 10%, and its contribution to the Group's assets were 29% (consisting predominantly of cash and cash equivalents).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impairment test</w:t>
      </w:r>
    </w:p>
    <w:p>
      <w:pPr>
        <w:spacing w:after="0" w:line="8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Goodwill relates to the acquisition of Splicos SAS and Wittycel SAS that occurred in 2014 (i.e., prior the transition date to IFRS), which were merged into the Group in the same year.</w:t>
      </w:r>
    </w:p>
    <w:p>
      <w:pPr>
        <w:spacing w:after="0" w:line="14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Goodwill from Splicos SAS and Wittycel SAS acquisition corresponds to the “Modulation of RNA biogenesis / splicing” technological platform and the “iNKT agonists” technological platform, respectively, from which derived the lead drug candidates of</w:t>
      </w:r>
    </w:p>
    <w:p>
      <w:pPr>
        <w:spacing w:after="0"/>
        <w:rPr>
          <w:sz w:val="20"/>
          <w:szCs w:val="20"/>
          <w:color w:val="auto"/>
        </w:rPr>
      </w:pPr>
      <w:r>
        <w:rPr>
          <w:rFonts w:ascii="Times New Roman" w:cs="Times New Roman" w:eastAsia="Times New Roman" w:hAnsi="Times New Roman"/>
          <w:sz w:val="18"/>
          <w:szCs w:val="18"/>
          <w:color w:val="auto"/>
        </w:rPr>
        <w:t>the Group: ABX464 and ABX196, respectively.</w:t>
      </w:r>
    </w:p>
    <w:p>
      <w:pPr>
        <w:spacing w:after="0" w:line="165"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IFRS 3 was not applied to acquisitions of subsidiaries deemed to be a business within the meaning of IFRS, carried out before the IFRS transition date, i.e., January 1 2020. Due to the application of this exemption, the previous accounting for business combinations</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in accordance with French GAAP remains unchanged (no identified Intellectual Property, Research &amp; Development (“IPR&amp;D”) assets are recognized in the statement of financial position).</w:t>
      </w:r>
    </w:p>
    <w:p>
      <w:pPr>
        <w:sectPr>
          <w:pgSz w:w="11900" w:h="16838" w:orient="portrait"/>
          <w:cols w:equalWidth="0" w:num="1">
            <w:col w:w="9720"/>
          </w:cols>
          <w:pgMar w:left="1080" w:top="108" w:right="1099" w:bottom="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3168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016115" cy="5316855"/>
                    </a:xfrm>
                    <a:prstGeom prst="rect">
                      <a:avLst/>
                    </a:prstGeom>
                    <a:noFill/>
                  </pic:spPr>
                </pic:pic>
              </a:graphicData>
            </a:graphic>
          </wp:anchor>
        </w:drawing>
        <w:t>The impairment test carried out as of December 31, 2022 resulted in the full impairment of the goodwill resulting from the acquisition</w:t>
      </w:r>
    </w:p>
    <w:p>
      <w:pPr>
        <w:spacing w:after="0" w:line="2" w:lineRule="exact"/>
        <w:rPr>
          <w:sz w:val="20"/>
          <w:szCs w:val="20"/>
          <w:color w:val="auto"/>
        </w:rPr>
      </w:pPr>
    </w:p>
    <w:p>
      <w:pPr>
        <w:ind w:right="380"/>
        <w:spacing w:after="0" w:line="203" w:lineRule="auto"/>
        <w:rPr>
          <w:sz w:val="20"/>
          <w:szCs w:val="20"/>
          <w:color w:val="auto"/>
        </w:rPr>
      </w:pPr>
      <w:r>
        <w:rPr>
          <w:rFonts w:ascii="Times New Roman" w:cs="Times New Roman" w:eastAsia="Times New Roman" w:hAnsi="Times New Roman"/>
          <w:sz w:val="18"/>
          <w:szCs w:val="18"/>
          <w:color w:val="auto"/>
        </w:rPr>
        <w:t>of Wittycell SAS and other assets included in the ABX196 CGU, i.e. an impairment loss of €13,632 thousand as of December 31, 2022 (€13,586 thousand related to goodwill and €45 thousand related to other assets).</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Consequently, the carrying amount of the Group's goodwill of €18,419 thousand as of December 31, 2023, 2024 and 2025 solely relates to the acquisition of Splicos SAS.</w:t>
      </w:r>
    </w:p>
    <w:p>
      <w:pPr>
        <w:spacing w:after="0" w:line="16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accordance with IAS 36, goodwill is allocated to CGUs at a level corresponding to the lead drug candidates. Thus, goodwill from Splicos SAS is allocated to the ABX464 CGU.</w:t>
      </w:r>
    </w:p>
    <w:p>
      <w:pPr>
        <w:spacing w:after="0" w:line="16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Goodwill impairment tests are undertaken annually or more frequently if events or changes in circumstances indicate a potential impairment, in accordance with IAS 36. The carrying amount of goodwill is compared to the recoverable amount, which is the higher</w:t>
      </w:r>
    </w:p>
    <w:p>
      <w:pPr>
        <w:spacing w:after="0"/>
        <w:rPr>
          <w:sz w:val="20"/>
          <w:szCs w:val="20"/>
          <w:color w:val="auto"/>
        </w:rPr>
      </w:pPr>
      <w:r>
        <w:rPr>
          <w:rFonts w:ascii="Times New Roman" w:cs="Times New Roman" w:eastAsia="Times New Roman" w:hAnsi="Times New Roman"/>
          <w:sz w:val="18"/>
          <w:szCs w:val="18"/>
          <w:color w:val="auto"/>
        </w:rPr>
        <w:t>value in use and the fair value less costs to disposal.</w:t>
      </w:r>
    </w:p>
    <w:p>
      <w:pPr>
        <w:spacing w:after="0" w:line="1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has not identified any indication of impairment loss related to goodwill, intangible or tangible assets.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the recoverable amount used for the impairment test of each CGU was the value in use. This value in use was based on a net present value calculation, using the following assumptions as of December 31, 2023, 2024 and 2025:</w:t>
      </w:r>
    </w:p>
    <w:p>
      <w:pPr>
        <w:spacing w:after="0" w:line="54" w:lineRule="exact"/>
        <w:rPr>
          <w:sz w:val="20"/>
          <w:szCs w:val="20"/>
          <w:color w:val="auto"/>
        </w:rPr>
      </w:pPr>
    </w:p>
    <w:p>
      <w:pPr>
        <w:ind w:left="1000" w:right="440" w:hanging="336"/>
        <w:spacing w:after="0" w:line="237"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are set on the basis of the development and commercialization plans and budgets approved by Board of Directors;</w:t>
      </w:r>
    </w:p>
    <w:p>
      <w:pPr>
        <w:spacing w:after="0" w:line="50" w:lineRule="exact"/>
        <w:rPr>
          <w:rFonts w:ascii="Times New Roman" w:cs="Times New Roman" w:eastAsia="Times New Roman" w:hAnsi="Times New Roman"/>
          <w:sz w:val="18"/>
          <w:szCs w:val="18"/>
          <w:color w:val="auto"/>
        </w:rPr>
      </w:pPr>
    </w:p>
    <w:p>
      <w:pPr>
        <w:ind w:left="1000" w:right="300" w:hanging="336"/>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(or “WACC”) of 15% as of December 31, 2023, 11.5% as of December 31, 2024 and of 10.0% as of December 31, 2025;</w:t>
      </w:r>
    </w:p>
    <w:p>
      <w:pPr>
        <w:spacing w:after="0" w:line="40" w:lineRule="exact"/>
        <w:rPr>
          <w:rFonts w:ascii="Times New Roman" w:cs="Times New Roman" w:eastAsia="Times New Roman" w:hAnsi="Times New Roman"/>
          <w:sz w:val="18"/>
          <w:szCs w:val="18"/>
          <w:color w:val="auto"/>
        </w:rPr>
      </w:pPr>
    </w:p>
    <w:p>
      <w:pPr>
        <w:ind w:left="1000" w:right="200" w:hanging="336"/>
        <w:spacing w:after="0" w:line="23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of development is taken into consideration by applying probabilities of success (or “POS”) of reaching future phases of development to cash flows related to the commercialization phase. Those average probabilities of success of R&amp;D projects are based on public sources;</w:t>
      </w:r>
    </w:p>
    <w:p>
      <w:pPr>
        <w:spacing w:after="0" w:line="50" w:lineRule="exact"/>
        <w:rPr>
          <w:rFonts w:ascii="Times New Roman" w:cs="Times New Roman" w:eastAsia="Times New Roman" w:hAnsi="Times New Roman"/>
          <w:sz w:val="18"/>
          <w:szCs w:val="18"/>
          <w:color w:val="auto"/>
        </w:rPr>
      </w:pPr>
    </w:p>
    <w:p>
      <w:pPr>
        <w:ind w:left="1000" w:right="240" w:hanging="336"/>
        <w:spacing w:after="0" w:line="237"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commercialization phase, selling price and sales volume are estimated on the basis of the potential market and the observed performances of comparable drugs currently on the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tests resulted in no impairment charges as of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11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01611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testing as of December 31, 2023, 2024 and 2025:</w:t>
      </w:r>
    </w:p>
    <w:p>
      <w:pPr>
        <w:spacing w:after="0" w:line="26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As the product is currently under development, a clinical trial failure or a failure to obtain a marketing approval could result in an impairment of the goodwill allocated to the ABX464 CGU. The results of the impairment test indicate a headroom level that is high enough so that any reasonably possible change in any of the key assumptions (except clinical failure) would not lead to any impairment.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mainly comprised of the intellectual property underlying:</w:t>
      </w:r>
    </w:p>
    <w:p>
      <w:pPr>
        <w:spacing w:after="0" w:line="200" w:lineRule="exact"/>
        <w:rPr>
          <w:sz w:val="20"/>
          <w:szCs w:val="20"/>
          <w:color w:val="auto"/>
        </w:rPr>
      </w:pPr>
    </w:p>
    <w:p>
      <w:pPr>
        <w:spacing w:after="0" w:line="201" w:lineRule="exact"/>
        <w:rPr>
          <w:sz w:val="20"/>
          <w:szCs w:val="20"/>
          <w:color w:val="auto"/>
        </w:rPr>
      </w:pPr>
    </w:p>
    <w:p>
      <w:pPr>
        <w:ind w:left="1000" w:right="260" w:hanging="446"/>
        <w:spacing w:after="0" w:line="224" w:lineRule="auto"/>
        <w:tabs>
          <w:tab w:leader="none" w:pos="9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license agreement with the Scripps Research Institute, University of Chicago and Brigham Young University for which the Group paid a milestone of €45 thousand in September 2019 as a result of an IND filling of ABX196. The value in use and the fair value less costs to disposal of the ABX196 CGU being nil as of December 31, 2022, a €45 thousand impairment loss was recorded during the year ended December 31, 2022 (see Note 6).</w:t>
      </w:r>
    </w:p>
    <w:p>
      <w:pPr>
        <w:spacing w:after="0" w:line="50" w:lineRule="exact"/>
        <w:rPr>
          <w:rFonts w:ascii="Times New Roman" w:cs="Times New Roman" w:eastAsia="Times New Roman" w:hAnsi="Times New Roman"/>
          <w:sz w:val="18"/>
          <w:szCs w:val="18"/>
          <w:color w:val="auto"/>
        </w:rPr>
      </w:pPr>
    </w:p>
    <w:p>
      <w:pPr>
        <w:ind w:left="1000" w:right="300" w:hanging="446"/>
        <w:spacing w:after="0" w:line="237"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and license agreement with the CNRS, Montpellier 2 university and the Curie for which the Group paid a milestone of €40 thousand in September 2019 as a result of the entry in phase 2 of ABX464.</w:t>
      </w:r>
    </w:p>
    <w:p>
      <w:pPr>
        <w:spacing w:after="0" w:line="50" w:lineRule="exact"/>
        <w:rPr>
          <w:rFonts w:ascii="Times New Roman" w:cs="Times New Roman" w:eastAsia="Times New Roman" w:hAnsi="Times New Roman"/>
          <w:sz w:val="18"/>
          <w:szCs w:val="18"/>
          <w:color w:val="auto"/>
        </w:rPr>
      </w:pPr>
    </w:p>
    <w:p>
      <w:pPr>
        <w:ind w:left="1000" w:right="80" w:hanging="446"/>
        <w:spacing w:after="0" w:line="213"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acquired through the acquisition of Prosynergia SARL (or "Prosynergia") on April 1, 2022 and amounting to €6,529 thousand. Considering that Prosynergia only owned patent rights and did not enter into any employee contract, research agreement, collaboration agreement or out-licensed agreement, this acquisition did not meet the definition of a business under IFRS 3. Consequently, the acquisition cost of this group of assets was mostly allocated to the acquired patents, which cover alternative synthesis process for obefazimod and a family of close chemical analogues. They also cover alternative forms of obefazimod (salts thereof and crystalline forms of said salts), the pharmaceutical composition comprising them, that could be of interest to the Group for future development.</w:t>
      </w:r>
    </w:p>
    <w:p>
      <w:pPr>
        <w:spacing w:after="0" w:line="3" w:lineRule="exact"/>
        <w:rPr>
          <w:rFonts w:ascii="Times New Roman" w:cs="Times New Roman" w:eastAsia="Times New Roman" w:hAnsi="Times New Roman"/>
          <w:sz w:val="18"/>
          <w:szCs w:val="18"/>
          <w:color w:val="auto"/>
        </w:rPr>
      </w:pPr>
    </w:p>
    <w:p>
      <w:pPr>
        <w:ind w:left="1000" w:right="52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are not yet amortized, similarly to licenses, and are included in the ABX464 CGU for impairment test purposes. All patents will expire in 2037.</w:t>
      </w:r>
    </w:p>
    <w:p>
      <w:pPr>
        <w:sectPr>
          <w:pgSz w:w="11900" w:h="16838" w:orient="portrait"/>
          <w:cols w:equalWidth="0" w:num="1">
            <w:col w:w="9720"/>
          </w:cols>
          <w:pgMar w:left="1080" w:top="148" w:right="1099" w:bottom="717"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945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7016115" cy="394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6488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016115" cy="6488430"/>
                    </a:xfrm>
                    <a:prstGeom prst="rect">
                      <a:avLst/>
                    </a:prstGeom>
                    <a:noFill/>
                  </pic:spPr>
                </pic:pic>
              </a:graphicData>
            </a:graphic>
          </wp:anchor>
        </w:drawing>
      </w:r>
    </w:p>
    <w:p>
      <w:pPr>
        <w:sectPr>
          <w:pgSz w:w="11900" w:h="16838" w:orient="portrait"/>
          <w:cols w:equalWidth="0" w:num="1">
            <w:col w:w="9379"/>
          </w:cols>
          <w:pgMar w:left="10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Licenses and patents recognized as Intangible assets are not amortized since they are not operating in a manner intended by the</w:t>
      </w:r>
    </w:p>
    <w:p>
      <w:pPr>
        <w:spacing w:after="0" w:line="14" w:lineRule="exact"/>
        <w:rPr>
          <w:sz w:val="20"/>
          <w:szCs w:val="20"/>
          <w:color w:val="auto"/>
        </w:rPr>
      </w:pPr>
    </w:p>
    <w:p>
      <w:pPr>
        <w:ind w:right="399"/>
        <w:spacing w:after="0" w:line="226" w:lineRule="auto"/>
        <w:rPr>
          <w:sz w:val="20"/>
          <w:szCs w:val="20"/>
          <w:color w:val="auto"/>
        </w:rPr>
      </w:pPr>
      <w:r>
        <w:rPr>
          <w:rFonts w:ascii="Times New Roman" w:cs="Times New Roman" w:eastAsia="Times New Roman" w:hAnsi="Times New Roman"/>
          <w:sz w:val="18"/>
          <w:szCs w:val="18"/>
          <w:color w:val="auto"/>
        </w:rPr>
        <w:t>management. As a consequence, and in accordance with IAS 36, those assets were subject to an annual impairment test as of December 31, 2023, 2024 and 2025, which did not result in any impairment loss being recognized.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GROSS VALUES</w:t>
            </w: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120</w:t>
            </w:r>
          </w:p>
        </w:tc>
        <w:tc>
          <w:tcPr>
            <w:tcW w:w="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60" w:type="dxa"/>
            <w:vAlign w:val="bottom"/>
          </w:tcPr>
          <w:p>
            <w:pPr>
              <w:spacing w:after="0"/>
              <w:rPr>
                <w:sz w:val="14"/>
                <w:szCs w:val="14"/>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6,673</w:t>
            </w:r>
          </w:p>
        </w:tc>
        <w:tc>
          <w:tcPr>
            <w:tcW w:w="0" w:type="dxa"/>
            <w:vAlign w:val="bottom"/>
          </w:tcPr>
          <w:p>
            <w:pPr>
              <w:spacing w:after="0"/>
              <w:rPr>
                <w:sz w:val="1"/>
                <w:szCs w:val="1"/>
                <w:color w:val="auto"/>
              </w:rPr>
            </w:pPr>
          </w:p>
        </w:tc>
      </w:tr>
      <w:tr>
        <w:trPr>
          <w:trHeight w:val="96"/>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500" w:type="dxa"/>
            <w:vAlign w:val="bottom"/>
            <w:tcBorders>
              <w:bottom w:val="single" w:sz="8" w:color="CCEEFF"/>
            </w:tcBorders>
            <w:vMerge w:val="continue"/>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120</w:t>
            </w: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6,673</w:t>
            </w:r>
          </w:p>
        </w:tc>
        <w:tc>
          <w:tcPr>
            <w:tcW w:w="0" w:type="dxa"/>
            <w:vAlign w:val="bottom"/>
          </w:tcPr>
          <w:p>
            <w:pPr>
              <w:spacing w:after="0"/>
              <w:rPr>
                <w:sz w:val="1"/>
                <w:szCs w:val="1"/>
                <w:color w:val="auto"/>
              </w:rPr>
            </w:pPr>
          </w:p>
        </w:tc>
      </w:tr>
      <w:tr>
        <w:trPr>
          <w:trHeight w:val="216"/>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120</w:t>
            </w:r>
          </w:p>
        </w:tc>
        <w:tc>
          <w:tcPr>
            <w:tcW w:w="4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6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0" w:type="dxa"/>
            <w:vAlign w:val="bottom"/>
          </w:tcPr>
          <w:p>
            <w:pPr>
              <w:spacing w:after="0"/>
              <w:rPr>
                <w:sz w:val="1"/>
                <w:szCs w:val="1"/>
                <w:color w:val="auto"/>
              </w:rPr>
            </w:pPr>
          </w:p>
        </w:tc>
      </w:tr>
      <w:tr>
        <w:trPr>
          <w:trHeight w:val="185"/>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120</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6,529</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6,677</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00" w:type="dxa"/>
            <w:vAlign w:val="bottom"/>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0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500" w:type="dxa"/>
            <w:vAlign w:val="bottom"/>
            <w:vMerge w:val="continue"/>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1"/>
        </w:trPr>
        <w:tc>
          <w:tcPr>
            <w:tcW w:w="350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60" w:type="dxa"/>
            <w:vAlign w:val="bottom"/>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restart"/>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8"/>
        </w:trPr>
        <w:tc>
          <w:tcPr>
            <w:tcW w:w="35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8"/>
        </w:trPr>
        <w:tc>
          <w:tcPr>
            <w:tcW w:w="35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4"/>
        </w:trPr>
        <w:tc>
          <w:tcPr>
            <w:tcW w:w="35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0" w:type="dxa"/>
            <w:vAlign w:val="bottom"/>
          </w:tcPr>
          <w:p>
            <w:pPr>
              <w:spacing w:after="0"/>
              <w:rPr>
                <w:sz w:val="1"/>
                <w:szCs w:val="1"/>
                <w:color w:val="auto"/>
              </w:rPr>
            </w:pPr>
          </w:p>
        </w:tc>
      </w:tr>
      <w:tr>
        <w:trPr>
          <w:trHeight w:val="109"/>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p>
      <w:pPr>
        <w:sectPr>
          <w:pgSz w:w="11900" w:h="16838" w:orient="portrait"/>
          <w:cols w:equalWidth="0" w:num="1">
            <w:col w:w="9379"/>
          </w:cols>
          <w:pgMar w:left="1080" w:top="1440" w:right="1440" w:bottom="0" w:gutter="0" w:footer="0" w:header="0"/>
          <w:type w:val="continuous"/>
        </w:sectPr>
      </w:pPr>
    </w:p>
    <w:bookmarkStart w:id="165" w:name="page166"/>
    <w:bookmarkEnd w:id="16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573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016115" cy="257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6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6,604</w:t>
            </w:r>
          </w:p>
        </w:tc>
        <w:tc>
          <w:tcPr>
            <w:tcW w:w="0" w:type="dxa"/>
            <w:vAlign w:val="bottom"/>
          </w:tcPr>
          <w:p>
            <w:pPr>
              <w:spacing w:after="0"/>
              <w:rPr>
                <w:sz w:val="1"/>
                <w:szCs w:val="1"/>
                <w:color w:val="auto"/>
              </w:rPr>
            </w:pPr>
          </w:p>
        </w:tc>
      </w:tr>
      <w:tr>
        <w:trPr>
          <w:trHeight w:val="184"/>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0" w:type="dxa"/>
            <w:vAlign w:val="bottom"/>
          </w:tcPr>
          <w:p>
            <w:pPr>
              <w:spacing w:after="0"/>
              <w:rPr>
                <w:sz w:val="1"/>
                <w:szCs w:val="1"/>
                <w:color w:val="auto"/>
              </w:rPr>
            </w:pPr>
          </w:p>
        </w:tc>
      </w:tr>
      <w:tr>
        <w:trPr>
          <w:trHeight w:val="96"/>
        </w:trPr>
        <w:tc>
          <w:tcPr>
            <w:tcW w:w="3500" w:type="dxa"/>
            <w:vAlign w:val="bottom"/>
            <w:vMerge w:val="restart"/>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vMerge w:val="continue"/>
          </w:tcPr>
          <w:p>
            <w:pPr>
              <w:spacing w:after="0"/>
              <w:rPr>
                <w:sz w:val="4"/>
                <w:szCs w:val="4"/>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2"/>
        </w:trPr>
        <w:tc>
          <w:tcPr>
            <w:tcW w:w="3500" w:type="dxa"/>
            <w:vAlign w:val="bottom"/>
          </w:tcPr>
          <w:p>
            <w:pPr>
              <w:ind w:left="840"/>
              <w:spacing w:after="0" w:line="122" w:lineRule="exact"/>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20"/>
                <w:szCs w:val="2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0"/>
                <w:szCs w:val="2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40" w:type="dxa"/>
            <w:vAlign w:val="bottom"/>
          </w:tcPr>
          <w:p>
            <w:pPr>
              <w:spacing w:after="0"/>
              <w:rPr>
                <w:sz w:val="20"/>
                <w:szCs w:val="2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0" w:type="dxa"/>
            <w:vAlign w:val="bottom"/>
          </w:tcPr>
          <w:p>
            <w:pPr>
              <w:spacing w:after="0"/>
              <w:rPr>
                <w:sz w:val="1"/>
                <w:szCs w:val="1"/>
                <w:color w:val="auto"/>
              </w:rPr>
            </w:pPr>
          </w:p>
        </w:tc>
      </w:tr>
      <w:tr>
        <w:trPr>
          <w:trHeight w:val="96"/>
        </w:trPr>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The following tables present changes in property, plant and equipment including the right of use of assets (or “ROU”) as of</w:t>
      </w:r>
    </w:p>
    <w:p>
      <w:pPr>
        <w:ind w:left="140"/>
        <w:spacing w:after="0"/>
        <w:rPr>
          <w:sz w:val="20"/>
          <w:szCs w:val="20"/>
          <w:color w:val="auto"/>
        </w:rPr>
      </w:pPr>
      <w:r>
        <w:rPr>
          <w:rFonts w:ascii="Times New Roman" w:cs="Times New Roman" w:eastAsia="Times New Roman" w:hAnsi="Times New Roman"/>
          <w:sz w:val="18"/>
          <w:szCs w:val="18"/>
          <w:color w:val="231F20"/>
        </w:rPr>
        <w:t>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78600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016115" cy="786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OF WHICH</w:t>
            </w:r>
          </w:p>
        </w:tc>
        <w:tc>
          <w:tcPr>
            <w:tcW w:w="0" w:type="dxa"/>
            <w:vAlign w:val="bottom"/>
          </w:tcPr>
          <w:p>
            <w:pPr>
              <w:spacing w:after="0"/>
              <w:rPr>
                <w:sz w:val="1"/>
                <w:szCs w:val="1"/>
                <w:color w:val="auto"/>
              </w:rPr>
            </w:pPr>
          </w:p>
        </w:tc>
      </w:tr>
      <w:tr>
        <w:trPr>
          <w:trHeight w:val="187"/>
        </w:trPr>
        <w:tc>
          <w:tcPr>
            <w:tcW w:w="3640" w:type="dxa"/>
            <w:vAlign w:val="bottom"/>
          </w:tcPr>
          <w:p>
            <w:pPr>
              <w:ind w:left="10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2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6"/>
                <w:szCs w:val="16"/>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GROSS VALUES</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1,618</w:t>
            </w: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436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2,400</w:t>
            </w:r>
          </w:p>
        </w:tc>
        <w:tc>
          <w:tcPr>
            <w:tcW w:w="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300" w:type="dxa"/>
            <w:vAlign w:val="bottom"/>
            <w:gridSpan w:val="4"/>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4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350</w:t>
            </w: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614</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(622)</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1,346</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513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2,366</w:t>
            </w:r>
          </w:p>
        </w:tc>
        <w:tc>
          <w:tcPr>
            <w:tcW w:w="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4"/>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220" w:type="dxa"/>
            <w:vAlign w:val="bottom"/>
          </w:tcPr>
          <w:p>
            <w:pPr>
              <w:spacing w:after="0"/>
              <w:rPr>
                <w:sz w:val="16"/>
                <w:szCs w:val="16"/>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2,578</w:t>
            </w:r>
          </w:p>
        </w:tc>
        <w:tc>
          <w:tcPr>
            <w:tcW w:w="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2,870</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1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(1,110)</w:t>
            </w:r>
          </w:p>
        </w:tc>
        <w:tc>
          <w:tcPr>
            <w:tcW w:w="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6"/>
                <w:szCs w:val="16"/>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2,818</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513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4,029</w:t>
            </w:r>
          </w:p>
        </w:tc>
        <w:tc>
          <w:tcPr>
            <w:tcW w:w="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4"/>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6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Acquisition</w:t>
            </w:r>
          </w:p>
        </w:tc>
        <w:tc>
          <w:tcPr>
            <w:tcW w:w="220" w:type="dxa"/>
            <w:vAlign w:val="bottom"/>
          </w:tcPr>
          <w:p>
            <w:pPr>
              <w:spacing w:after="0"/>
              <w:rPr>
                <w:sz w:val="16"/>
                <w:szCs w:val="16"/>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436</w:t>
            </w:r>
          </w:p>
        </w:tc>
        <w:tc>
          <w:tcPr>
            <w:tcW w:w="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3,204</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463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4,274</w:t>
            </w:r>
          </w:p>
        </w:tc>
        <w:tc>
          <w:tcPr>
            <w:tcW w:w="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4"/>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WHICH</w:t>
            </w:r>
          </w:p>
        </w:tc>
        <w:tc>
          <w:tcPr>
            <w:tcW w:w="0" w:type="dxa"/>
            <w:vAlign w:val="bottom"/>
          </w:tcPr>
          <w:p>
            <w:pPr>
              <w:spacing w:after="0"/>
              <w:rPr>
                <w:sz w:val="1"/>
                <w:szCs w:val="1"/>
                <w:color w:val="auto"/>
              </w:rPr>
            </w:pPr>
          </w:p>
        </w:tc>
      </w:tr>
      <w:tr>
        <w:trPr>
          <w:trHeight w:val="187"/>
        </w:trPr>
        <w:tc>
          <w:tcPr>
            <w:tcW w:w="3640" w:type="dxa"/>
            <w:vAlign w:val="bottom"/>
          </w:tcPr>
          <w:p>
            <w:pPr>
              <w:ind w:left="9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(808)</w:t>
            </w:r>
          </w:p>
        </w:tc>
        <w:tc>
          <w:tcPr>
            <w:tcW w:w="40" w:type="dxa"/>
            <w:vAlign w:val="bottom"/>
          </w:tcPr>
          <w:p>
            <w:pPr>
              <w:spacing w:after="0"/>
              <w:rPr>
                <w:sz w:val="13"/>
                <w:szCs w:val="13"/>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(290)</w:t>
            </w:r>
          </w:p>
        </w:tc>
        <w:tc>
          <w:tcPr>
            <w:tcW w:w="0" w:type="dxa"/>
            <w:vAlign w:val="bottom"/>
          </w:tcPr>
          <w:p>
            <w:pPr>
              <w:spacing w:after="0"/>
              <w:rPr>
                <w:sz w:val="1"/>
                <w:szCs w:val="1"/>
                <w:color w:val="auto"/>
              </w:rPr>
            </w:pPr>
          </w:p>
        </w:tc>
      </w:tr>
      <w:tr>
        <w:trPr>
          <w:trHeight w:val="109"/>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1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4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11"/>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22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(1,488)</w:t>
            </w:r>
          </w:p>
        </w:tc>
        <w:tc>
          <w:tcPr>
            <w:tcW w:w="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(761)</w:t>
            </w:r>
          </w:p>
        </w:tc>
        <w:tc>
          <w:tcPr>
            <w:tcW w:w="0" w:type="dxa"/>
            <w:vAlign w:val="bottom"/>
          </w:tcPr>
          <w:p>
            <w:pPr>
              <w:spacing w:after="0"/>
              <w:rPr>
                <w:sz w:val="1"/>
                <w:szCs w:val="1"/>
                <w:color w:val="auto"/>
              </w:rPr>
            </w:pPr>
          </w:p>
        </w:tc>
      </w:tr>
      <w:tr>
        <w:trPr>
          <w:trHeight w:val="109"/>
        </w:trPr>
        <w:tc>
          <w:tcPr>
            <w:tcW w:w="3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6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40" w:type="dxa"/>
            <w:vAlign w:val="bottom"/>
            <w:vMerge w:val="continue"/>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(613)</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(419)</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(332)</w:t>
            </w: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(1,363)</w:t>
            </w:r>
          </w:p>
        </w:tc>
        <w:tc>
          <w:tcPr>
            <w:tcW w:w="40" w:type="dxa"/>
            <w:vAlign w:val="bottom"/>
          </w:tcPr>
          <w:p>
            <w:pPr>
              <w:spacing w:after="0"/>
              <w:rPr>
                <w:sz w:val="13"/>
                <w:szCs w:val="13"/>
                <w:color w:val="auto"/>
              </w:rPr>
            </w:pPr>
          </w:p>
        </w:tc>
        <w:tc>
          <w:tcPr>
            <w:tcW w:w="114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(575)</w:t>
            </w:r>
          </w:p>
        </w:tc>
        <w:tc>
          <w:tcPr>
            <w:tcW w:w="0" w:type="dxa"/>
            <w:vAlign w:val="bottom"/>
          </w:tcPr>
          <w:p>
            <w:pPr>
              <w:spacing w:after="0"/>
              <w:rPr>
                <w:sz w:val="1"/>
                <w:szCs w:val="1"/>
                <w:color w:val="auto"/>
              </w:rPr>
            </w:pPr>
          </w:p>
        </w:tc>
      </w:tr>
      <w:tr>
        <w:trPr>
          <w:trHeight w:val="109"/>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4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11"/>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Disposal</w:t>
            </w:r>
          </w:p>
        </w:tc>
        <w:tc>
          <w:tcPr>
            <w:tcW w:w="22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the change in foreign currency exchange rates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(1,498)</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(281)</w:t>
            </w: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(2,184)</w:t>
            </w:r>
          </w:p>
        </w:tc>
        <w:tc>
          <w:tcPr>
            <w:tcW w:w="40" w:type="dxa"/>
            <w:vAlign w:val="bottom"/>
          </w:tcPr>
          <w:p>
            <w:pPr>
              <w:spacing w:after="0"/>
              <w:rPr>
                <w:sz w:val="13"/>
                <w:szCs w:val="13"/>
                <w:color w:val="auto"/>
              </w:rPr>
            </w:pPr>
          </w:p>
        </w:tc>
        <w:tc>
          <w:tcPr>
            <w:tcW w:w="114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(1,302)</w:t>
            </w:r>
          </w:p>
        </w:tc>
        <w:tc>
          <w:tcPr>
            <w:tcW w:w="0" w:type="dxa"/>
            <w:vAlign w:val="bottom"/>
          </w:tcPr>
          <w:p>
            <w:pPr>
              <w:spacing w:after="0"/>
              <w:rPr>
                <w:sz w:val="1"/>
                <w:szCs w:val="1"/>
                <w:color w:val="auto"/>
              </w:rPr>
            </w:pPr>
          </w:p>
        </w:tc>
      </w:tr>
      <w:tr>
        <w:trPr>
          <w:trHeight w:val="109"/>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4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VALUES</w:t>
            </w:r>
          </w:p>
        </w:tc>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3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1,359</w:t>
            </w:r>
          </w:p>
        </w:tc>
        <w:tc>
          <w:tcPr>
            <w:tcW w:w="12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59</w:t>
            </w:r>
          </w:p>
        </w:tc>
        <w:tc>
          <w:tcPr>
            <w:tcW w:w="11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175</w:t>
            </w:r>
          </w:p>
        </w:tc>
        <w:tc>
          <w:tcPr>
            <w:tcW w:w="11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1,592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96"/>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23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3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509</w:t>
            </w:r>
          </w:p>
        </w:tc>
        <w:tc>
          <w:tcPr>
            <w:tcW w:w="12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126</w:t>
            </w:r>
          </w:p>
        </w:tc>
        <w:tc>
          <w:tcPr>
            <w:tcW w:w="11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242</w:t>
            </w:r>
          </w:p>
        </w:tc>
        <w:tc>
          <w:tcPr>
            <w:tcW w:w="11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878</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96"/>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3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3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2,205</w:t>
            </w:r>
          </w:p>
        </w:tc>
        <w:tc>
          <w:tcPr>
            <w:tcW w:w="12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94</w:t>
            </w:r>
          </w:p>
        </w:tc>
        <w:tc>
          <w:tcPr>
            <w:tcW w:w="11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366</w:t>
            </w:r>
          </w:p>
        </w:tc>
        <w:tc>
          <w:tcPr>
            <w:tcW w:w="11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2,666</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22" w:orient="portrait"/>
          <w:cols w:equalWidth="0" w:num="1">
            <w:col w:w="9520"/>
          </w:cols>
          <w:pgMar w:left="1080" w:top="120" w:right="1299" w:bottom="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vMerge w:val="continue"/>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rPr>
                <w:sz w:val="8"/>
                <w:szCs w:val="8"/>
                <w:color w:val="auto"/>
              </w:rPr>
            </w:pPr>
          </w:p>
        </w:tc>
        <w:tc>
          <w:tcPr>
            <w:tcW w:w="1240" w:type="dxa"/>
            <w:vAlign w:val="bottom"/>
            <w:gridSpan w:val="2"/>
            <w:vMerge w:val="restart"/>
          </w:tcPr>
          <w:p>
            <w:pPr>
              <w:ind w:left="4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AND</w:t>
            </w:r>
            <w:r>
              <w:rPr>
                <w:rFonts w:ascii="Times New Roman" w:cs="Times New Roman" w:eastAsia="Times New Roman" w:hAnsi="Times New Roman"/>
                <w:sz w:val="13"/>
                <w:szCs w:val="13"/>
                <w:color w:val="auto"/>
              </w:rPr>
              <w:t xml:space="preserve">  325</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0" w:type="dxa"/>
            <w:vAlign w:val="bottom"/>
          </w:tcPr>
          <w:p>
            <w:pPr>
              <w:spacing w:after="0"/>
              <w:rPr>
                <w:sz w:val="1"/>
                <w:szCs w:val="1"/>
                <w:color w:val="auto"/>
              </w:rPr>
            </w:pPr>
          </w:p>
        </w:tc>
      </w:tr>
      <w:tr>
        <w:trPr>
          <w:trHeight w:val="108"/>
        </w:trPr>
        <w:tc>
          <w:tcPr>
            <w:tcW w:w="3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w:t>
            </w:r>
            <w:r>
              <w:rPr>
                <w:rFonts w:ascii="Times New Roman" w:cs="Times New Roman" w:eastAsia="Times New Roman" w:hAnsi="Times New Roman"/>
                <w:sz w:val="14"/>
                <w:szCs w:val="14"/>
                <w:i w:val="1"/>
                <w:iCs w:val="1"/>
                <w:color w:val="auto"/>
              </w:rPr>
              <w:t>(amounts</w:t>
            </w:r>
            <w:r>
              <w:rPr>
                <w:rFonts w:ascii="Times New Roman" w:cs="Times New Roman" w:eastAsia="Times New Roman" w:hAnsi="Times New Roman"/>
                <w:sz w:val="14"/>
                <w:szCs w:val="14"/>
                <w:b w:val="1"/>
                <w:bCs w:val="1"/>
                <w:color w:val="auto"/>
              </w:rPr>
              <w:t xml:space="preserve">31,2025 </w:t>
            </w:r>
            <w:r>
              <w:rPr>
                <w:rFonts w:ascii="Times New Roman" w:cs="Times New Roman" w:eastAsia="Times New Roman" w:hAnsi="Times New Roman"/>
                <w:sz w:val="14"/>
                <w:szCs w:val="14"/>
                <w:i w:val="1"/>
                <w:iCs w:val="1"/>
                <w:color w:val="auto"/>
              </w:rPr>
              <w:t>in thousands of euros)</w:t>
            </w: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WHICH</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ROU</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-607695</wp:posOffset>
            </wp:positionV>
            <wp:extent cx="7016115" cy="12020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7016115" cy="12020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90735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Right of use assets relate to buildings, vehicles and furniture. The net book value of right of use assets related to buildings amounted to €453 thousand, €1,846 thousand and €1,473 thousand as of December 31, 2023, 2024 and 2025 respectively.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over the year ended December 31, 2023 mainly include the right of use asset related to the new Boston offices entered into in November 2023. Decreases mainly include the remeasurement of the right of use asset related to the reassessment of the Paris Headquarters lease term, for an amount of €622 thousand (see Note 15.8).</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Acquisitions over the period ended December 31, 2024 mainly include the right of use assets related to the new Paris headquarters and Montpellier offices entered into in May and April 2024 respectively, as well as the 1-year renewal of the Boston offices lease (see Note 15.8). Disposals over the period ended December 31, 2024 mainly include the right of use asset related to the former Paris headquarters lease, which ended in June 2024.</w:t>
      </w:r>
    </w:p>
    <w:p>
      <w:pPr>
        <w:spacing w:after="0" w:line="180" w:lineRule="exact"/>
        <w:rPr>
          <w:sz w:val="20"/>
          <w:szCs w:val="20"/>
          <w:color w:val="auto"/>
        </w:rPr>
      </w:pPr>
    </w:p>
    <w:p>
      <w:pPr>
        <w:jc w:val="both"/>
        <w:ind w:right="660"/>
        <w:spacing w:after="0" w:line="257" w:lineRule="auto"/>
        <w:rPr>
          <w:sz w:val="20"/>
          <w:szCs w:val="20"/>
          <w:color w:val="auto"/>
        </w:rPr>
      </w:pPr>
      <w:r>
        <w:rPr>
          <w:rFonts w:ascii="Times New Roman" w:cs="Times New Roman" w:eastAsia="Times New Roman" w:hAnsi="Times New Roman"/>
          <w:sz w:val="18"/>
          <w:szCs w:val="18"/>
          <w:color w:val="auto"/>
        </w:rPr>
        <w:t>Acquisitions over the period ended December 31, 2025 mainly include right of use assets related to the renewal of the hosting agreement with the CNRS (French National Centre for Scientific Research) research laboratories based in Montpellier (which previously fell under the IFRS 16 short-term lease exemption), as well as new office equipment leases.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over the period ended December 31, 2025 of the period mainly relate to the decommissioning of obsolete IT equipments.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financial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financial assets break down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CCEEFF"/>
            </w:tcBorders>
          </w:tcPr>
          <w:p>
            <w:pPr>
              <w:ind w:left="12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ASSETS</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Advances related to CRO contracts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12,172</w:t>
            </w:r>
          </w:p>
        </w:tc>
        <w:tc>
          <w:tcPr>
            <w:tcW w:w="6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4,929</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0" w:type="dxa"/>
            <w:vAlign w:val="bottom"/>
          </w:tcPr>
          <w:p>
            <w:pPr>
              <w:spacing w:after="0"/>
              <w:rPr>
                <w:sz w:val="1"/>
                <w:szCs w:val="1"/>
                <w:color w:val="auto"/>
              </w:rPr>
            </w:pPr>
          </w:p>
        </w:tc>
      </w:tr>
      <w:tr>
        <w:trPr>
          <w:trHeight w:val="221"/>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Deposits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863</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other non-current financial assets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12,870</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5,919</w:t>
            </w:r>
          </w:p>
        </w:tc>
        <w:tc>
          <w:tcPr>
            <w:tcW w:w="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Advances related to CRO contracts</w:t>
            </w:r>
          </w:p>
        </w:tc>
        <w:tc>
          <w:tcPr>
            <w:tcW w:w="12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Borders>
              <w:top w:val="single" w:sz="8" w:color="CCEEFF"/>
            </w:tcBorders>
            <w:vMerge w:val="continue"/>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7,418</w:t>
            </w:r>
          </w:p>
        </w:tc>
        <w:tc>
          <w:tcPr>
            <w:tcW w:w="4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Deposits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4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investments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9,050</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0" w:type="dxa"/>
            <w:vAlign w:val="bottom"/>
          </w:tcPr>
          <w:p>
            <w:pPr>
              <w:spacing w:after="0"/>
              <w:rPr>
                <w:sz w:val="1"/>
                <w:szCs w:val="1"/>
                <w:color w:val="auto"/>
              </w:rPr>
            </w:pPr>
          </w:p>
        </w:tc>
      </w:tr>
      <w:tr>
        <w:trPr>
          <w:trHeight w:val="199"/>
        </w:trPr>
        <w:tc>
          <w:tcPr>
            <w:tcW w:w="4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other current financial assets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9,186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7,554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21,415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11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22,055</w:t>
            </w:r>
          </w:p>
        </w:tc>
        <w:tc>
          <w:tcPr>
            <w:tcW w:w="60" w:type="dxa"/>
            <w:vAlign w:val="bottom"/>
          </w:tcPr>
          <w:p>
            <w:pPr>
              <w:spacing w:after="0"/>
              <w:rPr>
                <w:sz w:val="11"/>
                <w:szCs w:val="11"/>
                <w:color w:val="auto"/>
              </w:rPr>
            </w:pPr>
          </w:p>
        </w:tc>
        <w:tc>
          <w:tcPr>
            <w:tcW w:w="1180" w:type="dxa"/>
            <w:vAlign w:val="bottom"/>
            <w:tcBorders>
              <w:bottom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b w:val="1"/>
                <w:bCs w:val="1"/>
                <w:color w:val="auto"/>
              </w:rPr>
              <w:t>13,473</w:t>
            </w:r>
          </w:p>
        </w:tc>
        <w:tc>
          <w:tcPr>
            <w:tcW w:w="4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26,772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related to CRO contracts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Advances granted in 2022 for a total undiscounted amount of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12,187 thousand for clinical studies are to be recovered at the end of</w:t>
      </w:r>
    </w:p>
    <w:p>
      <w:pPr>
        <w:spacing w:after="0" w:line="3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studies after final reconciliation with pass-through costs, which are being invoiced and paid as studies are carried out. These long-term advances were measured at fair value on initial recognition, using discount rates ranging from 0.19% to 7.16%, and are subsequently measured at amortized cost.</w:t>
      </w:r>
    </w:p>
    <w:p>
      <w:pPr>
        <w:spacing w:after="0" w:line="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first half of 2023, additional advances related to CRO contracts amounting to €1,620 thousand were made (undiscounted amount). These long-term advances were measured at fair value on initial recognition, using discount rates ranging from 7.09% to 7.59%, and are subsequently measured at amortized cost.</w:t>
      </w:r>
    </w:p>
    <w:p>
      <w:pPr>
        <w:spacing w:after="0" w:line="68"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8"/>
          <w:szCs w:val="18"/>
          <w:color w:val="auto"/>
        </w:rPr>
        <w:t>At inception, a prepaid expenses asset was recognized for the difference between the advances’ nominal value and fair value, and spread over the term of the advances, at the rate of recognition of the related R&amp;D expenses (see Note 10).</w:t>
      </w:r>
    </w:p>
    <w:p>
      <w:pPr>
        <w:spacing w:after="0" w:line="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March 2024, a change order was signed with the CRO, extending the scope (addition of maintenance studies) and end date of one of the studies to 2029, thus postponing the recovery date of the corresponding advance of €5,538 thousand (undiscounted amount) from June 2026 to June 2029. The Group considered that this asset modification met the criteria for derecognition, and recognized a new financial asset at fair value on that date, using a discount rate of 6.83%. Since the Group considers that these advances are made in</w:t>
      </w:r>
    </w:p>
    <w:p>
      <w:pPr>
        <w:sectPr>
          <w:pgSz w:w="11900" w:h="16838" w:orient="portrait"/>
          <w:cols w:equalWidth="0" w:num="1">
            <w:col w:w="9720"/>
          </w:cols>
          <w:pgMar w:left="1080" w:top="89" w:right="1099" w:bottom="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762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016115" cy="76200"/>
                    </a:xfrm>
                    <a:prstGeom prst="rect">
                      <a:avLst/>
                    </a:prstGeom>
                    <a:noFill/>
                  </pic:spPr>
                </pic:pic>
              </a:graphicData>
            </a:graphic>
          </wp:anchor>
        </w:drawing>
      </w:r>
    </w:p>
    <w:p>
      <w:pPr>
        <w:sectPr>
          <w:pgSz w:w="11900" w:h="16838" w:orient="portrait"/>
          <w:cols w:equalWidth="0" w:num="1">
            <w:col w:w="9720"/>
          </w:cols>
          <w:pgMar w:left="1080" w:top="89" w:right="1099" w:bottom="81" w:gutter="0" w:footer="0" w:header="0"/>
          <w:type w:val="continuous"/>
        </w:sectPr>
      </w:pPr>
    </w:p>
    <w:bookmarkStart w:id="167" w:name="page168"/>
    <w:bookmarkEnd w:id="167"/>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9858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016115" cy="8985885"/>
                    </a:xfrm>
                    <a:prstGeom prst="rect">
                      <a:avLst/>
                    </a:prstGeom>
                    <a:noFill/>
                  </pic:spPr>
                </pic:pic>
              </a:graphicData>
            </a:graphic>
          </wp:anchor>
        </w:drawing>
      </w:r>
    </w:p>
    <w:p>
      <w:pPr>
        <w:ind w:right="80"/>
        <w:spacing w:after="0" w:line="266" w:lineRule="auto"/>
        <w:rPr>
          <w:sz w:val="20"/>
          <w:szCs w:val="20"/>
          <w:color w:val="auto"/>
        </w:rPr>
      </w:pPr>
      <w:r>
        <w:rPr>
          <w:rFonts w:ascii="Times New Roman" w:cs="Times New Roman" w:eastAsia="Times New Roman" w:hAnsi="Times New Roman"/>
          <w:sz w:val="18"/>
          <w:szCs w:val="18"/>
          <w:color w:val="auto"/>
        </w:rPr>
        <w:t>exchange for a discount on future services to be received from the CROs, a prepaid expense asset was also recognized for the difference between the derecognized asset carrying value and new asset fair value, and spread over the term of the advance (equal to the period of service) in a similar manner.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recovery dates of these advances are spread from 2026 to 2030.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risk related to these advances is deemed insignificant due to the CROs' credit ratings.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2023, other investments consist of 6-month term deposits that do not qualify for a classification under cash and cash equivalents.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other investments consist of 9-month and 12-month term deposits that do not qualify for a classification under cash and cash equivalents.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the Paris and Boston offices lease contracts, the ATM Program deposit, as well as other security deposits.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receivables and other assets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Other receivables and other assets break down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4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RECEIVABLES AND ASSETS</w:t>
            </w: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1"/>
        </w:trPr>
        <w:tc>
          <w:tcPr>
            <w:tcW w:w="4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Prepaid expenses - non current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21"/>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other non-current assets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2,320</w:t>
            </w: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948</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r>
      <w:tr>
        <w:trPr>
          <w:trHeight w:val="211"/>
        </w:trPr>
        <w:tc>
          <w:tcPr>
            <w:tcW w:w="4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tax credit ("CIR")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w:t>
            </w:r>
          </w:p>
        </w:tc>
      </w:tr>
      <w:tr>
        <w:trPr>
          <w:trHeight w:val="221"/>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VAT receivables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6,870</w:t>
            </w:r>
          </w:p>
        </w:tc>
      </w:tr>
      <w:tr>
        <w:trPr>
          <w:trHeight w:val="211"/>
        </w:trPr>
        <w:tc>
          <w:tcPr>
            <w:tcW w:w="4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Prepaid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r>
      <w:tr>
        <w:trPr>
          <w:trHeight w:val="221"/>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Employee-related receivables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211"/>
        </w:trPr>
        <w:tc>
          <w:tcPr>
            <w:tcW w:w="4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Credit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other receivables and assets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24,845</w:t>
            </w:r>
          </w:p>
        </w:tc>
        <w:tc>
          <w:tcPr>
            <w:tcW w:w="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18,896</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13,144</w:t>
            </w:r>
          </w:p>
        </w:tc>
      </w:tr>
      <w:tr>
        <w:trPr>
          <w:trHeight w:val="169"/>
        </w:trPr>
        <w:tc>
          <w:tcPr>
            <w:tcW w:w="4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Other receivables and assets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27,164</w:t>
            </w: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19,843</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13,769</w:t>
            </w:r>
          </w:p>
        </w:tc>
      </w:tr>
      <w:tr>
        <w:trPr>
          <w:trHeight w:val="20"/>
        </w:trPr>
        <w:tc>
          <w:tcPr>
            <w:tcW w:w="4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tax credit (“CIR”)</w:t>
      </w:r>
    </w:p>
    <w:p>
      <w:pPr>
        <w:spacing w:after="0" w:line="9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CIR is recognized as Other Operating Income (see note 4.9) in the year to which the eligible research expense relates. The Group received the payments of the CIR for 2023 and 2024 tax years in the amount of respectively €4,493 thousand and €5,640 thousand in respectively 2024 and 2025 and expects to receive the CIR for the 2025 tax year of €3,196 thousand in 2026.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VAT Receivables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Value-added tax (“VAT”) receivables relate primarily to the deductible VAT and VAT refunds claimed.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w:t>
      </w:r>
    </w:p>
    <w:p>
      <w:pPr>
        <w:spacing w:after="0" w:line="22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 xml:space="preserve">Prepaid expenses as of December 31, 2023 include prepaid expenses related to CRO contracts for an amount of €1,347 thousand (see Note 9) and deferred transactions costs related to tranches B and C of the Kreos / Claret financings for an amount of €3,152 thousand (most of which represents the issuance date fair value of the tranche A-B and C Kreos / Claret BSA, representing origination fees for the future drawdowns of the tranches B and C of the Kreos / Claret Financing, See Note 15.1) and other expenses from various </w:t>
      </w:r>
      <w:r>
        <w:rPr>
          <w:rFonts w:ascii="Times New Roman" w:cs="Times New Roman" w:eastAsia="Times New Roman" w:hAnsi="Times New Roman"/>
          <w:sz w:val="18"/>
          <w:szCs w:val="18"/>
          <w:color w:val="auto"/>
          <w:highlight w:val="white"/>
        </w:rPr>
        <w:t>suppliers amounting to €3,567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4478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701611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Prepaid expenses as of December 31, 2024 include prepaid expenses related to CRO contracts for an amount of €1,577 thousand (see Note 9) </w:t>
      </w:r>
      <w:r>
        <w:rPr>
          <w:rFonts w:ascii="Times New Roman" w:cs="Times New Roman" w:eastAsia="Times New Roman" w:hAnsi="Times New Roman"/>
          <w:sz w:val="18"/>
          <w:szCs w:val="18"/>
          <w:color w:val="auto"/>
          <w:highlight w:val="white"/>
        </w:rPr>
        <w:t>and other expenses from various suppliers amounting to €2,604 thousand.</w:t>
      </w:r>
    </w:p>
    <w:p>
      <w:pPr>
        <w:spacing w:after="0" w:line="14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decrease in prepaid expenses over the year ended December 31, 2024 mainly corresponds to the reclassification of the deferred transaction costs of tranche B of the Kreos / Claret Financing, from prepaid expenses to a reduction of the initial carrying value of the</w:t>
      </w:r>
    </w:p>
    <w:p>
      <w:pPr>
        <w:sectPr>
          <w:pgSz w:w="11900" w:h="16963" w:orient="portrait"/>
          <w:cols w:equalWidth="0" w:num="1">
            <w:col w:w="9620"/>
          </w:cols>
          <w:pgMar w:left="1080" w:top="1255" w:right="1199" w:bottom="0" w:gutter="0" w:footer="0" w:header="0"/>
        </w:sectPr>
      </w:pPr>
    </w:p>
    <w:bookmarkStart w:id="168" w:name="page169"/>
    <w:bookmarkEnd w:id="168"/>
    <w:p>
      <w:pPr>
        <w:spacing w:after="0" w:line="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tranche B debt component, in accordance with the effective interest rate method, for an amount of €1,546 thousand, and to the amortization of the deferred transaction costs related to tranche C (already fully amortized on the date of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-270510</wp:posOffset>
            </wp:positionV>
            <wp:extent cx="7016115" cy="76142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016115" cy="7614285"/>
                    </a:xfrm>
                    <a:prstGeom prst="rect">
                      <a:avLst/>
                    </a:prstGeom>
                    <a:noFill/>
                  </pic:spPr>
                </pic:pic>
              </a:graphicData>
            </a:graphic>
          </wp:anchor>
        </w:drawing>
      </w:r>
    </w:p>
    <w:p>
      <w:pPr>
        <w:spacing w:after="0" w:line="1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Prepaid expenses as of December 31, 2025 include prepaid expenses related to CRO contracts for an amount of €1,068 thousand (see Note 9) and other expenses from various suppliers amounting to €2,207 thousand.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Cash and cash equivalents</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Cash and cash equivalents break down as follows:</w:t>
      </w: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43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3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1"/>
        </w:trPr>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18,105</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87,265</w:t>
            </w: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478,541</w:t>
            </w:r>
          </w:p>
        </w:tc>
      </w:tr>
      <w:tr>
        <w:trPr>
          <w:trHeight w:val="228"/>
        </w:trPr>
        <w:tc>
          <w:tcPr>
            <w:tcW w:w="4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233,837</w:t>
            </w:r>
          </w:p>
        </w:tc>
        <w:tc>
          <w:tcPr>
            <w:tcW w:w="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56,956</w:t>
            </w:r>
          </w:p>
        </w:tc>
        <w:tc>
          <w:tcPr>
            <w:tcW w:w="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38,144</w:t>
            </w:r>
          </w:p>
        </w:tc>
      </w:tr>
      <w:tr>
        <w:trPr>
          <w:trHeight w:val="163"/>
        </w:trPr>
        <w:tc>
          <w:tcPr>
            <w:tcW w:w="4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251,942</w:t>
            </w:r>
          </w:p>
        </w:tc>
        <w:tc>
          <w:tcPr>
            <w:tcW w:w="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144,221</w:t>
            </w:r>
          </w:p>
        </w:tc>
        <w:tc>
          <w:tcPr>
            <w:tcW w:w="6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516,685</w:t>
            </w:r>
          </w:p>
        </w:tc>
      </w:tr>
      <w:tr>
        <w:trPr>
          <w:trHeight w:val="21"/>
        </w:trPr>
        <w:tc>
          <w:tcPr>
            <w:tcW w:w="4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Cash equivalents mainly include term deposits with short-term maturities (measured at amortized cost) and highly liquid investments in mutual funds and structured notes (measured at fair value through profit or loss) denominated in euros and U.S. dollars.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2024 and 2025, in addition to the Group’s bank accounts, cash includes notice accounts amounting to</w:t>
      </w:r>
    </w:p>
    <w:p>
      <w:pPr>
        <w:spacing w:after="0" w:line="1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€231,562 thousand, €44,239 thousand and €5,744 thousand respectively. These funds are available on demand within 24 hours and without penalty.</w:t>
      </w:r>
    </w:p>
    <w:p>
      <w:pPr>
        <w:spacing w:after="0" w:line="18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cash and cash equivalents over the year ended December 31, 2025 is mainly explained by the proceeds from the Offering completed on July 28, 2025 (see Note 3.3 - </w:t>
      </w:r>
      <w:r>
        <w:rPr>
          <w:rFonts w:ascii="Times New Roman" w:cs="Times New Roman" w:eastAsia="Times New Roman" w:hAnsi="Times New Roman"/>
          <w:sz w:val="18"/>
          <w:szCs w:val="18"/>
          <w:i w:val="1"/>
          <w:iCs w:val="1"/>
          <w:color w:val="auto"/>
        </w:rPr>
        <w:t>Completion of a public offering – July 2025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As of December 31, 2023, 2024 and 2025, the impact of the revaluation of cash and cash equivalents held in U.S. dollars by the Company into the its functional currency (euro) is a net financial expense of €3,196 thousand, a net financial income of €2,035 thousand and a net financial expense of €8,639 thousand respectively.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assets and liabilities</w:t>
      </w:r>
    </w:p>
    <w:p>
      <w:pPr>
        <w:spacing w:after="0" w:line="148" w:lineRule="exact"/>
        <w:rPr>
          <w:sz w:val="20"/>
          <w:szCs w:val="20"/>
          <w:color w:val="auto"/>
        </w:rPr>
      </w:pPr>
    </w:p>
    <w:p>
      <w:pPr>
        <w:ind w:left="140" w:right="800"/>
        <w:spacing w:after="0" w:line="261" w:lineRule="auto"/>
        <w:rPr>
          <w:sz w:val="20"/>
          <w:szCs w:val="20"/>
          <w:color w:val="auto"/>
        </w:rPr>
      </w:pPr>
      <w:r>
        <w:rPr>
          <w:rFonts w:ascii="Times New Roman" w:cs="Times New Roman" w:eastAsia="Times New Roman" w:hAnsi="Times New Roman"/>
          <w:sz w:val="18"/>
          <w:szCs w:val="18"/>
          <w:color w:val="231F20"/>
        </w:rPr>
        <w:t>The following table shows the carrying amounts and fair value of financial assets and financial liabilities, including their levels in the fair value hierarchy.</w:t>
      </w:r>
    </w:p>
    <w:p>
      <w:pPr>
        <w:ind w:left="140" w:right="680"/>
        <w:spacing w:after="0" w:line="260" w:lineRule="auto"/>
        <w:rPr>
          <w:sz w:val="20"/>
          <w:szCs w:val="20"/>
          <w:color w:val="auto"/>
        </w:rPr>
      </w:pPr>
      <w:r>
        <w:rPr>
          <w:rFonts w:ascii="Times New Roman" w:cs="Times New Roman" w:eastAsia="Times New Roman" w:hAnsi="Times New Roman"/>
          <w:sz w:val="18"/>
          <w:szCs w:val="18"/>
          <w:color w:val="231F20"/>
        </w:rPr>
        <w:t>Tax and employee-related payables are non-financial liabilities and are therefore excluded from the tables below. They are presented in Note 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819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7016115" cy="281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40" w:type="dxa"/>
            <w:vAlign w:val="bottom"/>
          </w:tcPr>
          <w:p>
            <w:pPr>
              <w:spacing w:after="0"/>
              <w:rPr>
                <w:sz w:val="15"/>
                <w:szCs w:val="15"/>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AT FAIR</w:t>
            </w: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240" w:type="dxa"/>
            <w:vAlign w:val="bottom"/>
          </w:tcPr>
          <w:p>
            <w:pPr>
              <w:spacing w:after="0"/>
              <w:rPr>
                <w:sz w:val="15"/>
                <w:szCs w:val="15"/>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24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ASSETS AT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6"/>
        </w:trPr>
        <w:tc>
          <w:tcPr>
            <w:tcW w:w="32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FINANCIAL</w:t>
            </w:r>
          </w:p>
        </w:tc>
        <w:tc>
          <w:tcPr>
            <w:tcW w:w="124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AMORTIZED</w:t>
            </w: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assets (2)</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22,055</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22,394</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22,394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 and assets (2)</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27,164</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27,164</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27,164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251,942</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251,942</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251,942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financial assets</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301,161</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301,500</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301,500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liabilities—non-current portion (4, Note 15)</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39,697</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40,622</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18,506</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liabilities—current portion (3, Note 15)</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37,348</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37,348</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11,531</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Trade payables and other current liabilities (3)</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47,221</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47,221</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47,221</w:t>
            </w:r>
          </w:p>
        </w:tc>
        <w:tc>
          <w:tcPr>
            <w:tcW w:w="0" w:type="dxa"/>
            <w:vAlign w:val="bottom"/>
          </w:tcPr>
          <w:p>
            <w:pPr>
              <w:spacing w:after="0"/>
              <w:rPr>
                <w:sz w:val="1"/>
                <w:szCs w:val="1"/>
                <w:color w:val="auto"/>
              </w:rPr>
            </w:pPr>
          </w:p>
        </w:tc>
      </w:tr>
    </w:tbl>
    <w:p>
      <w:pPr>
        <w:sectPr>
          <w:pgSz w:w="11900" w:h="16868" w:orient="portrait"/>
          <w:cols w:equalWidth="0" w:num="1">
            <w:col w:w="9620"/>
          </w:cols>
          <w:pgMar w:left="1080" w:top="108" w:right="1199" w:bottom="0" w:gutter="0" w:footer="0" w:header="0"/>
        </w:sectPr>
      </w:pPr>
    </w:p>
    <w:bookmarkStart w:id="169" w:name="page170"/>
    <w:bookmarkEnd w:id="169"/>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124,266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125,191</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30,037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95,154</w:t>
            </w:r>
          </w:p>
        </w:tc>
        <w:tc>
          <w:tcPr>
            <w:tcW w:w="20" w:type="dxa"/>
            <w:vAlign w:val="bottom"/>
          </w:tcPr>
          <w:p>
            <w:pPr>
              <w:spacing w:after="0"/>
              <w:rPr>
                <w:sz w:val="13"/>
                <w:szCs w:val="13"/>
                <w:color w:val="auto"/>
              </w:rPr>
            </w:pPr>
          </w:p>
        </w:tc>
      </w:tr>
      <w:tr>
        <w:trPr>
          <w:trHeight w:val="70"/>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5"/>
          </w:tcPr>
          <w:p>
            <w:pPr>
              <w:jc w:val="center"/>
              <w:ind w:right="100"/>
              <w:spacing w:after="0" w:line="70" w:lineRule="exact"/>
              <w:rPr>
                <w:sz w:val="20"/>
                <w:szCs w:val="20"/>
                <w:color w:val="auto"/>
              </w:rPr>
            </w:pPr>
            <w:r>
              <w:rPr>
                <w:rFonts w:ascii="Times New Roman" w:cs="Times New Roman" w:eastAsia="Times New Roman" w:hAnsi="Times New Roman"/>
                <w:sz w:val="8"/>
                <w:szCs w:val="8"/>
                <w:b w:val="1"/>
                <w:bCs w:val="1"/>
                <w:color w:val="auto"/>
              </w:rPr>
              <w:t>AS OF</w:t>
            </w: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FAIR</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ASSETS AT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FINANCIAL</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AMORTIZED</w:t>
            </w:r>
          </w:p>
        </w:tc>
      </w:tr>
      <w:tr>
        <w:trPr>
          <w:trHeight w:val="195"/>
        </w:trPr>
        <w:tc>
          <w:tcPr>
            <w:tcW w:w="20" w:type="dxa"/>
            <w:vAlign w:val="bottom"/>
          </w:tcPr>
          <w:p>
            <w:pPr>
              <w:spacing w:after="0"/>
              <w:rPr>
                <w:sz w:val="16"/>
                <w:szCs w:val="16"/>
                <w:color w:val="auto"/>
              </w:rPr>
            </w:pPr>
          </w:p>
        </w:tc>
        <w:tc>
          <w:tcPr>
            <w:tcW w:w="3400" w:type="dxa"/>
            <w:vAlign w:val="bottom"/>
          </w:tcPr>
          <w:p>
            <w:pPr>
              <w:ind w:left="78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r>
      <w:tr>
        <w:trPr>
          <w:trHeight w:val="201"/>
        </w:trPr>
        <w:tc>
          <w:tcPr>
            <w:tcW w:w="20" w:type="dxa"/>
            <w:vAlign w:val="bottom"/>
          </w:tcPr>
          <w:p>
            <w:pPr>
              <w:spacing w:after="0"/>
              <w:rPr>
                <w:sz w:val="17"/>
                <w:szCs w:val="17"/>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financial assets (2)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2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receivables and assets (2)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20" w:type="dxa"/>
            <w:vAlign w:val="bottom"/>
            <w:shd w:val="clear" w:color="auto" w:fill="CCEEFF"/>
          </w:tcPr>
          <w:p>
            <w:pPr>
              <w:spacing w:after="0"/>
              <w:rPr>
                <w:sz w:val="19"/>
                <w:szCs w:val="19"/>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(1)</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144,221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144,221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0" w:type="dxa"/>
            <w:vAlign w:val="bottom"/>
          </w:tcPr>
          <w:p>
            <w:pPr>
              <w:spacing w:after="0"/>
              <w:rPr>
                <w:sz w:val="14"/>
                <w:szCs w:val="1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financial assets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177,537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176,754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176,754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Financial liabilities—non-current portion (4, Note 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69,877</w:t>
            </w:r>
          </w:p>
        </w:tc>
        <w:tc>
          <w:tcPr>
            <w:tcW w:w="2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Financial liabilities—current portion (3, Note 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44,935</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21,183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23,752</w:t>
            </w:r>
          </w:p>
        </w:tc>
        <w:tc>
          <w:tcPr>
            <w:tcW w:w="20" w:type="dxa"/>
            <w:vAlign w:val="bottom"/>
          </w:tcPr>
          <w:p>
            <w:pPr>
              <w:spacing w:after="0"/>
              <w:rPr>
                <w:sz w:val="18"/>
                <w:szCs w:val="18"/>
                <w:color w:val="auto"/>
              </w:rPr>
            </w:pPr>
          </w:p>
        </w:tc>
      </w:tr>
      <w:tr>
        <w:trPr>
          <w:trHeight w:val="221"/>
        </w:trPr>
        <w:tc>
          <w:tcPr>
            <w:tcW w:w="20" w:type="dxa"/>
            <w:vAlign w:val="bottom"/>
            <w:shd w:val="clear" w:color="auto" w:fill="CCEEFF"/>
          </w:tcPr>
          <w:p>
            <w:pPr>
              <w:spacing w:after="0"/>
              <w:rPr>
                <w:sz w:val="19"/>
                <w:szCs w:val="19"/>
                <w:color w:val="auto"/>
              </w:rPr>
            </w:pP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payables and other current liabilities (3)</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43,824</w:t>
            </w:r>
          </w:p>
        </w:tc>
        <w:tc>
          <w:tcPr>
            <w:tcW w:w="20" w:type="dxa"/>
            <w:vAlign w:val="bottom"/>
            <w:tcBorders>
              <w:bottom w:val="single" w:sz="8" w:color="auto"/>
            </w:tcBorders>
            <w:shd w:val="clear" w:color="auto" w:fill="CCEEFF"/>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157,828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162,256</w:t>
            </w:r>
          </w:p>
        </w:tc>
        <w:tc>
          <w:tcPr>
            <w:tcW w:w="60" w:type="dxa"/>
            <w:vAlign w:val="bottom"/>
            <w:gridSpan w:val="2"/>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24,803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gridSpan w:val="2"/>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137,453</w:t>
            </w:r>
          </w:p>
        </w:tc>
        <w:tc>
          <w:tcPr>
            <w:tcW w:w="20" w:type="dxa"/>
            <w:vAlign w:val="bottom"/>
            <w:tcBorders>
              <w:bottom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FAIR</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 AT</w:t>
            </w:r>
          </w:p>
        </w:tc>
        <w:tc>
          <w:tcPr>
            <w:tcW w:w="2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FINANCIAL</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AMORTIZED</w:t>
            </w:r>
          </w:p>
        </w:tc>
      </w:tr>
      <w:tr>
        <w:trPr>
          <w:trHeight w:val="187"/>
        </w:trPr>
        <w:tc>
          <w:tcPr>
            <w:tcW w:w="20" w:type="dxa"/>
            <w:vAlign w:val="bottom"/>
          </w:tcPr>
          <w:p>
            <w:pPr>
              <w:spacing w:after="0"/>
              <w:rPr>
                <w:sz w:val="16"/>
                <w:szCs w:val="16"/>
                <w:color w:val="auto"/>
              </w:rPr>
            </w:pPr>
          </w:p>
        </w:tc>
        <w:tc>
          <w:tcPr>
            <w:tcW w:w="34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COST</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financial assets (2)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receivables and assets (2)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20" w:type="dxa"/>
            <w:vAlign w:val="bottom"/>
          </w:tcPr>
          <w:p>
            <w:pPr>
              <w:spacing w:after="0"/>
              <w:rPr>
                <w:sz w:val="19"/>
                <w:szCs w:val="19"/>
                <w:color w:val="auto"/>
              </w:rPr>
            </w:pPr>
          </w:p>
        </w:tc>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(1)</w:t>
            </w: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437,031</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79,654</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assets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557,226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557,595</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437,031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Financial liabilities—non-current portion (4, Note 15)</w:t>
            </w: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102,555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102,555</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liabilities—current portion (3, Note 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payables and other current liabilities (3)</w:t>
            </w: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20" w:type="dxa"/>
            <w:vAlign w:val="bottom"/>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69,644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141,409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141,409</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-4791075</wp:posOffset>
            </wp:positionV>
            <wp:extent cx="7016115" cy="62426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016115" cy="6242685"/>
                    </a:xfrm>
                    <a:prstGeom prst="rect">
                      <a:avLst/>
                    </a:prstGeom>
                    <a:noFill/>
                  </pic:spPr>
                </pic:pic>
              </a:graphicData>
            </a:graphic>
          </wp:anchor>
        </w:drawing>
      </w:r>
    </w:p>
    <w:p>
      <w:pPr>
        <w:spacing w:after="0" w:line="232" w:lineRule="exact"/>
        <w:rPr>
          <w:sz w:val="20"/>
          <w:szCs w:val="20"/>
          <w:color w:val="auto"/>
        </w:rPr>
      </w:pPr>
    </w:p>
    <w:p>
      <w:pPr>
        <w:ind w:right="480" w:firstLine="4"/>
        <w:spacing w:after="0" w:line="282" w:lineRule="auto"/>
        <w:tabs>
          <w:tab w:leader="none" w:pos="4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cash and cash equivalents is determined based on Level 1 fair value measurement and corresponds to the market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41910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016115" cy="419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firstLine="4"/>
        <w:spacing w:after="0" w:line="247" w:lineRule="auto"/>
        <w:tabs>
          <w:tab w:leader="none" w:pos="4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financial assets measured at amortized cost is deemed to be a reasonable estimate of fair value, except for the long-term advances made to CROs, whose fair value is determined based on Level 3 fair value measurement and is estimated based on future cash-flows discounted at market rates, using credit spreads ranging from 104 bp to 218 bp as of December 31, 2023, 131 bp to 271 bp as of December 31, 2024 and 34 bp to 131 bp as of December 31, 2025. As of December 31, 2023, 2024, and 2025, an increase in the credit spread by +100 bp would result in a decrease in the advances fair value by €23 thousand, €235 thousand, and €231 thousand, respectively.</w:t>
      </w:r>
    </w:p>
    <w:p>
      <w:pPr>
        <w:spacing w:after="0" w:line="166" w:lineRule="exact"/>
        <w:rPr>
          <w:rFonts w:ascii="Times New Roman" w:cs="Times New Roman" w:eastAsia="Times New Roman" w:hAnsi="Times New Roman"/>
          <w:sz w:val="18"/>
          <w:szCs w:val="18"/>
          <w:color w:val="auto"/>
        </w:rPr>
      </w:pPr>
    </w:p>
    <w:p>
      <w:pPr>
        <w:ind w:right="280" w:firstLine="4"/>
        <w:spacing w:after="0" w:line="282" w:lineRule="auto"/>
        <w:tabs>
          <w:tab w:leader="none" w:pos="4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short-term financial liabilities measured at amortized cost was deemed to be a reasonable estimate of fair value.</w:t>
      </w:r>
    </w:p>
    <w:p>
      <w:pPr>
        <w:spacing w:after="0" w:line="161" w:lineRule="exact"/>
        <w:rPr>
          <w:rFonts w:ascii="Times New Roman" w:cs="Times New Roman" w:eastAsia="Times New Roman" w:hAnsi="Times New Roman"/>
          <w:sz w:val="18"/>
          <w:szCs w:val="18"/>
          <w:color w:val="auto"/>
        </w:rPr>
      </w:pPr>
    </w:p>
    <w:p>
      <w:pPr>
        <w:jc w:val="both"/>
        <w:ind w:firstLine="4"/>
        <w:spacing w:after="0" w:line="261" w:lineRule="auto"/>
        <w:tabs>
          <w:tab w:leader="none" w:pos="4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royalty certificates, Heights convertible notes, Kreos / Claret BSA and Minimum Return Indemnifications is based on Level 3 fair value measurement and is estimated based on models and assumptions detailed in Note 15. The fair value of other long-term financial liabilities is determined based on Level 3 fair value measurement and is estimated based on future cash-flows discounted at market rates, using the following assumptions:</w:t>
      </w:r>
    </w:p>
    <w:p>
      <w:pPr>
        <w:spacing w:after="0" w:line="179" w:lineRule="exact"/>
        <w:rPr>
          <w:rFonts w:ascii="Times New Roman" w:cs="Times New Roman" w:eastAsia="Times New Roman" w:hAnsi="Times New Roman"/>
          <w:sz w:val="18"/>
          <w:szCs w:val="18"/>
          <w:color w:val="auto"/>
        </w:rPr>
      </w:pPr>
    </w:p>
    <w:p>
      <w:pPr>
        <w:ind w:left="660" w:right="60" w:hanging="332"/>
        <w:spacing w:after="0" w:line="257"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debt components of the Kreos / Claret OCABSA (tranche A) and the tranches B and C of the Kreos / Claret straight bond loans, a credit spread of 960 bp as of August 22, 2023, 900 bp as of December 31, 2023 and 750 bp as of December 31, 2024.</w:t>
      </w:r>
    </w:p>
    <w:p>
      <w:pPr>
        <w:spacing w:after="0" w:line="1" w:lineRule="exact"/>
        <w:rPr>
          <w:rFonts w:ascii="Times New Roman" w:cs="Times New Roman" w:eastAsia="Times New Roman" w:hAnsi="Times New Roman"/>
          <w:sz w:val="18"/>
          <w:szCs w:val="18"/>
          <w:color w:val="auto"/>
        </w:rPr>
      </w:pPr>
    </w:p>
    <w:p>
      <w:pPr>
        <w:ind w:left="6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22, 2023, December 31, 2023 (tranche A) and December 31, 2024 (all three tranches), an increase in the credit spread by +100 bp would result in a decrease in the Kreos / Claret debt components fair value by respectively €624 thousand, €538 thousand and €958 thousand.</w:t>
      </w:r>
    </w:p>
    <w:p>
      <w:pPr>
        <w:spacing w:after="0" w:line="185" w:lineRule="exact"/>
        <w:rPr>
          <w:rFonts w:ascii="Times New Roman" w:cs="Times New Roman" w:eastAsia="Times New Roman" w:hAnsi="Times New Roman"/>
          <w:sz w:val="18"/>
          <w:szCs w:val="18"/>
          <w:color w:val="auto"/>
        </w:rPr>
      </w:pPr>
    </w:p>
    <w:p>
      <w:pPr>
        <w:ind w:left="660" w:right="680" w:hanging="332"/>
        <w:spacing w:after="0" w:line="261" w:lineRule="auto"/>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conditional advances and the PGE loan, a credit spread of 900 bp as of December 31, 2023, and 730 bp as of December 31, 2024. An increase in the credit spread by +100 bp would result in the following:</w:t>
      </w:r>
    </w:p>
    <w:p>
      <w:pPr>
        <w:ind w:left="1060" w:hanging="327"/>
        <w:spacing w:after="0"/>
        <w:tabs>
          <w:tab w:leader="none" w:pos="10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2024, a decrease in the PGE loan fair value by €39 thousand and €21 thousand</w:t>
      </w:r>
    </w:p>
    <w:p>
      <w:pPr>
        <w:sectPr>
          <w:pgSz w:w="11900" w:h="16896" w:orient="portrait"/>
          <w:cols w:equalWidth="0" w:num="1">
            <w:col w:w="9720"/>
          </w:cols>
          <w:pgMar w:left="1080" w:top="100" w:right="1099" w:bottom="0" w:gutter="0" w:footer="0" w:header="0"/>
        </w:sectPr>
      </w:pPr>
    </w:p>
    <w:bookmarkStart w:id="170" w:name="page171"/>
    <w:bookmarkEnd w:id="170"/>
    <w:p>
      <w:pPr>
        <w:ind w:left="1060"/>
        <w:spacing w:after="0"/>
        <w:rPr>
          <w:sz w:val="20"/>
          <w:szCs w:val="20"/>
          <w:color w:val="auto"/>
        </w:rPr>
      </w:pPr>
      <w:r>
        <w:rPr>
          <w:rFonts w:ascii="Times New Roman" w:cs="Times New Roman" w:eastAsia="Times New Roman" w:hAnsi="Times New Roman"/>
          <w:sz w:val="18"/>
          <w:szCs w:val="18"/>
          <w:color w:val="auto"/>
        </w:rPr>
        <w:t>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48710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7016115" cy="4871085"/>
                    </a:xfrm>
                    <a:prstGeom prst="rect">
                      <a:avLst/>
                    </a:prstGeom>
                    <a:noFill/>
                  </pic:spPr>
                </pic:pic>
              </a:graphicData>
            </a:graphic>
          </wp:anchor>
        </w:drawing>
      </w:r>
    </w:p>
    <w:p>
      <w:pPr>
        <w:spacing w:after="0" w:line="8" w:lineRule="exact"/>
        <w:rPr>
          <w:sz w:val="20"/>
          <w:szCs w:val="20"/>
          <w:color w:val="auto"/>
        </w:rPr>
      </w:pPr>
    </w:p>
    <w:p>
      <w:pPr>
        <w:ind w:left="1060" w:hanging="327"/>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 decrease in the RNP-VIR conditional advance fair value by €15 thousand.</w:t>
      </w:r>
    </w:p>
    <w:p>
      <w:pPr>
        <w:spacing w:after="0" w:line="9"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 decrease in the CARENA conditional advance fair value by €37 thousand.</w:t>
      </w:r>
    </w:p>
    <w:p>
      <w:pPr>
        <w:spacing w:after="0" w:line="9"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 decrease in the Ebola conditional advance fair value by €1 thousand.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13.1. Share capital issued</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The Group manages its capital to ensure that the Group will be able to continue as a going concern while maximizing the return to shareholders through the optimization of the debt and equity balance.</w:t>
      </w:r>
    </w:p>
    <w:p>
      <w:pPr>
        <w:spacing w:after="0" w:line="16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As of December 31, 2023, the Group’s share capital amounted to €629 thousand divided into 62,928,818 ordinary shares issued with a par value of €0.01 each, fully paid up, after taking into account the various capital increases that took place since the inception (see Note 13.2).</w:t>
      </w:r>
    </w:p>
    <w:p>
      <w:pPr>
        <w:spacing w:after="0" w:line="1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of December 31, 2024, the Group’s share capital amounted to €633 thousand divided into 63,347,837 ordinary shares issued with a par value of €0.01 each, fully paid up, after taking into account the various capital increases that took place since the inception (see Note 13.2).</w:t>
      </w:r>
    </w:p>
    <w:p>
      <w:pPr>
        <w:spacing w:after="0" w:line="15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December 31, 2025, the Group’s share capital amounted to €785 thousand divided into 78,536,412 ordinary shares issued with a par value of €0.01 each, fully paid up, after taking into account the various capital increases that took place since inception (see Note 13.2).</w:t>
      </w:r>
    </w:p>
    <w:p>
      <w:pPr>
        <w:spacing w:after="0" w:line="17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231F20"/>
        </w:rPr>
        <w:t>Share capital does not include founders’ share subscription warrants (“Bons de souscription de parts de créateur d’entreprise” or “BCE”), share subscription warrants (“Bons de souscription d’actions,” or “BSA”) and free shares (“Attributions gratuites d’actions,” or “AGA”) that have been granted to certain investors or natural persons, both employees and non-employees of the Group, but not yet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5626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016115" cy="556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Treasury shares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Group held 11,339 of its own shares as of December 31, 2023. The Group held none of its own shares as of December 31, 2024 and December 31, 2025.</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number of outstanding ordinary shares (excluding treasury shares held by the Group) was 62,928,818, 63,347,837 and 78,536,412 as of December 31, 2023, 2024 and 2025,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13.2. Change in share capital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the share capital for the year ended December 31, 2023 relate to:</w:t>
      </w:r>
    </w:p>
    <w:p>
      <w:pPr>
        <w:spacing w:after="0" w:line="104" w:lineRule="exact"/>
        <w:rPr>
          <w:sz w:val="20"/>
          <w:szCs w:val="20"/>
          <w:color w:val="auto"/>
        </w:rPr>
      </w:pPr>
    </w:p>
    <w:p>
      <w:pPr>
        <w:ind w:left="660" w:right="80" w:hanging="332"/>
        <w:spacing w:after="0" w:line="250"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capital increase of €130,000 thousand on February 22, 2023 by issuing 20,000,000 new ordinary shares with a par value of €0.01 per share and a subscription price of €6.50 per share;</w:t>
      </w:r>
    </w:p>
    <w:p>
      <w:pPr>
        <w:spacing w:after="0" w:line="68" w:lineRule="exact"/>
        <w:rPr>
          <w:rFonts w:ascii="Times New Roman" w:cs="Times New Roman" w:eastAsia="Times New Roman" w:hAnsi="Times New Roman"/>
          <w:sz w:val="18"/>
          <w:szCs w:val="18"/>
          <w:color w:val="auto"/>
        </w:rPr>
      </w:pPr>
    </w:p>
    <w:p>
      <w:pPr>
        <w:ind w:left="660" w:right="100" w:hanging="332"/>
        <w:spacing w:after="0" w:line="250"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cash-less exercise of 67,887 Kreos A BSA and 31,696 Kreos B BSA on </w:t>
      </w:r>
      <w:r>
        <w:rPr>
          <w:rFonts w:ascii="Times New Roman" w:cs="Times New Roman" w:eastAsia="Times New Roman" w:hAnsi="Times New Roman"/>
          <w:sz w:val="18"/>
          <w:szCs w:val="18"/>
          <w:color w:val="auto"/>
          <w:highlight w:val="white"/>
        </w:rPr>
        <w:t>May 24, 20</w:t>
      </w:r>
      <w:r>
        <w:rPr>
          <w:rFonts w:ascii="Times New Roman" w:cs="Times New Roman" w:eastAsia="Times New Roman" w:hAnsi="Times New Roman"/>
          <w:sz w:val="18"/>
          <w:szCs w:val="18"/>
          <w:color w:val="auto"/>
        </w:rPr>
        <w:t>23, resulting in a capital increase of €1,850 thousand by issuing 99,583 ordinary shares with a par value of €0.01 per share and an average subscription price of €18.57 per share, which includes the impact of the derecognition of the BSA derivative financial liability; and</w:t>
      </w:r>
    </w:p>
    <w:p>
      <w:pPr>
        <w:spacing w:after="0" w:line="68" w:lineRule="exact"/>
        <w:rPr>
          <w:rFonts w:ascii="Times New Roman" w:cs="Times New Roman" w:eastAsia="Times New Roman" w:hAnsi="Times New Roman"/>
          <w:sz w:val="18"/>
          <w:szCs w:val="18"/>
          <w:color w:val="auto"/>
        </w:rPr>
      </w:pPr>
    </w:p>
    <w:p>
      <w:pPr>
        <w:ind w:left="660" w:right="60" w:hanging="332"/>
        <w:spacing w:after="0" w:line="24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Group’s Global Offering on the Nasdaq Global Market on October 24, 2023, by way of a capital increase of 20,325,500 new ordinary shares, consisting of the U.S. Offering of 18,699,460 ordinary shares in the form of ADSs, and the European Private Placement of 1,626,040 ordinary shares, with a par value of €0.01 per share and an offering price set at $11.60 per ADS in the U.S. Offering and a corresponding offering price of €10.9864 per ordinary share in the European Private Placement.</w:t>
      </w:r>
    </w:p>
    <w:p>
      <w:pPr>
        <w:spacing w:after="0" w:line="76" w:lineRule="exact"/>
        <w:rPr>
          <w:rFonts w:ascii="Times New Roman" w:cs="Times New Roman" w:eastAsia="Times New Roman" w:hAnsi="Times New Roman"/>
          <w:sz w:val="18"/>
          <w:szCs w:val="18"/>
          <w:color w:val="auto"/>
        </w:rPr>
      </w:pPr>
    </w:p>
    <w:p>
      <w:pPr>
        <w:ind w:left="660" w:right="300" w:hanging="33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1,906 other share warrants, by issuing 190,550 ordinary shares with a par value of €0.01 per share and an average subscription price of €0.01 per share (see Note 14).</w:t>
      </w:r>
    </w:p>
    <w:p>
      <w:pPr>
        <w:spacing w:after="0" w:line="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Incremental costs directly attributable to the issue of new shares, including underwriting commissions and offering expenses related to the Global Offering, were classified as a deduction of shareholders’ equity and amounted to €28,111 thousand for the period ended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the share capital for the year ended December 31, 2024 relate to:</w:t>
      </w:r>
    </w:p>
    <w:p>
      <w:pPr>
        <w:ind w:left="660" w:hanging="332"/>
        <w:spacing w:after="0" w:line="230" w:lineRule="auto"/>
        <w:tabs>
          <w:tab w:leader="none" w:pos="660" w:val="left"/>
        </w:tabs>
        <w:numPr>
          <w:ilvl w:val="0"/>
          <w:numId w:val="139"/>
        </w:numPr>
        <w:rPr>
          <w:rFonts w:ascii="Arial" w:cs="Arial" w:eastAsia="Arial" w:hAnsi="Arial"/>
          <w:sz w:val="22"/>
          <w:szCs w:val="22"/>
          <w:color w:val="auto"/>
        </w:rPr>
      </w:pPr>
      <w:r>
        <w:rPr>
          <w:rFonts w:ascii="Times New Roman" w:cs="Times New Roman" w:eastAsia="Times New Roman" w:hAnsi="Times New Roman"/>
          <w:sz w:val="18"/>
          <w:szCs w:val="18"/>
          <w:color w:val="auto"/>
        </w:rPr>
        <w:t>the issue and subscription by members of the Board of Directors of 77,820 share warrants, with a subscription price of €2.57</w:t>
      </w:r>
    </w:p>
    <w:p>
      <w:pPr>
        <w:sectPr>
          <w:pgSz w:w="11900" w:h="16838" w:orient="portrait"/>
          <w:cols w:equalWidth="0" w:num="1">
            <w:col w:w="9680"/>
          </w:cols>
          <w:pgMar w:left="1080" w:top="108" w:right="1139" w:bottom="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each (see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-86360</wp:posOffset>
            </wp:positionV>
            <wp:extent cx="7016115" cy="34994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016115" cy="3499485"/>
                    </a:xfrm>
                    <a:prstGeom prst="rect">
                      <a:avLst/>
                    </a:prstGeom>
                    <a:noFill/>
                  </pic:spPr>
                </pic:pic>
              </a:graphicData>
            </a:graphic>
          </wp:anchor>
        </w:drawing>
      </w:r>
    </w:p>
    <w:p>
      <w:pPr>
        <w:ind w:left="320"/>
        <w:spacing w:after="0" w:line="203" w:lineRule="auto"/>
        <w:tabs>
          <w:tab w:leader="none" w:pos="640" w:val="left"/>
        </w:tabs>
        <w:rPr>
          <w:sz w:val="20"/>
          <w:szCs w:val="20"/>
          <w:color w:val="auto"/>
        </w:rPr>
      </w:pPr>
      <w:r>
        <w:rPr>
          <w:rFonts w:ascii="Arial" w:cs="Arial" w:eastAsia="Arial" w:hAnsi="Arial"/>
          <w:sz w:val="22"/>
          <w:szCs w:val="22"/>
          <w:color w:val="auto"/>
        </w:rPr>
        <w:t>•</w:t>
      </w:r>
      <w:r>
        <w:rPr>
          <w:sz w:val="20"/>
          <w:szCs w:val="20"/>
          <w:color w:val="auto"/>
        </w:rPr>
        <w:tab/>
      </w:r>
      <w:r>
        <w:rPr>
          <w:rFonts w:ascii="Times New Roman" w:cs="Times New Roman" w:eastAsia="Times New Roman" w:hAnsi="Times New Roman"/>
          <w:sz w:val="18"/>
          <w:szCs w:val="18"/>
          <w:color w:val="auto"/>
        </w:rPr>
        <w:t>a credit note received for transaction fees related to the Global Offering, amounting to €446 thousand and classified in the</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 premiums; and</w:t>
      </w:r>
    </w:p>
    <w:p>
      <w:pPr>
        <w:spacing w:after="0" w:line="8" w:lineRule="exact"/>
        <w:rPr>
          <w:sz w:val="20"/>
          <w:szCs w:val="20"/>
          <w:color w:val="auto"/>
        </w:rPr>
      </w:pPr>
    </w:p>
    <w:p>
      <w:pPr>
        <w:ind w:left="660" w:right="540" w:hanging="339"/>
        <w:spacing w:after="0" w:line="244" w:lineRule="auto"/>
        <w:tabs>
          <w:tab w:leader="none" w:pos="640" w:val="left"/>
        </w:tabs>
        <w:rPr>
          <w:sz w:val="20"/>
          <w:szCs w:val="20"/>
          <w:color w:val="auto"/>
        </w:rPr>
      </w:pPr>
      <w:r>
        <w:rPr>
          <w:rFonts w:ascii="Arial" w:cs="Arial" w:eastAsia="Arial" w:hAnsi="Arial"/>
          <w:sz w:val="22"/>
          <w:szCs w:val="22"/>
          <w:color w:val="auto"/>
        </w:rPr>
        <w:t>•</w:t>
      </w:r>
      <w:r>
        <w:rPr>
          <w:sz w:val="20"/>
          <w:szCs w:val="20"/>
          <w:color w:val="auto"/>
        </w:rPr>
        <w:tab/>
      </w:r>
      <w:r>
        <w:rPr>
          <w:rFonts w:ascii="Times New Roman" w:cs="Times New Roman" w:eastAsia="Times New Roman" w:hAnsi="Times New Roman"/>
          <w:sz w:val="18"/>
          <w:szCs w:val="18"/>
          <w:color w:val="auto"/>
        </w:rPr>
        <w:t>the exercise of 4,000 other share warrants, by issuing 4,000 ordinary shares with a par value of €0.01 per share and an average subscription price of €11.14 per share (see Note 14).</w:t>
      </w:r>
    </w:p>
    <w:p>
      <w:pPr>
        <w:spacing w:after="0" w:line="27"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7"/>
          <w:szCs w:val="17"/>
          <w:color w:val="auto"/>
        </w:rPr>
        <w:t>•</w:t>
        <w:tab/>
        <w:t>the issue of 415,019 vested free shares, as part of the AGA plans issued by the Group to certain of its officers and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the share capital for the year ended December 31, 2025 relate to:</w:t>
      </w:r>
    </w:p>
    <w:p>
      <w:pPr>
        <w:ind w:left="660" w:hanging="332"/>
        <w:spacing w:after="0" w:line="230" w:lineRule="auto"/>
        <w:tabs>
          <w:tab w:leader="none" w:pos="660" w:val="left"/>
        </w:tabs>
        <w:numPr>
          <w:ilvl w:val="0"/>
          <w:numId w:val="140"/>
        </w:numPr>
        <w:rPr>
          <w:rFonts w:ascii="Arial" w:cs="Arial" w:eastAsia="Arial" w:hAnsi="Arial"/>
          <w:sz w:val="22"/>
          <w:szCs w:val="22"/>
          <w:color w:val="auto"/>
        </w:rPr>
      </w:pPr>
      <w:r>
        <w:rPr>
          <w:rFonts w:ascii="Times New Roman" w:cs="Times New Roman" w:eastAsia="Times New Roman" w:hAnsi="Times New Roman"/>
          <w:sz w:val="18"/>
          <w:szCs w:val="18"/>
          <w:color w:val="auto"/>
        </w:rPr>
        <w:t>the completion of the July 28, 2025 Offering, by issuing 11,679,400 ADSs at a price of $64.00 per ADS (corresponding to</w:t>
      </w:r>
    </w:p>
    <w:p>
      <w:pPr>
        <w:spacing w:after="0" w:line="16" w:lineRule="exact"/>
        <w:rPr>
          <w:rFonts w:ascii="Arial" w:cs="Arial" w:eastAsia="Arial" w:hAnsi="Arial"/>
          <w:sz w:val="22"/>
          <w:szCs w:val="22"/>
          <w:color w:val="auto"/>
        </w:rPr>
      </w:pPr>
    </w:p>
    <w:p>
      <w:pPr>
        <w:ind w:left="660"/>
        <w:spacing w:after="0" w:line="290" w:lineRule="auto"/>
        <w:rPr>
          <w:rFonts w:ascii="Arial" w:cs="Arial" w:eastAsia="Arial" w:hAnsi="Arial"/>
          <w:sz w:val="22"/>
          <w:szCs w:val="22"/>
          <w:color w:val="auto"/>
        </w:rPr>
      </w:pPr>
      <w:r>
        <w:rPr>
          <w:rFonts w:ascii="Times New Roman" w:cs="Times New Roman" w:eastAsia="Times New Roman" w:hAnsi="Times New Roman"/>
          <w:sz w:val="18"/>
          <w:szCs w:val="18"/>
          <w:color w:val="auto"/>
        </w:rPr>
        <w:t>€54.58 per ordinary share, based on the exchange rate of €1.00 = $1.1726 as published by the European Central Bank on July 23, 2025);</w:t>
      </w:r>
    </w:p>
    <w:p>
      <w:pPr>
        <w:spacing w:after="0" w:line="6" w:lineRule="exact"/>
        <w:rPr>
          <w:rFonts w:ascii="Arial" w:cs="Arial" w:eastAsia="Arial" w:hAnsi="Arial"/>
          <w:sz w:val="22"/>
          <w:szCs w:val="22"/>
          <w:color w:val="auto"/>
        </w:rPr>
      </w:pPr>
    </w:p>
    <w:p>
      <w:pPr>
        <w:ind w:left="660" w:right="100" w:hanging="332"/>
        <w:spacing w:after="0" w:line="261"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150 and 200 of Heights notes on respectively July 23 and July 30, 2025 (corresponding to the entirety of the outstanding principal amount of €21.9 million). This conversion resulted in the issuance of 920,377 new ordinary shares of the Group at a conversion price of €23.7674 per ordinary share in accordance with the terms and conditions of the convertible notes;</w:t>
      </w:r>
    </w:p>
    <w:p>
      <w:pPr>
        <w:spacing w:after="0" w:line="17" w:lineRule="exact"/>
        <w:rPr>
          <w:rFonts w:ascii="Times New Roman" w:cs="Times New Roman" w:eastAsia="Times New Roman" w:hAnsi="Times New Roman"/>
          <w:sz w:val="18"/>
          <w:szCs w:val="18"/>
          <w:color w:val="auto"/>
        </w:rPr>
      </w:pPr>
    </w:p>
    <w:p>
      <w:pPr>
        <w:jc w:val="both"/>
        <w:ind w:left="660" w:right="160" w:hanging="332"/>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August 8, 2025, by Kreos Capital VII (UK) Limited of its portion of the Tranche A of the Kreos / Claret Financing (the Kreos OCABSA), at a conversion price of €21.2209, resulting in the issuance of 785,389 ordinary shares of the Group,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9342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7016115" cy="693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40" w:hanging="332"/>
        <w:spacing w:after="0" w:line="281"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on July 30, 2025, by Kreos Capital VII Aggregator SCSp of its share warrants (the tranche A-B Kreos BSA and tranche C Kreos BSA) resulting in the issuance of 319,251 ordinary shares of the Group;</w:t>
      </w:r>
    </w:p>
    <w:p>
      <w:pPr>
        <w:spacing w:after="0" w:line="1" w:lineRule="exact"/>
        <w:rPr>
          <w:rFonts w:ascii="Times New Roman" w:cs="Times New Roman" w:eastAsia="Times New Roman" w:hAnsi="Times New Roman"/>
          <w:sz w:val="18"/>
          <w:szCs w:val="18"/>
          <w:color w:val="auto"/>
        </w:rPr>
      </w:pPr>
    </w:p>
    <w:p>
      <w:pPr>
        <w:ind w:left="660" w:right="160" w:hanging="332"/>
        <w:spacing w:after="0" w:line="281"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on August 28, 2025, by Claret European Growth Capital Fund III SCSp of its share warrants (the tranche A-B Claret BSA and tranche C Claret BSA) resulting in the issuance of 206,662 ordinary shares of the Group;</w:t>
      </w:r>
    </w:p>
    <w:p>
      <w:pPr>
        <w:spacing w:after="0" w:line="1" w:lineRule="exact"/>
        <w:rPr>
          <w:rFonts w:ascii="Times New Roman" w:cs="Times New Roman" w:eastAsia="Times New Roman" w:hAnsi="Times New Roman"/>
          <w:sz w:val="18"/>
          <w:szCs w:val="18"/>
          <w:color w:val="auto"/>
        </w:rPr>
      </w:pPr>
    </w:p>
    <w:p>
      <w:pPr>
        <w:ind w:left="660" w:right="40" w:hanging="332"/>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November 25, 2025, by Claret European Growth Capital Fund III SCSp of its portion of the Tranche A of the Kreos / Claret Financing (the Claret OCABSA), at a conversion price of €21.2209, resulting in the issuance of 392,695 ordinary shares of the Group.</w:t>
      </w:r>
    </w:p>
    <w:p>
      <w:pPr>
        <w:spacing w:after="0" w:line="13"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of 627,714 vested free shares, as part of the AGA plans issued by the Group to certain of its officers and employees;</w:t>
      </w:r>
    </w:p>
    <w:p>
      <w:pPr>
        <w:spacing w:after="0" w:line="88" w:lineRule="exact"/>
        <w:rPr>
          <w:rFonts w:ascii="Times New Roman" w:cs="Times New Roman" w:eastAsia="Times New Roman" w:hAnsi="Times New Roman"/>
          <w:sz w:val="17"/>
          <w:szCs w:val="17"/>
          <w:color w:val="auto"/>
        </w:rPr>
      </w:pPr>
    </w:p>
    <w:p>
      <w:pPr>
        <w:ind w:left="660" w:right="180" w:hanging="332"/>
        <w:spacing w:after="0" w:line="260" w:lineRule="auto"/>
        <w:tabs>
          <w:tab w:leader="none" w:pos="660" w:val="left"/>
        </w:tabs>
        <w:numPr>
          <w:ilvl w:val="0"/>
          <w:numId w:val="141"/>
        </w:numPr>
        <w:rPr>
          <w:rFonts w:ascii="Arial" w:cs="Arial" w:eastAsia="Arial" w:hAnsi="Arial"/>
          <w:sz w:val="22"/>
          <w:szCs w:val="22"/>
          <w:color w:val="auto"/>
        </w:rPr>
      </w:pPr>
      <w:r>
        <w:rPr>
          <w:rFonts w:ascii="Times New Roman" w:cs="Times New Roman" w:eastAsia="Times New Roman" w:hAnsi="Times New Roman"/>
          <w:sz w:val="18"/>
          <w:szCs w:val="18"/>
          <w:color w:val="auto"/>
        </w:rPr>
        <w:t>the exercise of 257,087 other share warrants, by issuing 257,087 ordinary shares with a par value of €0.01 per share and an average subscription price of €13.02 per share (see Note 14).</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of dividends</w:t>
      </w:r>
    </w:p>
    <w:p>
      <w:pPr>
        <w:spacing w:after="0" w:line="20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Group did not distribute any dividends for any of the periods presented, does not have any present plan to pay any cash dividends on its equity securities in the foreseeable future and currently intends to retain all available funds and any future earnings to operate and expand our business.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payments</w:t>
      </w:r>
    </w:p>
    <w:p>
      <w:pPr>
        <w:spacing w:after="0" w:line="25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Group has granted BCEs, BSAs and free shares (</w:t>
      </w:r>
      <w:r>
        <w:rPr>
          <w:rFonts w:ascii="Times New Roman" w:cs="Times New Roman" w:eastAsia="Times New Roman" w:hAnsi="Times New Roman"/>
          <w:sz w:val="18"/>
          <w:szCs w:val="18"/>
          <w:i w:val="1"/>
          <w:iCs w:val="1"/>
          <w:color w:val="auto"/>
        </w:rPr>
        <w:t>attributions gratuites d’actions</w:t>
      </w:r>
      <w:r>
        <w:rPr>
          <w:rFonts w:ascii="Times New Roman" w:cs="Times New Roman" w:eastAsia="Times New Roman" w:hAnsi="Times New Roman"/>
          <w:sz w:val="18"/>
          <w:szCs w:val="18"/>
          <w:color w:val="auto"/>
        </w:rPr>
        <w:t>, or “AGAs”). These plans qualify as “equity settled” under IFRS 2. The Group does not have any obligation to purchase these instruments in the event of departure or if a specific event does not occur.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methods of BCEs, BSAs and AGAs</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share-based awards was determined at grant date using the Black Scholes model for the BCEs and BSAs and the Monte-Carlo simulation for AGAs plans with market performance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the instruments are presented below and include:</w:t>
      </w:r>
    </w:p>
    <w:p>
      <w:pPr>
        <w:spacing w:after="0" w:line="198" w:lineRule="exact"/>
        <w:rPr>
          <w:sz w:val="20"/>
          <w:szCs w:val="20"/>
          <w:color w:val="auto"/>
        </w:rPr>
      </w:pPr>
    </w:p>
    <w:p>
      <w:pPr>
        <w:ind w:left="660" w:hanging="33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maturity of the options;</w:t>
      </w:r>
    </w:p>
    <w:p>
      <w:pPr>
        <w:spacing w:after="0" w:line="15" w:lineRule="exact"/>
        <w:rPr>
          <w:rFonts w:ascii="Times New Roman" w:cs="Times New Roman" w:eastAsia="Times New Roman" w:hAnsi="Times New Roman"/>
          <w:sz w:val="18"/>
          <w:szCs w:val="18"/>
          <w:color w:val="auto"/>
        </w:rPr>
      </w:pPr>
    </w:p>
    <w:p>
      <w:pPr>
        <w:ind w:left="660" w:hanging="222"/>
        <w:spacing w:after="0" w:line="234"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based on the historical market share price available;</w:t>
      </w:r>
    </w:p>
    <w:p>
      <w:pPr>
        <w:ind w:left="660" w:hanging="222"/>
        <w:spacing w:after="0" w:line="219"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based on management best estimate;</w:t>
      </w:r>
    </w:p>
    <w:p>
      <w:pPr>
        <w:ind w:left="660" w:hanging="222"/>
        <w:spacing w:after="0" w:line="234"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based on French OAT rates measured at grant dates;</w:t>
      </w:r>
    </w:p>
    <w:p>
      <w:pPr>
        <w:ind w:left="660" w:right="200" w:hanging="222"/>
        <w:spacing w:after="0" w:line="239" w:lineRule="auto"/>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including offered in case of change of control (only for the market conditions applicable to the free-share plan AGA 2023-1), is based on Monte-Carlo simulations and taking into account a change of control premium based on the management best estimate.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BCEs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summarize the data relating to BCEs as well as the assumptions used for the measurement thereof in accordance with IFRS 2 –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ectPr>
          <w:pgSz w:w="11900" w:h="16838" w:orient="portrait"/>
          <w:cols w:equalWidth="0" w:num="1">
            <w:col w:w="9680"/>
          </w:cols>
          <w:pgMar w:left="1080" w:top="69" w:right="1139" w:bottom="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1278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701611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8305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016115" cy="8305800"/>
                    </a:xfrm>
                    <a:prstGeom prst="rect">
                      <a:avLst/>
                    </a:prstGeom>
                    <a:noFill/>
                  </pic:spPr>
                </pic:pic>
              </a:graphicData>
            </a:graphic>
          </wp:anchor>
        </w:drawing>
      </w:r>
    </w:p>
    <w:p>
      <w:pPr>
        <w:sectPr>
          <w:pgSz w:w="11900" w:h="16838" w:orient="portrait"/>
          <w:cols w:equalWidth="0" w:num="1">
            <w:col w:w="9660"/>
          </w:cols>
          <w:pgMar w:left="1080" w:top="144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BCEs</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BCEs</w:t>
            </w: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BCE</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ISSUED</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OF LAPSED</w:t>
            </w: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IF</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w:t>
            </w:r>
          </w:p>
        </w:tc>
        <w:tc>
          <w:tcPr>
            <w:tcW w:w="9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BCEs</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BCEs</w:t>
            </w:r>
          </w:p>
        </w:tc>
        <w:tc>
          <w:tcPr>
            <w:tcW w:w="9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81"/>
        </w:trPr>
        <w:tc>
          <w:tcPr>
            <w:tcW w:w="840" w:type="dxa"/>
            <w:vAlign w:val="bottom"/>
            <w:vMerge w:val="continue"/>
          </w:tcPr>
          <w:p>
            <w:pPr>
              <w:spacing w:after="0"/>
              <w:rPr>
                <w:sz w:val="7"/>
                <w:szCs w:val="7"/>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BCEs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 BCEs</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ING</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BLE</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ATE</w:t>
            </w:r>
          </w:p>
        </w:tc>
        <w:tc>
          <w:tcPr>
            <w:tcW w:w="9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ING AS OF</w:t>
            </w: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w:t>
            </w:r>
          </w:p>
        </w:tc>
        <w:tc>
          <w:tcPr>
            <w:tcW w:w="0" w:type="dxa"/>
            <w:vAlign w:val="bottom"/>
          </w:tcPr>
          <w:p>
            <w:pPr>
              <w:spacing w:after="0"/>
              <w:rPr>
                <w:sz w:val="1"/>
                <w:szCs w:val="1"/>
                <w:color w:val="auto"/>
              </w:rPr>
            </w:pPr>
          </w:p>
        </w:tc>
      </w:tr>
      <w:tr>
        <w:trPr>
          <w:trHeight w:val="68"/>
        </w:trPr>
        <w:tc>
          <w:tcPr>
            <w:tcW w:w="8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NS ARE</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1, 2025</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w:t>
            </w:r>
          </w:p>
        </w:tc>
        <w:tc>
          <w:tcPr>
            <w:tcW w:w="0" w:type="dxa"/>
            <w:vAlign w:val="bottom"/>
          </w:tcPr>
          <w:p>
            <w:pPr>
              <w:spacing w:after="0"/>
              <w:rPr>
                <w:sz w:val="1"/>
                <w:szCs w:val="1"/>
                <w:color w:val="auto"/>
              </w:rPr>
            </w:pPr>
          </w:p>
        </w:tc>
      </w:tr>
      <w:tr>
        <w:trPr>
          <w:trHeight w:val="255"/>
        </w:trPr>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80" w:type="dxa"/>
            <w:vAlign w:val="bottom"/>
            <w:gridSpan w:val="6"/>
            <w:vMerge w:val="continue"/>
          </w:tcPr>
          <w:p>
            <w:pPr>
              <w:spacing w:after="0"/>
              <w:rPr>
                <w:sz w:val="9"/>
                <w:szCs w:val="9"/>
                <w:color w:val="auto"/>
              </w:rPr>
            </w:pPr>
          </w:p>
        </w:tc>
        <w:tc>
          <w:tcPr>
            <w:tcW w:w="2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80" w:type="dxa"/>
            <w:vAlign w:val="bottom"/>
            <w:gridSpan w:val="2"/>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2016-11-07   BCE-2016-1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2017-01-23   BCE-2017-1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67,374</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67,000</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(33,313)</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0" w:type="dxa"/>
            <w:vAlign w:val="bottom"/>
          </w:tcPr>
          <w:p>
            <w:pPr>
              <w:spacing w:after="0"/>
              <w:rPr>
                <w:sz w:val="1"/>
                <w:szCs w:val="1"/>
                <w:color w:val="auto"/>
              </w:rPr>
            </w:pPr>
          </w:p>
        </w:tc>
      </w:tr>
      <w:tr>
        <w:trPr>
          <w:trHeight w:val="221"/>
        </w:trPr>
        <w:tc>
          <w:tcPr>
            <w:tcW w:w="1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2017-11-20   BCE-2017-2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211"/>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2017-11-20   BCE-2017-4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67,374</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67,373</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(33,686)</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0" w:type="dxa"/>
            <w:vAlign w:val="bottom"/>
          </w:tcPr>
          <w:p>
            <w:pPr>
              <w:spacing w:after="0"/>
              <w:rPr>
                <w:sz w:val="1"/>
                <w:szCs w:val="1"/>
                <w:color w:val="auto"/>
              </w:rPr>
            </w:pPr>
          </w:p>
        </w:tc>
      </w:tr>
      <w:tr>
        <w:trPr>
          <w:trHeight w:val="221"/>
        </w:trPr>
        <w:tc>
          <w:tcPr>
            <w:tcW w:w="1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2017-11-20   BCE-2017-5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67,374</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(16,843)</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16,844</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16,844</w:t>
            </w:r>
          </w:p>
        </w:tc>
        <w:tc>
          <w:tcPr>
            <w:tcW w:w="0" w:type="dxa"/>
            <w:vAlign w:val="bottom"/>
          </w:tcPr>
          <w:p>
            <w:pPr>
              <w:spacing w:after="0"/>
              <w:rPr>
                <w:sz w:val="1"/>
                <w:szCs w:val="1"/>
                <w:color w:val="auto"/>
              </w:rPr>
            </w:pPr>
          </w:p>
        </w:tc>
      </w:tr>
      <w:tr>
        <w:trPr>
          <w:trHeight w:val="211"/>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2018-03-15   BCE-2018-1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221"/>
        </w:trPr>
        <w:tc>
          <w:tcPr>
            <w:tcW w:w="1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2018-05-14   BCE-2018-4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16,843</w:t>
            </w: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16,843</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0" w:type="dxa"/>
            <w:vAlign w:val="bottom"/>
          </w:tcPr>
          <w:p>
            <w:pPr>
              <w:spacing w:after="0"/>
              <w:rPr>
                <w:sz w:val="1"/>
                <w:szCs w:val="1"/>
                <w:color w:val="auto"/>
              </w:rPr>
            </w:pPr>
          </w:p>
        </w:tc>
      </w:tr>
      <w:tr>
        <w:trPr>
          <w:trHeight w:val="211"/>
        </w:trPr>
        <w:tc>
          <w:tcPr>
            <w:tcW w:w="17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2018-05-14   BCE-2018-5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BCEs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496,965</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330,179</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(122,500)</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207,679</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157,148</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207,679</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The BCEs include a service condition under which the beneficiary must still be an employee, a corporate officer or a scientific consultant of the Group at the time of vesting.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rights for most of the BCEs are vested annually and have the following vesting terms:</w:t>
      </w:r>
    </w:p>
    <w:p>
      <w:pPr>
        <w:spacing w:after="0" w:line="198" w:lineRule="exact"/>
        <w:rPr>
          <w:sz w:val="20"/>
          <w:szCs w:val="20"/>
          <w:color w:val="auto"/>
        </w:rPr>
      </w:pPr>
    </w:p>
    <w:p>
      <w:pPr>
        <w:ind w:left="660" w:hanging="33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award vests on the first anniversary of the date of grant for all currently issued BCEs; and</w:t>
      </w:r>
    </w:p>
    <w:p>
      <w:pPr>
        <w:spacing w:after="0" w:line="27" w:lineRule="exact"/>
        <w:rPr>
          <w:rFonts w:ascii="Times New Roman" w:cs="Times New Roman" w:eastAsia="Times New Roman" w:hAnsi="Times New Roman"/>
          <w:sz w:val="18"/>
          <w:szCs w:val="18"/>
          <w:color w:val="auto"/>
        </w:rPr>
      </w:pPr>
    </w:p>
    <w:p>
      <w:pPr>
        <w:ind w:left="660" w:hanging="332"/>
        <w:spacing w:after="0" w:line="204" w:lineRule="auto"/>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remaining 75% of the award, the BCEs vest 1/48th per month over four years from the anniversary date of the grant.</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Most of the BCEs plans include or partially include non-market performance conditions (obtaining financing of €100 million, positive results on clinic studies, signature of informed consent in a clinical phase, signing a license agreement, FDA authorization). The level of achievement of the non-market performance conditions are taken into account in determining the number of BCEs allocated initially and reassessed at each closing date.</w:t>
      </w:r>
    </w:p>
    <w:p>
      <w:pPr>
        <w:spacing w:after="0" w:line="16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the event of a change of control or a M&amp;A transaction, all the BCEs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BSAs</w:t>
      </w:r>
    </w:p>
    <w:p>
      <w:pPr>
        <w:spacing w:after="0" w:line="5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231F20"/>
        </w:rPr>
        <w:t>The following tables summarize the data relating to BSAs as well as the assumptions used for the measurement thereof in accordance with IFRS 2—</w:t>
      </w:r>
      <w:r>
        <w:rPr>
          <w:rFonts w:ascii="Times New Roman" w:cs="Times New Roman" w:eastAsia="Times New Roman" w:hAnsi="Times New Roman"/>
          <w:sz w:val="18"/>
          <w:szCs w:val="18"/>
          <w:i w:val="1"/>
          <w:iCs w:val="1"/>
          <w:color w:val="231F20"/>
        </w:rPr>
        <w:t>Share-based Payment</w:t>
      </w:r>
      <w:r>
        <w:rPr>
          <w:rFonts w:ascii="Times New Roman" w:cs="Times New Roman" w:eastAsia="Times New Roman" w:hAnsi="Times New Roman"/>
          <w:sz w:val="18"/>
          <w:szCs w:val="18"/>
          <w:color w:val="231F20"/>
        </w:rPr>
        <w:t>:</w:t>
      </w:r>
    </w:p>
    <w:p>
      <w:pPr>
        <w:sectPr>
          <w:pgSz w:w="11900" w:h="16838" w:orient="portrait"/>
          <w:cols w:equalWidth="0" w:num="1">
            <w:col w:w="9660"/>
          </w:cols>
          <w:pgMar w:left="1080" w:top="1440" w:right="1159" w:bottom="1440" w:gutter="0" w:footer="0" w:header="0"/>
          <w:type w:val="continuous"/>
        </w:sectPr>
      </w:pPr>
    </w:p>
    <w:bookmarkStart w:id="173" w:name="page174"/>
    <w:bookmarkEnd w:id="173"/>
    <w:p>
      <w:pPr>
        <w:jc w:val="center"/>
        <w:ind w:right="-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562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016115" cy="756285"/>
                    </a:xfrm>
                    <a:prstGeom prst="rect">
                      <a:avLst/>
                    </a:prstGeom>
                    <a:noFill/>
                  </pic:spPr>
                </pic:pic>
              </a:graphicData>
            </a:graphic>
          </wp:anchor>
        </w:drawing>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90735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00"/>
          </w:cols>
          <w:pgMar w:left="1080" w:top="877" w:right="1119" w:bottom="7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ISSUED</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OF LAPSED</w:t>
            </w: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IF</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w:t>
            </w:r>
          </w:p>
        </w:tc>
        <w:tc>
          <w:tcPr>
            <w:tcW w:w="1040" w:type="dxa"/>
            <w:vAlign w:val="bottom"/>
          </w:tcPr>
          <w:p>
            <w:pPr>
              <w:spacing w:after="0"/>
              <w:rPr>
                <w:sz w:val="7"/>
                <w:szCs w:val="7"/>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BSAs</w:t>
            </w: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BSAs</w:t>
            </w: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 BSAs</w:t>
            </w: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ING</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BLE</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TE</w:t>
            </w:r>
          </w:p>
        </w:tc>
        <w:tc>
          <w:tcPr>
            <w:tcW w:w="1040" w:type="dxa"/>
            <w:vAlign w:val="bottom"/>
            <w:vMerge w:val="continue"/>
          </w:tcPr>
          <w:p>
            <w:pPr>
              <w:spacing w:after="0"/>
              <w:rPr>
                <w:sz w:val="10"/>
                <w:szCs w:val="10"/>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BSAs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ING AS OF</w:t>
            </w: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w:t>
            </w:r>
          </w:p>
        </w:tc>
        <w:tc>
          <w:tcPr>
            <w:tcW w:w="0" w:type="dxa"/>
            <w:vAlign w:val="bottom"/>
          </w:tcPr>
          <w:p>
            <w:pPr>
              <w:spacing w:after="0"/>
              <w:rPr>
                <w:sz w:val="1"/>
                <w:szCs w:val="1"/>
                <w:color w:val="auto"/>
              </w:rPr>
            </w:pPr>
          </w:p>
        </w:tc>
      </w:tr>
      <w:tr>
        <w:trPr>
          <w:trHeight w:val="39"/>
        </w:trPr>
        <w:tc>
          <w:tcPr>
            <w:tcW w:w="9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NS ARE</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1, 2025</w:t>
            </w:r>
          </w:p>
        </w:tc>
        <w:tc>
          <w:tcPr>
            <w:tcW w:w="290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2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00" w:type="dxa"/>
            <w:vAlign w:val="bottom"/>
            <w:gridSpan w:val="2"/>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2015-12-04BSA-2015-11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96,924</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(96,924)</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2015-12-04BSA-2015-12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2017-09-18BSA-2017-1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2018-01-22BSA-2018-1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0" w:type="dxa"/>
            <w:vAlign w:val="bottom"/>
          </w:tcPr>
          <w:p>
            <w:pPr>
              <w:spacing w:after="0"/>
              <w:rPr>
                <w:sz w:val="1"/>
                <w:szCs w:val="1"/>
                <w:color w:val="auto"/>
              </w:rPr>
            </w:pPr>
          </w:p>
        </w:tc>
      </w:tr>
      <w:tr>
        <w:trPr>
          <w:trHeight w:val="221"/>
        </w:trPr>
        <w:tc>
          <w:tcPr>
            <w:tcW w:w="2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2024-04-04BSA-2024-1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58,365</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53,502</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9,726</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53,502</w:t>
            </w:r>
          </w:p>
        </w:tc>
        <w:tc>
          <w:tcPr>
            <w:tcW w:w="0" w:type="dxa"/>
            <w:vAlign w:val="bottom"/>
          </w:tcPr>
          <w:p>
            <w:pPr>
              <w:spacing w:after="0"/>
              <w:rPr>
                <w:sz w:val="1"/>
                <w:szCs w:val="1"/>
                <w:color w:val="auto"/>
              </w:rPr>
            </w:pPr>
          </w:p>
        </w:tc>
      </w:tr>
      <w:tr>
        <w:trPr>
          <w:trHeight w:val="211"/>
        </w:trPr>
        <w:tc>
          <w:tcPr>
            <w:tcW w:w="2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2024-04-04BSA-2024-2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19,455</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19,455</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19,455</w:t>
            </w:r>
          </w:p>
        </w:tc>
        <w:tc>
          <w:tcPr>
            <w:tcW w:w="0" w:type="dxa"/>
            <w:vAlign w:val="bottom"/>
          </w:tcPr>
          <w:p>
            <w:pPr>
              <w:spacing w:after="0"/>
              <w:rPr>
                <w:sz w:val="1"/>
                <w:szCs w:val="1"/>
                <w:color w:val="auto"/>
              </w:rPr>
            </w:pPr>
          </w:p>
        </w:tc>
      </w:tr>
      <w:tr>
        <w:trPr>
          <w:trHeight w:val="221"/>
        </w:trPr>
        <w:tc>
          <w:tcPr>
            <w:tcW w:w="2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2025-01-13BSA-2025-1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1"/>
        </w:trPr>
        <w:tc>
          <w:tcPr>
            <w:tcW w:w="2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2025-01-13BSA-2025-2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08"/>
        </w:trPr>
        <w:tc>
          <w:tcPr>
            <w:tcW w:w="2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2025-04-22BSA-2025-3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39,370</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39,370</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39,370</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39,370</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 BSAs</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486,714</w:t>
            </w:r>
          </w:p>
        </w:tc>
        <w:tc>
          <w:tcPr>
            <w:tcW w:w="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223,944</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164,370</w:t>
            </w:r>
          </w:p>
        </w:tc>
        <w:tc>
          <w:tcPr>
            <w:tcW w:w="6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(134,587)</w:t>
            </w:r>
          </w:p>
        </w:tc>
        <w:tc>
          <w:tcPr>
            <w:tcW w:w="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253,727</w:t>
            </w:r>
          </w:p>
        </w:tc>
        <w:tc>
          <w:tcPr>
            <w:tcW w:w="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30,989</w:t>
            </w:r>
          </w:p>
        </w:tc>
        <w:tc>
          <w:tcPr>
            <w:tcW w:w="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253,727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BSAs issued prior to January 1, 2024</w:t>
      </w:r>
    </w:p>
    <w:p>
      <w:pPr>
        <w:spacing w:after="0" w:line="28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BSAs include a service condition under which the beneficiary must still be an employee, a corporate officer or a scientific consultant of the Group at the time of vesting.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rights for most of these BSAs are vested annually and have the following vesting terms:</w:t>
      </w:r>
    </w:p>
    <w:p>
      <w:pPr>
        <w:ind w:left="660" w:hanging="332"/>
        <w:spacing w:after="0" w:line="230" w:lineRule="auto"/>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25% of the award vests on the first anniversary of the date of grant for all currently issued BSAs; and</w:t>
      </w:r>
    </w:p>
    <w:p>
      <w:pPr>
        <w:spacing w:after="0" w:line="26" w:lineRule="exact"/>
        <w:rPr>
          <w:rFonts w:ascii="Times New Roman" w:cs="Times New Roman" w:eastAsia="Times New Roman" w:hAnsi="Times New Roman"/>
          <w:sz w:val="22"/>
          <w:szCs w:val="22"/>
          <w:color w:val="auto"/>
        </w:rPr>
      </w:pPr>
    </w:p>
    <w:p>
      <w:pPr>
        <w:ind w:left="660" w:hanging="332"/>
        <w:spacing w:after="0" w:line="206" w:lineRule="auto"/>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remaining 75% of the award, the BSAs vest 1/48th per month over four years from the anniversary date of the grant.</w:t>
      </w:r>
    </w:p>
    <w:p>
      <w:pPr>
        <w:spacing w:after="0" w:line="22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All of these BSAs plans include or partially include non-market performance conditions (positive results on clinic studies, signature of informed consent in a clinical phase, signing a license agreement, FDA authorization). The level of achievement of the non-market performance conditions are taken into account in determining the number of BSAs allocated initially and reassessed at each closing date.</w:t>
      </w:r>
    </w:p>
    <w:p>
      <w:pPr>
        <w:spacing w:after="0" w:line="1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the event of a change of control or a M&amp;A transaction, all these BSAs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BSAs granted in March 2024</w:t>
      </w:r>
    </w:p>
    <w:p>
      <w:pPr>
        <w:spacing w:after="0" w:line="2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March 2024, the Group granted its independent Board members the right to subscribe up to 77,820 share warrants (BSA) in the aggregate, the vesting of which is subject to a service condition of four years, by tranches of 25% each, vested on each anniversary date. Additionally, the BSAs are subject to a vesting acceleration condition in case of a tender offer on the securities issued by the Group and resulting in a change of control of the Group. All of the granted BSAs were subscribed by the beneficiaries in April 2024.</w:t>
      </w:r>
    </w:p>
    <w:p>
      <w:pPr>
        <w:sectPr>
          <w:pgSz w:w="11900" w:h="16838" w:orient="portrait"/>
          <w:cols w:equalWidth="0" w:num="1">
            <w:col w:w="9700"/>
          </w:cols>
          <w:pgMar w:left="1080" w:top="877" w:right="1119" w:bottom="78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521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7016115" cy="521970"/>
                    </a:xfrm>
                    <a:prstGeom prst="rect">
                      <a:avLst/>
                    </a:prstGeom>
                    <a:noFill/>
                  </pic:spPr>
                </pic:pic>
              </a:graphicData>
            </a:graphic>
          </wp:anchor>
        </w:drawing>
      </w:r>
    </w:p>
    <w:p>
      <w:pPr>
        <w:sectPr>
          <w:pgSz w:w="11900" w:h="16838" w:orient="portrait"/>
          <w:cols w:equalWidth="0" w:num="1">
            <w:col w:w="9700"/>
          </w:cols>
          <w:pgMar w:left="1080" w:top="877" w:right="1119" w:bottom="783" w:gutter="0" w:footer="0" w:header="0"/>
          <w:type w:val="continuous"/>
        </w:sectPr>
      </w:pPr>
    </w:p>
    <w:bookmarkStart w:id="174" w:name="page175"/>
    <w:bookmarkEnd w:id="174"/>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5401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016115" cy="85401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BSAs granted in January and April 2025</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January 2025, the Group granted its independent Board members, as well as one of its Board Observers and Advisor, the right to subscribe up to 125,000 BSAs in the aggregate, the vesting of which is subject to a service condition of four years, by tranches of 25% each, vested on January 1 of each year. All of the granted BSAs were subscribed by the beneficiaries in February 2025.</w:t>
      </w:r>
    </w:p>
    <w:p>
      <w:pPr>
        <w:spacing w:after="0" w:line="1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2025, the Group granted to one of its Board members the right to subscribe up to 39,370 BSAs, the vesting of which is subject to a service condition of four years, by tranches of 25% each, vested on May 1 of each year. The BSAs were subscribed in May 2025.</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the BSAs are subject to a vesting acceleration condition in case of a tender offer on the securities issued by the Group and resulting in a change of control of the Group.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BSAs was determined at grant date using the Black Scholes model, with the following assumptions: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SUBSCRIPTI</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VOLATILITY</w:t>
            </w:r>
          </w:p>
        </w:tc>
      </w:tr>
      <w:tr>
        <w:trPr>
          <w:trHeight w:val="176"/>
        </w:trPr>
        <w:tc>
          <w:tcPr>
            <w:tcW w:w="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BSA</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80" w:type="dxa"/>
            <w:vAlign w:val="bottom"/>
          </w:tcPr>
          <w:p>
            <w:pPr>
              <w:spacing w:after="0"/>
              <w:rPr>
                <w:sz w:val="15"/>
                <w:szCs w:val="15"/>
                <w:color w:val="auto"/>
              </w:rPr>
            </w:pPr>
          </w:p>
        </w:tc>
      </w:tr>
      <w:tr>
        <w:trPr>
          <w:trHeight w:val="175"/>
        </w:trPr>
        <w:tc>
          <w:tcPr>
            <w:tcW w:w="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5"/>
        </w:trPr>
        <w:tc>
          <w:tcPr>
            <w:tcW w:w="9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BSA 2024-1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€13.10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[5.4-6.9 years]</w:t>
            </w:r>
          </w:p>
        </w:tc>
        <w:tc>
          <w:tcPr>
            <w:tcW w:w="10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60.41%</w:t>
            </w:r>
          </w:p>
        </w:tc>
      </w:tr>
      <w:tr>
        <w:trPr>
          <w:trHeight w:val="211"/>
        </w:trPr>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BSA 2024-2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€14.06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19,455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€13.10</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[5.5-7.0 years]</w:t>
            </w:r>
          </w:p>
        </w:tc>
        <w:tc>
          <w:tcPr>
            <w:tcW w:w="10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60.41%</w:t>
            </w:r>
          </w:p>
        </w:tc>
      </w:tr>
      <w:tr>
        <w:trPr>
          <w:trHeight w:val="22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BSA-2025-1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[5.5-7.0 years]</w:t>
            </w:r>
          </w:p>
        </w:tc>
        <w:tc>
          <w:tcPr>
            <w:tcW w:w="10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60.88%</w:t>
            </w:r>
          </w:p>
        </w:tc>
      </w:tr>
      <w:tr>
        <w:trPr>
          <w:trHeight w:val="211"/>
        </w:trPr>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BSA-2025-2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[€3.5-€3.9]</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[5.5-7.0 years]</w:t>
            </w:r>
          </w:p>
        </w:tc>
        <w:tc>
          <w:tcPr>
            <w:tcW w:w="10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60.88%</w:t>
            </w:r>
          </w:p>
        </w:tc>
      </w:tr>
      <w:tr>
        <w:trPr>
          <w:trHeight w:val="221"/>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BSA-2025-3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[€3.7-€4.1]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39,370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[5.5- 7.0years]</w:t>
            </w:r>
          </w:p>
        </w:tc>
        <w:tc>
          <w:tcPr>
            <w:tcW w:w="10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60.69%</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AGAs</w:t>
      </w:r>
    </w:p>
    <w:p>
      <w:pPr>
        <w:spacing w:after="0" w:line="133" w:lineRule="exact"/>
        <w:rPr>
          <w:sz w:val="20"/>
          <w:szCs w:val="20"/>
          <w:color w:val="auto"/>
        </w:rPr>
      </w:pPr>
    </w:p>
    <w:p>
      <w:pPr>
        <w:ind w:left="140" w:right="800"/>
        <w:spacing w:after="0" w:line="282" w:lineRule="auto"/>
        <w:rPr>
          <w:sz w:val="20"/>
          <w:szCs w:val="20"/>
          <w:color w:val="auto"/>
        </w:rPr>
      </w:pPr>
      <w:r>
        <w:rPr>
          <w:rFonts w:ascii="Times New Roman" w:cs="Times New Roman" w:eastAsia="Times New Roman" w:hAnsi="Times New Roman"/>
          <w:sz w:val="18"/>
          <w:szCs w:val="18"/>
          <w:color w:val="231F20"/>
        </w:rPr>
        <w:t>The following tables summarize the data relating to AGAs as well as the assumptions used for the measurement thereof in accordance with IFRS 2—</w:t>
      </w:r>
      <w:r>
        <w:rPr>
          <w:rFonts w:ascii="Times New Roman" w:cs="Times New Roman" w:eastAsia="Times New Roman" w:hAnsi="Times New Roman"/>
          <w:sz w:val="18"/>
          <w:szCs w:val="18"/>
          <w:i w:val="1"/>
          <w:iCs w:val="1"/>
          <w:color w:val="231F20"/>
        </w:rPr>
        <w:t>Share-based Payment</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8935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01611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9"/>
        </w:trPr>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6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1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07/11/23</w:t>
            </w:r>
          </w:p>
        </w:tc>
        <w:tc>
          <w:tcPr>
            <w:tcW w:w="1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AGA-2023-1</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1,382,796</w:t>
            </w: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780,040</w:t>
            </w:r>
          </w:p>
        </w:tc>
        <w:tc>
          <w:tcPr>
            <w:tcW w:w="1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(230,464)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549,576</w:t>
            </w:r>
          </w:p>
        </w:tc>
      </w:tr>
    </w:tbl>
    <w:p>
      <w:pPr>
        <w:sectPr>
          <w:pgSz w:w="11900" w:h="16895" w:orient="portrait"/>
          <w:cols w:equalWidth="0" w:num="1">
            <w:col w:w="9720"/>
          </w:cols>
          <w:pgMar w:left="1080" w:top="551" w:right="1099" w:bottom="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1685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016115" cy="7168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07/11/23</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AGA-2023-2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75,000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09/28/23</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AGA-2023-3</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731,500</w:t>
            </w:r>
          </w:p>
        </w:tc>
        <w:tc>
          <w:tcPr>
            <w:tcW w:w="40" w:type="dxa"/>
            <w:vAlign w:val="bottom"/>
          </w:tcPr>
          <w:p>
            <w:pPr>
              <w:spacing w:after="0"/>
              <w:rPr>
                <w:sz w:val="12"/>
                <w:szCs w:val="12"/>
                <w:color w:val="auto"/>
              </w:rPr>
            </w:pPr>
          </w:p>
        </w:tc>
        <w:tc>
          <w:tcPr>
            <w:tcW w:w="12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485,875</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(34,750)</w:t>
            </w:r>
          </w:p>
        </w:tc>
        <w:tc>
          <w:tcPr>
            <w:tcW w:w="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(251,125)</w:t>
            </w:r>
          </w:p>
        </w:tc>
        <w:tc>
          <w:tcPr>
            <w:tcW w:w="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40"/>
        </w:trPr>
        <w:tc>
          <w:tcPr>
            <w:tcW w:w="11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200,000</w:t>
            </w:r>
          </w:p>
        </w:tc>
        <w:tc>
          <w:tcPr>
            <w:tcW w:w="0" w:type="dxa"/>
            <w:vAlign w:val="bottom"/>
          </w:tcPr>
          <w:p>
            <w:pPr>
              <w:spacing w:after="0"/>
              <w:rPr>
                <w:sz w:val="1"/>
                <w:szCs w:val="1"/>
                <w:color w:val="auto"/>
              </w:rPr>
            </w:pPr>
          </w:p>
        </w:tc>
      </w:tr>
      <w:tr>
        <w:trPr>
          <w:trHeight w:val="122"/>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09/28/23</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AGA-2023-4</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254,250</w:t>
            </w:r>
          </w:p>
        </w:tc>
        <w:tc>
          <w:tcPr>
            <w:tcW w:w="40" w:type="dxa"/>
            <w:vAlign w:val="bottom"/>
          </w:tcPr>
          <w:p>
            <w:pPr>
              <w:spacing w:after="0"/>
              <w:rPr>
                <w:sz w:val="10"/>
                <w:szCs w:val="10"/>
                <w:color w:val="auto"/>
              </w:rPr>
            </w:pPr>
          </w:p>
        </w:tc>
        <w:tc>
          <w:tcPr>
            <w:tcW w:w="12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86"/>
              </w:rPr>
              <w:t>NUMBER</w:t>
            </w:r>
            <w:r>
              <w:rPr>
                <w:rFonts w:ascii="Times New Roman" w:cs="Times New Roman" w:eastAsia="Times New Roman" w:hAnsi="Times New Roman"/>
                <w:sz w:val="14"/>
                <w:szCs w:val="14"/>
                <w:color w:val="auto"/>
                <w:w w:val="86"/>
              </w:rPr>
              <w:t>213,250</w:t>
            </w:r>
            <w:r>
              <w:rPr>
                <w:rFonts w:ascii="Times New Roman" w:cs="Times New Roman" w:eastAsia="Times New Roman" w:hAnsi="Times New Roman"/>
                <w:sz w:val="14"/>
                <w:szCs w:val="14"/>
                <w:b w:val="1"/>
                <w:bCs w:val="1"/>
                <w:color w:val="auto"/>
                <w:w w:val="86"/>
              </w:rPr>
              <w:t>OF</w:t>
            </w:r>
          </w:p>
        </w:tc>
        <w:tc>
          <w:tcPr>
            <w:tcW w:w="11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AGAs</w:t>
            </w: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ISSUED AGAs</w:t>
            </w:r>
            <w:r>
              <w:rPr>
                <w:rFonts w:ascii="Times New Roman" w:cs="Times New Roman" w:eastAsia="Times New Roman" w:hAnsi="Times New Roman"/>
                <w:sz w:val="10"/>
                <w:szCs w:val="10"/>
                <w:color w:val="auto"/>
              </w:rPr>
              <w:t>—</w:t>
            </w:r>
          </w:p>
        </w:tc>
        <w:tc>
          <w:tcPr>
            <w:tcW w:w="122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LAPSED</w:t>
            </w:r>
            <w:r>
              <w:rPr>
                <w:rFonts w:ascii="Times New Roman" w:cs="Times New Roman" w:eastAsia="Times New Roman" w:hAnsi="Times New Roman"/>
                <w:sz w:val="10"/>
                <w:szCs w:val="10"/>
                <w:color w:val="auto"/>
              </w:rPr>
              <w:t>(15,000)</w:t>
            </w:r>
            <w:r>
              <w:rPr>
                <w:rFonts w:ascii="Times New Roman" w:cs="Times New Roman" w:eastAsia="Times New Roman" w:hAnsi="Times New Roman"/>
                <w:sz w:val="10"/>
                <w:szCs w:val="10"/>
                <w:b w:val="1"/>
                <w:bCs w:val="1"/>
                <w:color w:val="auto"/>
              </w:rPr>
              <w:t>AGAs</w:t>
            </w:r>
          </w:p>
        </w:tc>
        <w:tc>
          <w:tcPr>
            <w:tcW w:w="124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0"/>
                <w:szCs w:val="10"/>
                <w:color w:val="auto"/>
              </w:rPr>
              <w:t>(108,500)</w:t>
            </w:r>
            <w:r>
              <w:rPr>
                <w:rFonts w:ascii="Times New Roman" w:cs="Times New Roman" w:eastAsia="Times New Roman" w:hAnsi="Times New Roman"/>
                <w:sz w:val="10"/>
                <w:szCs w:val="10"/>
                <w:b w:val="1"/>
                <w:bCs w:val="1"/>
                <w:color w:val="auto"/>
              </w:rPr>
              <w:t>AGAs</w:t>
            </w:r>
          </w:p>
        </w:tc>
        <w:tc>
          <w:tcPr>
            <w:tcW w:w="1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89,750</w:t>
            </w:r>
          </w:p>
        </w:tc>
        <w:tc>
          <w:tcPr>
            <w:tcW w:w="0" w:type="dxa"/>
            <w:vAlign w:val="bottom"/>
          </w:tcPr>
          <w:p>
            <w:pPr>
              <w:spacing w:after="0"/>
              <w:rPr>
                <w:sz w:val="1"/>
                <w:szCs w:val="1"/>
                <w:color w:val="auto"/>
              </w:rPr>
            </w:pPr>
          </w:p>
        </w:tc>
      </w:tr>
      <w:tr>
        <w:trPr>
          <w:trHeight w:val="88"/>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75"/>
              </w:rPr>
              <w:t>12/01/23</w:t>
            </w:r>
            <w:r>
              <w:rPr>
                <w:rFonts w:ascii="Times New Roman" w:cs="Times New Roman" w:eastAsia="Times New Roman" w:hAnsi="Times New Roman"/>
                <w:sz w:val="14"/>
                <w:szCs w:val="14"/>
                <w:b w:val="1"/>
                <w:bCs w:val="1"/>
                <w:color w:val="auto"/>
                <w:w w:val="75"/>
              </w:rPr>
              <w:t>GRANT DATE</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AGA-</w:t>
            </w:r>
            <w:r>
              <w:rPr>
                <w:rFonts w:ascii="Times New Roman" w:cs="Times New Roman" w:eastAsia="Times New Roman" w:hAnsi="Times New Roman"/>
                <w:sz w:val="14"/>
                <w:szCs w:val="14"/>
                <w:b w:val="1"/>
                <w:bCs w:val="1"/>
                <w:color w:val="auto"/>
              </w:rPr>
              <w:t>TYPE</w:t>
            </w:r>
            <w:r>
              <w:rPr>
                <w:rFonts w:ascii="Times New Roman" w:cs="Times New Roman" w:eastAsia="Times New Roman" w:hAnsi="Times New Roman"/>
                <w:sz w:val="14"/>
                <w:szCs w:val="14"/>
                <w:color w:val="auto"/>
              </w:rPr>
              <w:t>2023-5</w:t>
            </w:r>
          </w:p>
        </w:tc>
        <w:tc>
          <w:tcPr>
            <w:tcW w:w="1200" w:type="dxa"/>
            <w:vAlign w:val="bottom"/>
            <w:gridSpan w:val="2"/>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Total NUMBER</w:t>
            </w:r>
          </w:p>
        </w:tc>
        <w:tc>
          <w:tcPr>
            <w:tcW w:w="122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AGAs</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6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(27,625)</w:t>
            </w:r>
          </w:p>
        </w:tc>
        <w:tc>
          <w:tcPr>
            <w:tcW w:w="8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0" w:type="dxa"/>
            <w:vAlign w:val="bottom"/>
          </w:tcPr>
          <w:p>
            <w:pPr>
              <w:spacing w:after="0"/>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2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87"/>
              </w:rPr>
              <w:t>OF AGAs</w:t>
            </w:r>
            <w:r>
              <w:rPr>
                <w:rFonts w:ascii="Times New Roman" w:cs="Times New Roman" w:eastAsia="Times New Roman" w:hAnsi="Times New Roman"/>
                <w:sz w:val="14"/>
                <w:szCs w:val="14"/>
                <w:color w:val="auto"/>
                <w:w w:val="87"/>
              </w:rPr>
              <w:t>132,750</w:t>
            </w:r>
          </w:p>
        </w:tc>
        <w:tc>
          <w:tcPr>
            <w:tcW w:w="122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81,250</w:t>
            </w:r>
          </w:p>
        </w:tc>
        <w:tc>
          <w:tcPr>
            <w:tcW w:w="118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27,625</w:t>
            </w:r>
          </w:p>
        </w:tc>
        <w:tc>
          <w:tcPr>
            <w:tcW w:w="0" w:type="dxa"/>
            <w:vAlign w:val="bottom"/>
          </w:tcPr>
          <w:p>
            <w:pPr>
              <w:spacing w:after="0"/>
              <w:rPr>
                <w:sz w:val="1"/>
                <w:szCs w:val="1"/>
                <w:color w:val="auto"/>
              </w:rPr>
            </w:pPr>
          </w:p>
        </w:tc>
      </w:tr>
      <w:tr>
        <w:trPr>
          <w:trHeight w:val="175"/>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02/01/24</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AGA-2024-1</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(134,125)</w:t>
            </w:r>
          </w:p>
        </w:tc>
        <w:tc>
          <w:tcPr>
            <w:tcW w:w="60" w:type="dxa"/>
            <w:vAlign w:val="bottom"/>
          </w:tcPr>
          <w:p>
            <w:pPr>
              <w:spacing w:after="0"/>
              <w:rPr>
                <w:sz w:val="15"/>
                <w:szCs w:val="15"/>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1,221,500</w:t>
            </w:r>
          </w:p>
        </w:tc>
        <w:tc>
          <w:tcPr>
            <w:tcW w:w="0" w:type="dxa"/>
            <w:vAlign w:val="bottom"/>
          </w:tcPr>
          <w:p>
            <w:pPr>
              <w:spacing w:after="0"/>
              <w:rPr>
                <w:sz w:val="1"/>
                <w:szCs w:val="1"/>
                <w:color w:val="auto"/>
              </w:rPr>
            </w:pPr>
          </w:p>
        </w:tc>
      </w:tr>
      <w:tr>
        <w:trPr>
          <w:trHeight w:val="27"/>
        </w:trPr>
        <w:tc>
          <w:tcPr>
            <w:tcW w:w="1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160" w:type="dxa"/>
            <w:vAlign w:val="bottom"/>
          </w:tcPr>
          <w:p>
            <w:pPr>
              <w:jc w:val="right"/>
              <w:spacing w:after="0" w:line="27" w:lineRule="exact"/>
              <w:rPr>
                <w:sz w:val="20"/>
                <w:szCs w:val="20"/>
                <w:color w:val="auto"/>
              </w:rPr>
            </w:pPr>
            <w:r>
              <w:rPr>
                <w:rFonts w:ascii="Times New Roman" w:cs="Times New Roman" w:eastAsia="Times New Roman" w:hAnsi="Times New Roman"/>
                <w:sz w:val="3"/>
                <w:szCs w:val="3"/>
                <w:color w:val="auto"/>
              </w:rPr>
              <w:t>1,549,125</w:t>
            </w:r>
          </w:p>
        </w:tc>
        <w:tc>
          <w:tcPr>
            <w:tcW w:w="40" w:type="dxa"/>
            <w:vAlign w:val="bottom"/>
          </w:tcPr>
          <w:p>
            <w:pPr>
              <w:spacing w:after="0"/>
              <w:rPr>
                <w:sz w:val="2"/>
                <w:szCs w:val="2"/>
                <w:color w:val="auto"/>
              </w:rPr>
            </w:pPr>
          </w:p>
        </w:tc>
        <w:tc>
          <w:tcPr>
            <w:tcW w:w="1220" w:type="dxa"/>
            <w:vAlign w:val="bottom"/>
          </w:tcPr>
          <w:p>
            <w:pPr>
              <w:jc w:val="right"/>
              <w:ind w:right="33"/>
              <w:spacing w:after="0" w:line="27" w:lineRule="exact"/>
              <w:rPr>
                <w:sz w:val="20"/>
                <w:szCs w:val="20"/>
                <w:color w:val="auto"/>
              </w:rPr>
            </w:pPr>
            <w:r>
              <w:rPr>
                <w:rFonts w:ascii="Times New Roman" w:cs="Times New Roman" w:eastAsia="Times New Roman" w:hAnsi="Times New Roman"/>
                <w:sz w:val="3"/>
                <w:szCs w:val="3"/>
                <w:color w:val="auto"/>
              </w:rPr>
              <w:t>1,355,625</w:t>
            </w:r>
          </w:p>
        </w:tc>
        <w:tc>
          <w:tcPr>
            <w:tcW w:w="1180" w:type="dxa"/>
            <w:vAlign w:val="bottom"/>
            <w:gridSpan w:val="2"/>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03/28/24</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AGA-2024-2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40" w:type="dxa"/>
            <w:vAlign w:val="bottom"/>
          </w:tcPr>
          <w:p>
            <w:pPr>
              <w:spacing w:after="0"/>
              <w:rPr>
                <w:sz w:val="8"/>
                <w:szCs w:val="8"/>
                <w:color w:val="auto"/>
              </w:rPr>
            </w:pPr>
          </w:p>
        </w:tc>
        <w:tc>
          <w:tcPr>
            <w:tcW w:w="122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AS OF</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jc w:val="right"/>
              <w:ind w:right="33"/>
              <w:spacing w:after="0" w:line="122" w:lineRule="exact"/>
              <w:rPr>
                <w:sz w:val="20"/>
                <w:szCs w:val="20"/>
                <w:color w:val="auto"/>
              </w:rPr>
            </w:pPr>
            <w:r>
              <w:rPr>
                <w:rFonts w:ascii="Times New Roman" w:cs="Times New Roman" w:eastAsia="Times New Roman" w:hAnsi="Times New Roman"/>
                <w:sz w:val="14"/>
                <w:szCs w:val="14"/>
                <w:color w:val="auto"/>
              </w:rPr>
              <w:t>22,500</w:t>
            </w:r>
          </w:p>
        </w:tc>
        <w:tc>
          <w:tcPr>
            <w:tcW w:w="11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JANUARY 1,</w:t>
            </w: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05/23/24</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AGA-2024-3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4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4"/>
                <w:szCs w:val="14"/>
                <w:color w:val="auto"/>
              </w:rPr>
              <w:t>38,500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07/11/24</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AGA-2024-4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93,000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07/11/24</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AGA-2024-5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25,000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07/11/24</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20,000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09/05/24</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AGA-2024-7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198,000</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198,000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02/06/25</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AGA-2025-1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4,319,500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4,319,500</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4,102,000</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02/06/25</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AGA-2025-2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123,102</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123,102</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02/06/25</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02/06/25</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AGA-2025-4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03/20/25</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AGA-2025-5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05/30/25</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AGA-2025-6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08/01/25</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AGA-2025-7</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1,711,000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1,711,000</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1,631,000</w:t>
            </w:r>
          </w:p>
        </w:tc>
        <w:tc>
          <w:tcPr>
            <w:tcW w:w="0" w:type="dxa"/>
            <w:vAlign w:val="bottom"/>
          </w:tcPr>
          <w:p>
            <w:pPr>
              <w:spacing w:after="0"/>
              <w:rPr>
                <w:sz w:val="1"/>
                <w:szCs w:val="1"/>
                <w:color w:val="auto"/>
              </w:rPr>
            </w:pP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11/13/25</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AGA-2025-8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AGAs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10,828,148</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3,388,040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6,280,727</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(645,375)</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(627,714)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8,395,678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2651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016115" cy="326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16"/>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(Tranches 1-4)</w:t>
            </w:r>
          </w:p>
        </w:tc>
        <w:tc>
          <w:tcPr>
            <w:tcW w:w="13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€3.62</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2024-12-31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67.2%</w:t>
            </w:r>
          </w:p>
        </w:tc>
        <w:tc>
          <w:tcPr>
            <w:tcW w:w="92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16"/>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(Tranche 5)</w:t>
            </w:r>
          </w:p>
        </w:tc>
        <w:tc>
          <w:tcPr>
            <w:tcW w:w="13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€0.74</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2024-07-11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67.2%</w:t>
            </w:r>
          </w:p>
        </w:tc>
        <w:tc>
          <w:tcPr>
            <w:tcW w:w="92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16"/>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(Tranche 6)</w:t>
            </w:r>
          </w:p>
        </w:tc>
        <w:tc>
          <w:tcPr>
            <w:tcW w:w="13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2023-2</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16"/>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(Tranche 1)</w:t>
            </w:r>
          </w:p>
        </w:tc>
        <w:tc>
          <w:tcPr>
            <w:tcW w:w="13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2023-2</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€15.98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€9.59</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16"/>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(Tranche 2)</w:t>
            </w:r>
          </w:p>
        </w:tc>
        <w:tc>
          <w:tcPr>
            <w:tcW w:w="13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3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€14.92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€14.92</w:t>
            </w:r>
          </w:p>
        </w:tc>
        <w:tc>
          <w:tcPr>
            <w:tcW w:w="1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€14.92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€14.92</w:t>
            </w:r>
          </w:p>
        </w:tc>
        <w:tc>
          <w:tcPr>
            <w:tcW w:w="1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2023-5</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€9.16</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€9.16</w:t>
            </w:r>
          </w:p>
        </w:tc>
        <w:tc>
          <w:tcPr>
            <w:tcW w:w="1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2024-1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€12.26</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€12.26</w:t>
            </w:r>
          </w:p>
        </w:tc>
        <w:tc>
          <w:tcPr>
            <w:tcW w:w="1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AGA 2024-2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€13.40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€13.40</w:t>
            </w:r>
          </w:p>
        </w:tc>
        <w:tc>
          <w:tcPr>
            <w:tcW w:w="1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€0.00</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ectPr>
          <w:pgSz w:w="11900" w:h="16838" w:orient="portrait"/>
          <w:cols w:equalWidth="0" w:num="1">
            <w:col w:w="9680"/>
          </w:cols>
          <w:pgMar w:left="1080" w:top="144" w:right="1139" w:bottom="0" w:gutter="0" w:footer="0" w:header="0"/>
        </w:sectPr>
      </w:pPr>
    </w:p>
    <w:bookmarkStart w:id="176" w:name="page177"/>
    <w:bookmarkEnd w:id="176"/>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AGA-2024-3</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€12.76</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€12.76</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0"/>
        </w:trPr>
        <w:tc>
          <w:tcPr>
            <w:tcW w:w="1220" w:type="dxa"/>
            <w:vAlign w:val="bottom"/>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AGA-2024-4</w:t>
            </w:r>
          </w:p>
        </w:tc>
        <w:tc>
          <w:tcPr>
            <w:tcW w:w="1500" w:type="dxa"/>
            <w:vAlign w:val="bottom"/>
          </w:tcPr>
          <w:p>
            <w:pPr>
              <w:jc w:val="center"/>
              <w:ind w:left="69"/>
              <w:spacing w:after="0" w:line="41" w:lineRule="exact"/>
              <w:rPr>
                <w:sz w:val="20"/>
                <w:szCs w:val="20"/>
                <w:color w:val="auto"/>
              </w:rPr>
            </w:pPr>
            <w:r>
              <w:rPr>
                <w:rFonts w:ascii="Times New Roman" w:cs="Times New Roman" w:eastAsia="Times New Roman" w:hAnsi="Times New Roman"/>
                <w:sz w:val="4"/>
                <w:szCs w:val="4"/>
                <w:b w:val="1"/>
                <w:bCs w:val="1"/>
                <w:color w:val="auto"/>
              </w:rPr>
              <w:t>FAIR VALUE OF</w:t>
            </w:r>
          </w:p>
        </w:tc>
        <w:tc>
          <w:tcPr>
            <w:tcW w:w="14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€12.54</w:t>
            </w:r>
          </w:p>
        </w:tc>
        <w:tc>
          <w:tcPr>
            <w:tcW w:w="13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N/A</w:t>
            </w:r>
          </w:p>
        </w:tc>
        <w:tc>
          <w:tcPr>
            <w:tcW w:w="1360" w:type="dxa"/>
            <w:vAlign w:val="bottom"/>
            <w:vMerge w:val="restart"/>
          </w:tcPr>
          <w:p>
            <w:pPr>
              <w:jc w:val="center"/>
              <w:ind w:left="40"/>
              <w:spacing w:after="0" w:line="162" w:lineRule="exact"/>
              <w:rPr>
                <w:sz w:val="20"/>
                <w:szCs w:val="20"/>
                <w:color w:val="auto"/>
              </w:rPr>
            </w:pPr>
            <w:r>
              <w:rPr>
                <w:rFonts w:ascii="Times New Roman" w:cs="Times New Roman" w:eastAsia="Times New Roman" w:hAnsi="Times New Roman"/>
                <w:sz w:val="16"/>
                <w:szCs w:val="16"/>
                <w:color w:val="auto"/>
              </w:rPr>
              <w:t>N/A</w:t>
            </w:r>
          </w:p>
        </w:tc>
        <w:tc>
          <w:tcPr>
            <w:tcW w:w="1460" w:type="dxa"/>
            <w:vAlign w:val="bottom"/>
            <w:vMerge w:val="restart"/>
          </w:tcPr>
          <w:p>
            <w:pPr>
              <w:jc w:val="center"/>
              <w:ind w:left="60"/>
              <w:spacing w:after="0" w:line="162"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500" w:type="dxa"/>
            <w:vAlign w:val="bottom"/>
          </w:tcPr>
          <w:p>
            <w:pPr>
              <w:jc w:val="center"/>
              <w:ind w:left="109"/>
              <w:spacing w:after="0" w:line="122" w:lineRule="exact"/>
              <w:rPr>
                <w:sz w:val="20"/>
                <w:szCs w:val="20"/>
                <w:color w:val="auto"/>
              </w:rPr>
            </w:pPr>
            <w:r>
              <w:rPr>
                <w:rFonts w:ascii="Times New Roman" w:cs="Times New Roman" w:eastAsia="Times New Roman" w:hAnsi="Times New Roman"/>
                <w:sz w:val="14"/>
                <w:szCs w:val="14"/>
                <w:color w:val="auto"/>
              </w:rPr>
              <w:t>€12.54</w:t>
            </w:r>
          </w:p>
        </w:tc>
        <w:tc>
          <w:tcPr>
            <w:tcW w:w="14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500"/>
              <w:spacing w:after="0" w:line="135" w:lineRule="exact"/>
              <w:rPr>
                <w:sz w:val="20"/>
                <w:szCs w:val="20"/>
                <w:color w:val="auto"/>
              </w:rPr>
            </w:pPr>
            <w:r>
              <w:rPr>
                <w:rFonts w:ascii="Times New Roman" w:cs="Times New Roman" w:eastAsia="Times New Roman" w:hAnsi="Times New Roman"/>
                <w:sz w:val="14"/>
                <w:szCs w:val="14"/>
                <w:b w:val="1"/>
                <w:bCs w:val="1"/>
                <w:color w:val="auto"/>
              </w:rPr>
              <w:t>TYPE</w:t>
            </w:r>
          </w:p>
        </w:tc>
        <w:tc>
          <w:tcPr>
            <w:tcW w:w="1500" w:type="dxa"/>
            <w:vAlign w:val="bottom"/>
          </w:tcPr>
          <w:p>
            <w:pPr>
              <w:jc w:val="center"/>
              <w:ind w:left="89"/>
              <w:spacing w:after="0" w:line="135" w:lineRule="exact"/>
              <w:rPr>
                <w:sz w:val="20"/>
                <w:szCs w:val="20"/>
                <w:color w:val="auto"/>
              </w:rPr>
            </w:pPr>
            <w:r>
              <w:rPr>
                <w:rFonts w:ascii="Times New Roman" w:cs="Times New Roman" w:eastAsia="Times New Roman" w:hAnsi="Times New Roman"/>
                <w:sz w:val="14"/>
                <w:szCs w:val="14"/>
                <w:b w:val="1"/>
                <w:bCs w:val="1"/>
                <w:color w:val="auto"/>
              </w:rPr>
              <w:t>THE</w:t>
            </w:r>
          </w:p>
        </w:tc>
        <w:tc>
          <w:tcPr>
            <w:tcW w:w="14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AGA PRICE</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360" w:type="dxa"/>
            <w:vAlign w:val="bottom"/>
          </w:tcPr>
          <w:p>
            <w:pPr>
              <w:jc w:val="cente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VOLATILITY</w:t>
            </w:r>
          </w:p>
        </w:tc>
        <w:tc>
          <w:tcPr>
            <w:tcW w:w="1460" w:type="dxa"/>
            <w:vAlign w:val="bottom"/>
          </w:tcPr>
          <w:p>
            <w:pPr>
              <w:jc w:val="cente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RISK FREE RATE</w:t>
            </w:r>
          </w:p>
        </w:tc>
        <w:tc>
          <w:tcPr>
            <w:tcW w:w="0" w:type="dxa"/>
            <w:vAlign w:val="bottom"/>
          </w:tcPr>
          <w:p>
            <w:pPr>
              <w:spacing w:after="0"/>
              <w:rPr>
                <w:sz w:val="1"/>
                <w:szCs w:val="1"/>
                <w:color w:val="auto"/>
              </w:rPr>
            </w:pPr>
          </w:p>
        </w:tc>
      </w:tr>
      <w:tr>
        <w:trPr>
          <w:trHeight w:val="124"/>
        </w:trPr>
        <w:tc>
          <w:tcPr>
            <w:tcW w:w="122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color w:val="auto"/>
              </w:rPr>
              <w:t>AGA-2024-5</w:t>
            </w:r>
          </w:p>
        </w:tc>
        <w:tc>
          <w:tcPr>
            <w:tcW w:w="1500" w:type="dxa"/>
            <w:vAlign w:val="bottom"/>
          </w:tcPr>
          <w:p>
            <w:pPr>
              <w:jc w:val="center"/>
              <w:ind w:left="89"/>
              <w:spacing w:after="0" w:line="124" w:lineRule="exact"/>
              <w:rPr>
                <w:sz w:val="20"/>
                <w:szCs w:val="20"/>
                <w:color w:val="auto"/>
              </w:rPr>
            </w:pPr>
            <w:r>
              <w:rPr>
                <w:rFonts w:ascii="Times New Roman" w:cs="Times New Roman" w:eastAsia="Times New Roman" w:hAnsi="Times New Roman"/>
                <w:sz w:val="13"/>
                <w:szCs w:val="13"/>
                <w:b w:val="1"/>
                <w:bCs w:val="1"/>
                <w:color w:val="auto"/>
                <w:w w:val="76"/>
              </w:rPr>
              <w:t>UNDERLYING</w:t>
            </w:r>
            <w:r>
              <w:rPr>
                <w:rFonts w:ascii="Times New Roman" w:cs="Times New Roman" w:eastAsia="Times New Roman" w:hAnsi="Times New Roman"/>
                <w:sz w:val="14"/>
                <w:szCs w:val="14"/>
                <w:color w:val="auto"/>
                <w:w w:val="76"/>
              </w:rPr>
              <w:t>€12.54</w:t>
            </w: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75"/>
              </w:rPr>
              <w:t>THE</w:t>
            </w:r>
            <w:r>
              <w:rPr>
                <w:rFonts w:ascii="Times New Roman" w:cs="Times New Roman" w:eastAsia="Times New Roman" w:hAnsi="Times New Roman"/>
                <w:sz w:val="13"/>
                <w:szCs w:val="13"/>
                <w:color w:val="auto"/>
                <w:w w:val="75"/>
              </w:rPr>
              <w:t>€12</w:t>
            </w:r>
            <w:r>
              <w:rPr>
                <w:rFonts w:ascii="Times New Roman" w:cs="Times New Roman" w:eastAsia="Times New Roman" w:hAnsi="Times New Roman"/>
                <w:sz w:val="12"/>
                <w:szCs w:val="12"/>
                <w:b w:val="1"/>
                <w:bCs w:val="1"/>
                <w:color w:val="auto"/>
                <w:w w:val="75"/>
              </w:rPr>
              <w:t>AGA</w:t>
            </w:r>
            <w:r>
              <w:rPr>
                <w:rFonts w:ascii="Times New Roman" w:cs="Times New Roman" w:eastAsia="Times New Roman" w:hAnsi="Times New Roman"/>
                <w:sz w:val="13"/>
                <w:szCs w:val="13"/>
                <w:color w:val="auto"/>
                <w:w w:val="75"/>
              </w:rPr>
              <w:t>.54</w:t>
            </w:r>
          </w:p>
        </w:tc>
        <w:tc>
          <w:tcPr>
            <w:tcW w:w="13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€0.00</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N/A</w:t>
            </w:r>
          </w:p>
        </w:tc>
        <w:tc>
          <w:tcPr>
            <w:tcW w:w="1360" w:type="dxa"/>
            <w:vAlign w:val="bottom"/>
          </w:tcPr>
          <w:p>
            <w:pPr>
              <w:jc w:val="center"/>
              <w:ind w:left="40"/>
              <w:spacing w:after="0" w:line="124" w:lineRule="exact"/>
              <w:rPr>
                <w:sz w:val="20"/>
                <w:szCs w:val="20"/>
                <w:color w:val="auto"/>
              </w:rPr>
            </w:pPr>
            <w:r>
              <w:rPr>
                <w:rFonts w:ascii="Times New Roman" w:cs="Times New Roman" w:eastAsia="Times New Roman" w:hAnsi="Times New Roman"/>
                <w:sz w:val="14"/>
                <w:szCs w:val="14"/>
                <w:color w:val="auto"/>
              </w:rPr>
              <w:t>N/A</w:t>
            </w:r>
          </w:p>
        </w:tc>
        <w:tc>
          <w:tcPr>
            <w:tcW w:w="1460" w:type="dxa"/>
            <w:vAlign w:val="bottom"/>
          </w:tcPr>
          <w:p>
            <w:pPr>
              <w:jc w:val="center"/>
              <w:ind w:left="60"/>
              <w:spacing w:after="0" w:line="124"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6"/>
        </w:trPr>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AGA-2024-6</w:t>
            </w:r>
          </w:p>
        </w:tc>
        <w:tc>
          <w:tcPr>
            <w:tcW w:w="1500" w:type="dxa"/>
            <w:vAlign w:val="bottom"/>
          </w:tcPr>
          <w:p>
            <w:pPr>
              <w:jc w:val="center"/>
              <w:ind w:left="89"/>
              <w:spacing w:after="0" w:line="146" w:lineRule="exact"/>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€12.54</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1"/>
        </w:trPr>
        <w:tc>
          <w:tcPr>
            <w:tcW w:w="1220" w:type="dxa"/>
            <w:vAlign w:val="bottom"/>
            <w:vMerge w:val="continue"/>
          </w:tcPr>
          <w:p>
            <w:pPr>
              <w:spacing w:after="0"/>
              <w:rPr>
                <w:sz w:val="3"/>
                <w:szCs w:val="3"/>
                <w:color w:val="auto"/>
              </w:rPr>
            </w:pPr>
          </w:p>
        </w:tc>
        <w:tc>
          <w:tcPr>
            <w:tcW w:w="1500" w:type="dxa"/>
            <w:vAlign w:val="bottom"/>
          </w:tcPr>
          <w:p>
            <w:pPr>
              <w:jc w:val="center"/>
              <w:ind w:left="109"/>
              <w:spacing w:after="0" w:line="41" w:lineRule="exact"/>
              <w:rPr>
                <w:sz w:val="20"/>
                <w:szCs w:val="20"/>
                <w:color w:val="auto"/>
              </w:rPr>
            </w:pPr>
            <w:r>
              <w:rPr>
                <w:rFonts w:ascii="Times New Roman" w:cs="Times New Roman" w:eastAsia="Times New Roman" w:hAnsi="Times New Roman"/>
                <w:sz w:val="4"/>
                <w:szCs w:val="4"/>
                <w:color w:val="auto"/>
              </w:rPr>
              <w:t>€12.54</w:t>
            </w:r>
          </w:p>
        </w:tc>
        <w:tc>
          <w:tcPr>
            <w:tcW w:w="14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AGA-2024-7</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€10.80</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AGA-2025-1</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€5.82</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AGA-2025-2</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€5.82</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AGA-2025-3</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€5.82</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AGA-2025-4</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€5.82</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AGA-2025-5</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€6.17</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€6.17</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6"/>
        </w:trPr>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AGA-2025-6</w:t>
            </w:r>
          </w:p>
        </w:tc>
        <w:tc>
          <w:tcPr>
            <w:tcW w:w="1500" w:type="dxa"/>
            <w:vAlign w:val="bottom"/>
          </w:tcPr>
          <w:p>
            <w:pPr>
              <w:jc w:val="center"/>
              <w:ind w:left="109"/>
              <w:spacing w:after="0"/>
              <w:rPr>
                <w:sz w:val="20"/>
                <w:szCs w:val="20"/>
                <w:color w:val="auto"/>
              </w:rPr>
            </w:pPr>
            <w:r>
              <w:rPr>
                <w:rFonts w:ascii="Times New Roman" w:cs="Times New Roman" w:eastAsia="Times New Roman" w:hAnsi="Times New Roman"/>
                <w:sz w:val="16"/>
                <w:szCs w:val="16"/>
                <w:color w:val="auto"/>
                <w:w w:val="99"/>
              </w:rPr>
              <w:t>€5.17</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€5.17</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AGA-2025-7</w:t>
            </w:r>
          </w:p>
        </w:tc>
        <w:tc>
          <w:tcPr>
            <w:tcW w:w="150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6"/>
                <w:szCs w:val="16"/>
                <w:color w:val="auto"/>
                <w:w w:val="99"/>
              </w:rPr>
              <w:t>€61.20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€61.20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AGA-2025-8</w:t>
            </w:r>
          </w:p>
        </w:tc>
        <w:tc>
          <w:tcPr>
            <w:tcW w:w="150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6"/>
                <w:szCs w:val="16"/>
                <w:color w:val="auto"/>
                <w:w w:val="99"/>
              </w:rPr>
              <w:t>€89.40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€89.40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-1988185</wp:posOffset>
            </wp:positionV>
            <wp:extent cx="7016115" cy="57969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016115" cy="579691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AGAs granted in July 2023</w:t>
      </w:r>
    </w:p>
    <w:p>
      <w:pPr>
        <w:spacing w:after="0" w:line="200" w:lineRule="exact"/>
        <w:rPr>
          <w:sz w:val="20"/>
          <w:szCs w:val="20"/>
          <w:color w:val="auto"/>
        </w:rPr>
      </w:pPr>
    </w:p>
    <w:p>
      <w:pPr>
        <w:ind w:right="160" w:firstLine="4"/>
        <w:spacing w:after="0" w:line="266" w:lineRule="auto"/>
        <w:tabs>
          <w:tab w:leader="none" w:pos="2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Board decision on July 11, 2023, the Group allocated a total number of 1,382,796 AGAs to Mr. Marc de Garidel, as the Group’s Chief Executive Officer, to which performance conditions and service conditions apply (AGA plan 2023-1):</w:t>
      </w:r>
    </w:p>
    <w:p>
      <w:pPr>
        <w:spacing w:after="0" w:line="148"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212,738 AGAs 2023-1 (tranche 1): the acquisition period shall end on the first anniversary of the allocation date;</w:t>
      </w:r>
    </w:p>
    <w:p>
      <w:pPr>
        <w:spacing w:after="0" w:line="15" w:lineRule="exact"/>
        <w:rPr>
          <w:rFonts w:ascii="Times New Roman" w:cs="Times New Roman" w:eastAsia="Times New Roman" w:hAnsi="Times New Roman"/>
          <w:sz w:val="18"/>
          <w:szCs w:val="18"/>
          <w:color w:val="auto"/>
        </w:rPr>
      </w:pPr>
    </w:p>
    <w:p>
      <w:pPr>
        <w:ind w:left="660" w:hanging="332"/>
        <w:spacing w:after="0" w:line="234"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638,214 AGAs 2023-1 (tranche 2): the AGAs 2023-1 shall progressively be definitively acquired on a monthly basis over a period of three years starting after the first anniversary of the allocation date;</w:t>
      </w:r>
    </w:p>
    <w:p>
      <w:pPr>
        <w:spacing w:after="0" w:line="1" w:lineRule="exact"/>
        <w:rPr>
          <w:rFonts w:ascii="Times New Roman" w:cs="Times New Roman" w:eastAsia="Times New Roman" w:hAnsi="Times New Roman"/>
          <w:sz w:val="18"/>
          <w:szCs w:val="18"/>
          <w:color w:val="auto"/>
        </w:rPr>
      </w:pPr>
    </w:p>
    <w:p>
      <w:pPr>
        <w:ind w:left="660" w:right="160" w:hanging="332"/>
        <w:spacing w:after="0" w:line="234"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212,738 AGAs 2023-1 (tranche 3): the acquisition period shall end on the latest date between (i) the first anniversary of the allocation date, and (ii) the date on which a specific performance condition related to regulatory approval is fulfilled;</w:t>
      </w:r>
    </w:p>
    <w:p>
      <w:pPr>
        <w:spacing w:after="0" w:line="1" w:lineRule="exact"/>
        <w:rPr>
          <w:rFonts w:ascii="Times New Roman" w:cs="Times New Roman" w:eastAsia="Times New Roman" w:hAnsi="Times New Roman"/>
          <w:sz w:val="18"/>
          <w:szCs w:val="18"/>
          <w:color w:val="auto"/>
        </w:rPr>
      </w:pPr>
    </w:p>
    <w:p>
      <w:pPr>
        <w:ind w:left="660" w:right="60" w:hanging="332"/>
        <w:spacing w:after="0" w:line="229"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106,369 AGAs 2023-1 (tranche 4): the acquisition period shall end on the latest date between (i) the first anniversary of the allocation date, and (ii) the date on which the Group successfully completes a public offering raising at least $100 million in gross proceeds (the condition was met on October 24, 2023);</w:t>
      </w:r>
    </w:p>
    <w:p>
      <w:pPr>
        <w:spacing w:after="0" w:line="1" w:lineRule="exact"/>
        <w:rPr>
          <w:rFonts w:ascii="Times New Roman" w:cs="Times New Roman" w:eastAsia="Times New Roman" w:hAnsi="Times New Roman"/>
          <w:sz w:val="18"/>
          <w:szCs w:val="18"/>
          <w:color w:val="auto"/>
        </w:rPr>
      </w:pPr>
    </w:p>
    <w:p>
      <w:pPr>
        <w:ind w:left="660" w:right="80" w:hanging="332"/>
        <w:spacing w:after="0" w:line="234"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106,369 AGAs 2023-1 (tranche 5): the acquisition period shall end on the latest date between (i) the first anniversary of the allocation date, and (ii) the date on which a specific performance condition related to the Group’s market capitalization is fulfilled;</w:t>
      </w:r>
    </w:p>
    <w:p>
      <w:pPr>
        <w:spacing w:after="0" w:line="2" w:lineRule="exact"/>
        <w:rPr>
          <w:rFonts w:ascii="Times New Roman" w:cs="Times New Roman" w:eastAsia="Times New Roman" w:hAnsi="Times New Roman"/>
          <w:sz w:val="18"/>
          <w:szCs w:val="18"/>
          <w:color w:val="auto"/>
        </w:rPr>
      </w:pPr>
    </w:p>
    <w:p>
      <w:pPr>
        <w:ind w:left="660" w:right="140" w:hanging="332"/>
        <w:spacing w:after="0" w:line="234"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106,368 AGAs 2023-1 (tranche 6): the acquisition period shall end on the first anniversary of the allocation date subject to the completion, prior to such date, of a tender offer on the securities issued by the Group, at a predetermined minimum price, and resulting in a change of control of the Group;</w:t>
      </w:r>
    </w:p>
    <w:p>
      <w:pPr>
        <w:spacing w:after="0" w:line="2" w:lineRule="exact"/>
        <w:rPr>
          <w:rFonts w:ascii="Times New Roman" w:cs="Times New Roman" w:eastAsia="Times New Roman" w:hAnsi="Times New Roman"/>
          <w:sz w:val="18"/>
          <w:szCs w:val="18"/>
          <w:color w:val="auto"/>
        </w:rPr>
      </w:pPr>
    </w:p>
    <w:p>
      <w:pPr>
        <w:ind w:left="660" w:right="240" w:hanging="332"/>
        <w:spacing w:after="0" w:line="243"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AGAs related to tranches 1 to 5 are subject to a vesting acceleration condition in case of a tender offer on the securities issued by the Group and resulting in a change of control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46367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7016115" cy="463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qualified those conditions under IFRS 2 principles as follows:</w:t>
      </w:r>
    </w:p>
    <w:p>
      <w:pPr>
        <w:spacing w:after="0" w:line="193" w:lineRule="exact"/>
        <w:rPr>
          <w:sz w:val="20"/>
          <w:szCs w:val="20"/>
          <w:color w:val="auto"/>
        </w:rPr>
      </w:pPr>
    </w:p>
    <w:p>
      <w:pPr>
        <w:ind w:left="660" w:hanging="332"/>
        <w:spacing w:after="0"/>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Conditions related to tranches 1 and 2 qualify as service conditions under IFRS 2 principles.</w:t>
      </w:r>
    </w:p>
    <w:p>
      <w:pPr>
        <w:spacing w:after="0" w:line="27" w:lineRule="exact"/>
        <w:rPr>
          <w:rFonts w:ascii="Arial" w:cs="Arial" w:eastAsia="Arial" w:hAnsi="Arial"/>
          <w:sz w:val="22"/>
          <w:szCs w:val="22"/>
          <w:color w:val="auto"/>
        </w:rPr>
      </w:pPr>
    </w:p>
    <w:p>
      <w:pPr>
        <w:ind w:left="660" w:right="20" w:hanging="332"/>
        <w:spacing w:after="0" w:line="247" w:lineRule="auto"/>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Conditions related to tranches 3 and 4 qualify as service and non-market performance conditions. Their levels of achievement are reflected in the number of instruments that are expected to vest and were estimated by management based on observable industry-specific data.</w:t>
      </w:r>
    </w:p>
    <w:p>
      <w:pPr>
        <w:spacing w:after="0" w:line="23" w:lineRule="exact"/>
        <w:rPr>
          <w:rFonts w:ascii="Arial" w:cs="Arial" w:eastAsia="Arial" w:hAnsi="Arial"/>
          <w:sz w:val="22"/>
          <w:szCs w:val="22"/>
          <w:color w:val="auto"/>
        </w:rPr>
      </w:pPr>
    </w:p>
    <w:p>
      <w:pPr>
        <w:ind w:left="660" w:right="20" w:hanging="332"/>
        <w:spacing w:after="0" w:line="257" w:lineRule="auto"/>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Conditions related to tranches 5 and 6 qualify as service and market performance conditions. The levels of achievement of market conditions are reflected in the unit fair value of the free shares and were estimated by management using the valuation methods and assumptions set out above. The valuation of tranche 6 also incorporates management’s estimate of the probability of a M&amp;A transaction prior to the limit date.</w:t>
      </w:r>
    </w:p>
    <w:p>
      <w:pPr>
        <w:spacing w:after="0" w:line="22" w:lineRule="exact"/>
        <w:rPr>
          <w:rFonts w:ascii="Arial" w:cs="Arial" w:eastAsia="Arial" w:hAnsi="Arial"/>
          <w:sz w:val="22"/>
          <w:szCs w:val="22"/>
          <w:color w:val="auto"/>
        </w:rPr>
      </w:pPr>
    </w:p>
    <w:p>
      <w:pPr>
        <w:ind w:left="660" w:right="100" w:hanging="332"/>
        <w:spacing w:after="0" w:line="244" w:lineRule="auto"/>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The vesting acceleration condition in case of a tender offer on the securities issued by the Group and resulting in a change of control of the Group qualifies as a non-market performance condition.</w:t>
      </w:r>
    </w:p>
    <w:p>
      <w:pPr>
        <w:spacing w:after="0" w:line="261" w:lineRule="exact"/>
        <w:rPr>
          <w:rFonts w:ascii="Arial" w:cs="Arial" w:eastAsia="Arial" w:hAnsi="Arial"/>
          <w:sz w:val="22"/>
          <w:szCs w:val="22"/>
          <w:color w:val="auto"/>
        </w:rPr>
      </w:pPr>
    </w:p>
    <w:p>
      <w:pPr>
        <w:ind w:right="20" w:firstLine="4"/>
        <w:spacing w:after="0" w:line="250"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Board decision on July 11, 2023, the Group allocated a total number of 100,000 AGAs to Mr. Hartmut Ehrlich, as the Group’s former Chief Executive Officer, to which the following conditions apply (AGA plan 2023-2):</w:t>
      </w:r>
    </w:p>
    <w:p>
      <w:pPr>
        <w:spacing w:after="0" w:line="176" w:lineRule="exact"/>
        <w:rPr>
          <w:rFonts w:ascii="Times New Roman" w:cs="Times New Roman" w:eastAsia="Times New Roman" w:hAnsi="Times New Roman"/>
          <w:sz w:val="18"/>
          <w:szCs w:val="18"/>
          <w:color w:val="auto"/>
        </w:rPr>
      </w:pPr>
    </w:p>
    <w:p>
      <w:pPr>
        <w:ind w:left="660" w:right="260" w:hanging="332"/>
        <w:spacing w:after="0" w:line="242" w:lineRule="auto"/>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For 25,000 AGAs 2023-2 (tranche 1): the acquisition period shall end on the first anniversary of the allocation date, and is not subject to a future service condition;</w:t>
      </w:r>
    </w:p>
    <w:p>
      <w:pPr>
        <w:spacing w:after="0" w:line="22" w:lineRule="exact"/>
        <w:rPr>
          <w:rFonts w:ascii="Arial" w:cs="Arial" w:eastAsia="Arial" w:hAnsi="Arial"/>
          <w:sz w:val="22"/>
          <w:szCs w:val="22"/>
          <w:color w:val="auto"/>
        </w:rPr>
      </w:pPr>
    </w:p>
    <w:p>
      <w:pPr>
        <w:ind w:left="660" w:right="80" w:hanging="332"/>
        <w:spacing w:after="0" w:line="272" w:lineRule="auto"/>
        <w:tabs>
          <w:tab w:leader="none" w:pos="660"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18"/>
          <w:szCs w:val="18"/>
          <w:color w:val="auto"/>
        </w:rPr>
        <w:t>For 75,000 AGAs 2023-2 (tranche 2): the acquisition period shall end on the latest date between (i) the first anniversary of the allocation date, and (ii) the date on which a specific condition, related to positive results on clinical studies, is fulfilled. The acquisition is not subject to a future service condition. Additionally, the tranche is subject to a vesting acceleration condition in case of a tender offer on the securities issued by the Group and resulting in a change of control of the Group. This tranche qualifies as a non-vesting condition. Its level of achievement is reflected in the unit fair value of the free shares, and was estimated by management based on observable industry-specific data.</w:t>
      </w:r>
    </w:p>
    <w:p>
      <w:pPr>
        <w:sectPr>
          <w:pgSz w:w="11900" w:h="16916" w:orient="portrait"/>
          <w:cols w:equalWidth="0" w:num="1">
            <w:col w:w="9720"/>
          </w:cols>
          <w:pgMar w:left="1080" w:top="91" w:right="1099" w:bottom="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AGAs granted in September and December 2023</w:t>
      </w:r>
    </w:p>
    <w:p>
      <w:pPr>
        <w:sectPr>
          <w:pgSz w:w="11900" w:h="16916" w:orient="portrait"/>
          <w:cols w:equalWidth="0" w:num="1">
            <w:col w:w="9720"/>
          </w:cols>
          <w:pgMar w:left="1080" w:top="91" w:right="1099" w:bottom="0" w:gutter="0" w:footer="0" w:header="0"/>
          <w:type w:val="continuous"/>
        </w:sectPr>
      </w:pPr>
    </w:p>
    <w:bookmarkStart w:id="177" w:name="page178"/>
    <w:bookmarkEnd w:id="177"/>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4253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016115" cy="4425315"/>
                    </a:xfrm>
                    <a:prstGeom prst="rect">
                      <a:avLst/>
                    </a:prstGeom>
                    <a:noFill/>
                  </pic:spPr>
                </pic:pic>
              </a:graphicData>
            </a:graphic>
          </wp:anchor>
        </w:drawing>
        <w:t>On September 28, 2023 and December 1, 2023, certain of the Group’s officers and employees were allocated respectively 985,750 AGAs (AGA plans 2023-3 and 2023-4) and 132,750 AGAs (AGA plan 2023-5) in the aggregate, the vesting of which is subject to certain conditions:</w:t>
      </w:r>
    </w:p>
    <w:p>
      <w:pPr>
        <w:spacing w:after="0" w:line="177" w:lineRule="exact"/>
        <w:rPr>
          <w:sz w:val="20"/>
          <w:szCs w:val="20"/>
          <w:color w:val="auto"/>
        </w:rPr>
      </w:pPr>
    </w:p>
    <w:p>
      <w:pPr>
        <w:jc w:val="both"/>
        <w:ind w:left="660" w:right="160" w:hanging="332"/>
        <w:spacing w:after="0" w:line="260" w:lineRule="auto"/>
        <w:tabs>
          <w:tab w:leader="none" w:pos="660" w:val="left"/>
        </w:tabs>
        <w:numPr>
          <w:ilvl w:val="0"/>
          <w:numId w:val="147"/>
        </w:numPr>
        <w:rPr>
          <w:rFonts w:ascii="Arial" w:cs="Arial" w:eastAsia="Arial" w:hAnsi="Arial"/>
          <w:sz w:val="22"/>
          <w:szCs w:val="22"/>
          <w:color w:val="auto"/>
        </w:rPr>
      </w:pPr>
      <w:r>
        <w:rPr>
          <w:rFonts w:ascii="Times New Roman" w:cs="Times New Roman" w:eastAsia="Times New Roman" w:hAnsi="Times New Roman"/>
          <w:sz w:val="18"/>
          <w:szCs w:val="18"/>
          <w:color w:val="auto"/>
        </w:rPr>
        <w:t>Subject to remaining employed with the Group, each such officer or employee’s AGAs will be vested as follows: (i) 50% at the end of a two-year period from the allocation date, (ii) 25% at the end of a three-year period from the allocation date and (iii) 25% at the end of a four-year period from the allocation date (service condition).</w:t>
      </w:r>
    </w:p>
    <w:p>
      <w:pPr>
        <w:spacing w:after="0" w:line="208" w:lineRule="exact"/>
        <w:rPr>
          <w:rFonts w:ascii="Arial" w:cs="Arial" w:eastAsia="Arial" w:hAnsi="Arial"/>
          <w:sz w:val="22"/>
          <w:szCs w:val="22"/>
          <w:color w:val="auto"/>
        </w:rPr>
      </w:pPr>
    </w:p>
    <w:p>
      <w:pPr>
        <w:ind w:left="660" w:right="140" w:hanging="332"/>
        <w:spacing w:after="0" w:line="272" w:lineRule="auto"/>
        <w:tabs>
          <w:tab w:leader="none" w:pos="660" w:val="left"/>
        </w:tabs>
        <w:numPr>
          <w:ilvl w:val="0"/>
          <w:numId w:val="147"/>
        </w:numPr>
        <w:rPr>
          <w:rFonts w:ascii="Arial" w:cs="Arial" w:eastAsia="Arial" w:hAnsi="Arial"/>
          <w:sz w:val="21"/>
          <w:szCs w:val="21"/>
          <w:color w:val="auto"/>
        </w:rPr>
      </w:pPr>
      <w:r>
        <w:rPr>
          <w:rFonts w:ascii="Times New Roman" w:cs="Times New Roman" w:eastAsia="Times New Roman" w:hAnsi="Times New Roman"/>
          <w:sz w:val="17"/>
          <w:szCs w:val="17"/>
          <w:color w:val="auto"/>
        </w:rPr>
        <w:t>Of the 1,118,500 AGAs, 254,250 AGAs are subject to an additional non-market performance condition of the successful completion of a public offering raising at least $200 million in gross proceeds. This condition was met on October 24, 2023.</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all the 2023-3, 2023-4 and 2023-5 AGAs are subject to a vesting acceleration condition in case of a tender offer on the securities issued by the Group and resulting in a change of control of the Group.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AGAs granted in February, March, May, July and September 2024</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February 1, 2024, March 28, 2024, May 23, 2024, July 11, 2024 and September 5, 2024 certain of the Group’s officers and employees were allocated respectively 1,549,125 AGAs (AGA plans 2024-1), 22,500 AGAs (AGA plan 2024-2), 38,500 AGAs (AGA plans 2024-3), 138,000 AGAs (AGA plans 2024-4, 5 and 6) and 198,000 AGAs (AGA plans 2024-7), in the aggregate, the vesting of which is subject to certain conditions:</w:t>
      </w:r>
    </w:p>
    <w:p>
      <w:pPr>
        <w:spacing w:after="0" w:line="235" w:lineRule="exact"/>
        <w:rPr>
          <w:sz w:val="20"/>
          <w:szCs w:val="20"/>
          <w:color w:val="auto"/>
        </w:rPr>
      </w:pPr>
    </w:p>
    <w:p>
      <w:pPr>
        <w:jc w:val="both"/>
        <w:ind w:left="660" w:right="60" w:hanging="332"/>
        <w:spacing w:after="0" w:line="272" w:lineRule="auto"/>
        <w:tabs>
          <w:tab w:leader="none" w:pos="660" w:val="left"/>
        </w:tabs>
        <w:numPr>
          <w:ilvl w:val="0"/>
          <w:numId w:val="148"/>
        </w:numPr>
        <w:rPr>
          <w:rFonts w:ascii="Arial" w:cs="Arial" w:eastAsia="Arial" w:hAnsi="Arial"/>
          <w:sz w:val="21"/>
          <w:szCs w:val="21"/>
          <w:color w:val="auto"/>
        </w:rPr>
      </w:pPr>
      <w:r>
        <w:rPr>
          <w:rFonts w:ascii="Times New Roman" w:cs="Times New Roman" w:eastAsia="Times New Roman" w:hAnsi="Times New Roman"/>
          <w:sz w:val="17"/>
          <w:szCs w:val="17"/>
          <w:color w:val="auto"/>
        </w:rPr>
        <w:t>Subject to remaining employed with the Group, each such officer or employee’s AGAs (with the exception of AGAs 2024-6) will be vested as follows: (i) 50% at the end of a two years period from the allocation date, (ii) 25% at the end of a three-year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008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7016115" cy="600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period from the allocation date and (iii) 25% at the end of a four years period from the allocation date (service condition).</w:t>
      </w:r>
    </w:p>
    <w:p>
      <w:pPr>
        <w:spacing w:after="0" w:line="279" w:lineRule="exact"/>
        <w:rPr>
          <w:sz w:val="20"/>
          <w:szCs w:val="20"/>
          <w:color w:val="auto"/>
        </w:rPr>
      </w:pPr>
    </w:p>
    <w:p>
      <w:pPr>
        <w:ind w:left="660" w:right="420" w:hanging="332"/>
        <w:spacing w:after="0" w:line="250"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20,000 AGAs 2024-6 granted to an employee are composed of (i) a first tranche of 10,000 AGAs not subject to any presence of performance condition and (ii) a second tranche of 10,000 AGAs subject to a non-vesting condition, the achievement of which was deemed certain on grant date.</w:t>
      </w:r>
    </w:p>
    <w:p>
      <w:pPr>
        <w:spacing w:after="0" w:line="217" w:lineRule="exact"/>
        <w:rPr>
          <w:rFonts w:ascii="Times New Roman" w:cs="Times New Roman" w:eastAsia="Times New Roman" w:hAnsi="Times New Roman"/>
          <w:sz w:val="18"/>
          <w:szCs w:val="18"/>
          <w:color w:val="auto"/>
        </w:rPr>
      </w:pPr>
    </w:p>
    <w:p>
      <w:pPr>
        <w:ind w:left="660" w:right="180" w:hanging="332"/>
        <w:spacing w:after="0" w:line="260" w:lineRule="auto"/>
        <w:tabs>
          <w:tab w:leader="none" w:pos="660"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18"/>
          <w:szCs w:val="18"/>
          <w:color w:val="auto"/>
        </w:rPr>
        <w:t>Additionally, all the 2024-1 to 2024-7 AGA plans are subject to a vesting acceleration condition in case of a tender offer on the securities issued by the Group and resulting in a change of control of the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AGAs granted in February, March, May, August and November 2025</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From February to November 2025, certain of the Group’s officers and employees were allocated 4,319,500 AGAs (AGA plan 2025-1), 123,102 AGAs (AGA plan 2025-2), 17,625 AGAs (AGA plans 2025-3), 30,500 AGAs (AGA plan 2025-4), 25,000 AGAs (AGA plan 2025-6), 1,711,000 AGAs (AGA plan 2025-7) and 4,000 AGAs (AGA plan 2025-8) in the aggregate, the vesting of which is subject to certain conditions:</w:t>
      </w:r>
    </w:p>
    <w:p>
      <w:pPr>
        <w:spacing w:after="0" w:line="167" w:lineRule="exact"/>
        <w:rPr>
          <w:sz w:val="20"/>
          <w:szCs w:val="20"/>
          <w:color w:val="auto"/>
        </w:rPr>
      </w:pPr>
    </w:p>
    <w:p>
      <w:pPr>
        <w:jc w:val="both"/>
        <w:ind w:left="660" w:right="160" w:hanging="332"/>
        <w:spacing w:after="0" w:line="257" w:lineRule="auto"/>
        <w:tabs>
          <w:tab w:leader="none" w:pos="660" w:val="left"/>
        </w:tabs>
        <w:numPr>
          <w:ilvl w:val="0"/>
          <w:numId w:val="150"/>
        </w:numPr>
        <w:rPr>
          <w:rFonts w:ascii="Arial" w:cs="Arial" w:eastAsia="Arial" w:hAnsi="Arial"/>
          <w:sz w:val="22"/>
          <w:szCs w:val="22"/>
          <w:color w:val="auto"/>
        </w:rPr>
      </w:pPr>
      <w:r>
        <w:rPr>
          <w:rFonts w:ascii="Times New Roman" w:cs="Times New Roman" w:eastAsia="Times New Roman" w:hAnsi="Times New Roman"/>
          <w:sz w:val="18"/>
          <w:szCs w:val="18"/>
          <w:color w:val="auto"/>
        </w:rPr>
        <w:t>Subject to remaining employed with the Group, each such officer or employee’s AGAs will be vested as follows: (i) 50% at the end of a two-year period from the allocation date, (ii) 25% at the end of a three-year period from the allocation date and (iii) 25% at the end of a four-year period from the allocation date (service condition).</w:t>
      </w:r>
    </w:p>
    <w:p>
      <w:pPr>
        <w:spacing w:after="0" w:line="1" w:lineRule="exact"/>
        <w:rPr>
          <w:rFonts w:ascii="Arial" w:cs="Arial" w:eastAsia="Arial" w:hAnsi="Arial"/>
          <w:sz w:val="22"/>
          <w:szCs w:val="22"/>
          <w:color w:val="auto"/>
        </w:rPr>
      </w:pPr>
    </w:p>
    <w:p>
      <w:pPr>
        <w:ind w:left="660" w:right="180" w:hanging="33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exception to the above, the vesting of almost half of the 4,319,500 2025-1 AGAs is subject to the occurrence of a tender offer on the securities issued by the Group and resulting in a change of control of the Group before a certain date, and the 123,102 2025-2 AGAs will vest entirely at the end of a two-year period from the allocation date, subject to future service condition.</w:t>
      </w:r>
    </w:p>
    <w:p>
      <w:pPr>
        <w:spacing w:after="0" w:line="2" w:lineRule="exact"/>
        <w:rPr>
          <w:rFonts w:ascii="Times New Roman" w:cs="Times New Roman" w:eastAsia="Times New Roman" w:hAnsi="Times New Roman"/>
          <w:sz w:val="18"/>
          <w:szCs w:val="18"/>
          <w:color w:val="auto"/>
        </w:rPr>
      </w:pPr>
    </w:p>
    <w:p>
      <w:pPr>
        <w:ind w:left="660" w:right="40" w:hanging="332"/>
        <w:spacing w:after="0" w:line="258"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all the AGA plans granted in 2025 are subject to a vesting acceleration condition in case of a tender offer on the securities issued by the Group and resulting in a change of control of the Group.</w:t>
      </w:r>
    </w:p>
    <w:p>
      <w:pPr>
        <w:spacing w:after="0" w:line="18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March 2025, a Group employee was allocated 50,000 AGAs (AGA plan 2025-5), the vesting of which is subject to the achievement of certain milestones related to clinical studies and market authorization of ABX464 in UC and CD as well as future service. These AGAs are also subject to a vesting acceleration condition in case of a tender offer on the securities issued by the Group and resulting in a change of control of the Group. Following the departure of the beneficiary during the period, the expense related to this plan has been reversed.</w:t>
      </w:r>
    </w:p>
    <w:p>
      <w:pPr>
        <w:sectPr>
          <w:pgSz w:w="11900" w:h="16838" w:orient="portrait"/>
          <w:cols w:equalWidth="0" w:num="1">
            <w:col w:w="9720"/>
          </w:cols>
          <w:pgMar w:left="1080" w:top="324" w:right="1099" w:bottom="1109"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053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016115" cy="305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73799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7016115" cy="7379970"/>
                    </a:xfrm>
                    <a:prstGeom prst="rect">
                      <a:avLst/>
                    </a:prstGeom>
                    <a:noFill/>
                  </pic:spPr>
                </pic:pic>
              </a:graphicData>
            </a:graphic>
          </wp:anchor>
        </w:drawing>
      </w:r>
    </w:p>
    <w:p>
      <w:pPr>
        <w:sectPr>
          <w:pgSz w:w="11900" w:h="16838" w:orient="portrait"/>
          <w:cols w:equalWidth="0" w:num="1">
            <w:col w:w="9560"/>
          </w:cols>
          <w:pgMar w:left="1080" w:top="144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taxes related to AGAs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AGA plans granted to the Group's officers and employees are subject to employer's taxes, measured in accordance with the same principles as the AGA plans. These taxes are paid upon the vesting date of the awards and their amount is based on the fair value of the underlying share at that date. They are therefore remeasured at every reporting date, using the listed share price at that date. They are classified as provisions before they are due.</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231F20"/>
        </w:rPr>
        <w:t>Breakdown of the compensation expenses accounted for the period ended December 31, 2023, 2024 and 2025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8"/>
        </w:trPr>
        <w:tc>
          <w:tcPr>
            <w:tcW w:w="2160" w:type="dxa"/>
            <w:vAlign w:val="bottom"/>
            <w:vMerge w:val="continue"/>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82"/>
        </w:trPr>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1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BCEs</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BSAs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21"/>
        </w:trPr>
        <w:tc>
          <w:tcPr>
            <w:tcW w:w="21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AGAs</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60" w:type="dxa"/>
            <w:vAlign w:val="bottom"/>
            <w:shd w:val="clear" w:color="auto" w:fill="CCECFF"/>
          </w:tcPr>
          <w:p>
            <w:pPr>
              <w:spacing w:after="0"/>
              <w:rPr>
                <w:sz w:val="19"/>
                <w:szCs w:val="19"/>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(19,900)</w:t>
            </w:r>
          </w:p>
        </w:tc>
        <w:tc>
          <w:tcPr>
            <w:tcW w:w="40" w:type="dxa"/>
            <w:vAlign w:val="bottom"/>
            <w:shd w:val="clear" w:color="auto" w:fill="CCECFF"/>
          </w:tcPr>
          <w:p>
            <w:pPr>
              <w:spacing w:after="0"/>
              <w:rPr>
                <w:sz w:val="19"/>
                <w:szCs w:val="19"/>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(35,108)</w:t>
            </w:r>
          </w:p>
        </w:tc>
        <w:tc>
          <w:tcPr>
            <w:tcW w:w="0" w:type="dxa"/>
            <w:vAlign w:val="bottom"/>
          </w:tcPr>
          <w:p>
            <w:pPr>
              <w:spacing w:after="0"/>
              <w:rPr>
                <w:sz w:val="1"/>
                <w:szCs w:val="1"/>
                <w:color w:val="auto"/>
              </w:rPr>
            </w:pPr>
          </w:p>
        </w:tc>
      </w:tr>
      <w:tr>
        <w:trPr>
          <w:trHeight w:val="224"/>
        </w:trPr>
        <w:tc>
          <w:tcPr>
            <w:tcW w:w="21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4"/>
                <w:szCs w:val="14"/>
                <w:color w:val="auto"/>
              </w:rPr>
              <w:t>Social taxes related to AGAs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60" w:type="dxa"/>
            <w:vAlign w:val="bottom"/>
            <w:tcBorders>
              <w:bottom w:val="single" w:sz="8" w:color="CCEC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tcBorders>
              <w:bottom w:val="single" w:sz="8" w:color="CCEC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(48,990)</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(8,605)</w:t>
            </w:r>
          </w:p>
        </w:tc>
        <w:tc>
          <w:tcPr>
            <w:tcW w:w="60" w:type="dxa"/>
            <w:vAlign w:val="bottom"/>
            <w:tcBorders>
              <w:bottom w:val="single" w:sz="8" w:color="CCECFF"/>
            </w:tcBorders>
            <w:shd w:val="clear" w:color="auto" w:fill="CCECFF"/>
          </w:tcPr>
          <w:p>
            <w:pPr>
              <w:spacing w:after="0"/>
              <w:rPr>
                <w:sz w:val="16"/>
                <w:szCs w:val="16"/>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(20,941)</w:t>
            </w:r>
          </w:p>
        </w:tc>
        <w:tc>
          <w:tcPr>
            <w:tcW w:w="40" w:type="dxa"/>
            <w:vAlign w:val="bottom"/>
            <w:tcBorders>
              <w:bottom w:val="single" w:sz="8" w:color="CCECFF"/>
            </w:tcBorders>
            <w:shd w:val="clear" w:color="auto" w:fill="CCECFF"/>
          </w:tcPr>
          <w:p>
            <w:pPr>
              <w:spacing w:after="0"/>
              <w:rPr>
                <w:sz w:val="16"/>
                <w:szCs w:val="16"/>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(84,387)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CFF"/>
            </w:tcBorders>
          </w:tcPr>
          <w:p>
            <w:pPr>
              <w:spacing w:after="0" w:line="20" w:lineRule="exact"/>
              <w:rPr>
                <w:sz w:val="1"/>
                <w:szCs w:val="1"/>
                <w:color w:val="auto"/>
              </w:rPr>
            </w:pPr>
          </w:p>
        </w:tc>
        <w:tc>
          <w:tcPr>
            <w:tcW w:w="1160" w:type="dxa"/>
            <w:vAlign w:val="bottom"/>
            <w:tcBorders>
              <w:top w:val="single" w:sz="8" w:color="CCECFF"/>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c>
          <w:tcPr>
            <w:tcW w:w="40" w:type="dxa"/>
            <w:vAlign w:val="bottom"/>
            <w:tcBorders>
              <w:top w:val="single" w:sz="8" w:color="CCECFF"/>
            </w:tcBorders>
          </w:tcPr>
          <w:p>
            <w:pPr>
              <w:spacing w:after="0" w:line="20" w:lineRule="exact"/>
              <w:rPr>
                <w:sz w:val="1"/>
                <w:szCs w:val="1"/>
                <w:color w:val="auto"/>
              </w:rPr>
            </w:pPr>
          </w:p>
        </w:tc>
        <w:tc>
          <w:tcPr>
            <w:tcW w:w="118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60"/>
        <w:spacing w:after="0" w:line="250" w:lineRule="auto"/>
        <w:rPr>
          <w:sz w:val="20"/>
          <w:szCs w:val="20"/>
          <w:color w:val="auto"/>
        </w:rPr>
      </w:pPr>
      <w:r>
        <w:rPr>
          <w:rFonts w:ascii="Times New Roman" w:cs="Times New Roman" w:eastAsia="Times New Roman" w:hAnsi="Times New Roman"/>
          <w:sz w:val="18"/>
          <w:szCs w:val="18"/>
          <w:color w:val="auto"/>
        </w:rPr>
        <w:t>The significant amount of social taxes related to AGAs (and related provisions) for the year ended December 31, 2025 is predominantly attributable to the increase in the price of the underlying shares over the period.</w:t>
      </w:r>
    </w:p>
    <w:p>
      <w:pPr>
        <w:spacing w:after="0" w:line="10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Provisions for social taxes related to AGAs are classified within the Current Provisions and Non-current Provisions line items in the balance sheet, which amount to respectively €16,467 thousand and €28,718 thousand as of December 31, 2025.</w:t>
      </w:r>
    </w:p>
    <w:p>
      <w:pPr>
        <w:sectPr>
          <w:pgSz w:w="11900" w:h="16838" w:orient="portrait"/>
          <w:cols w:equalWidth="0" w:num="1">
            <w:col w:w="9560"/>
          </w:cols>
          <w:pgMar w:left="1080" w:top="1440" w:right="1259" w:bottom="1440" w:gutter="0" w:footer="0" w:header="0"/>
          <w:type w:val="continuous"/>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682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016115" cy="168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87515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7016115" cy="8751570"/>
                    </a:xfrm>
                    <a:prstGeom prst="rect">
                      <a:avLst/>
                    </a:prstGeom>
                    <a:noFill/>
                  </pic:spPr>
                </pic:pic>
              </a:graphicData>
            </a:graphic>
          </wp:anchor>
        </w:drawing>
      </w:r>
    </w:p>
    <w:p>
      <w:pPr>
        <w:sectPr>
          <w:pgSz w:w="11900" w:h="16838" w:orient="portrait"/>
          <w:cols w:equalWidth="0" w:num="1">
            <w:col w:w="9600"/>
          </w:cols>
          <w:pgMar w:left="1080" w:top="1440" w:right="1219" w:bottom="5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liabilities</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Financial liabilities break down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ind w:left="82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4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Kreos &amp; Claret bond loans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26,373</w:t>
            </w:r>
          </w:p>
        </w:tc>
        <w:tc>
          <w:tcPr>
            <w:tcW w:w="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PGE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2,563</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29,056</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Kreos &amp; Claret convertible notes (OCABSA)</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21,643</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23,370</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 loan notes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21,643</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23,370</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Kreos &amp; Claret minimal return indemnifications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3,620</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Conditional advances Bpifrance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13,023</w:t>
            </w: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30,237</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15,491</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13,023</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30,237</w:t>
            </w:r>
          </w:p>
        </w:tc>
        <w:tc>
          <w:tcPr>
            <w:tcW w:w="0" w:type="dxa"/>
            <w:vAlign w:val="bottom"/>
          </w:tcPr>
          <w:p>
            <w:pPr>
              <w:spacing w:after="0"/>
              <w:rPr>
                <w:sz w:val="1"/>
                <w:szCs w:val="1"/>
                <w:color w:val="auto"/>
              </w:rPr>
            </w:pPr>
          </w:p>
        </w:tc>
      </w:tr>
      <w:tr>
        <w:trPr>
          <w:trHeight w:val="169"/>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financial liabilities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39,697</w:t>
            </w:r>
          </w:p>
        </w:tc>
        <w:tc>
          <w:tcPr>
            <w:tcW w:w="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69,069</w:t>
            </w:r>
          </w:p>
        </w:tc>
        <w:tc>
          <w:tcPr>
            <w:tcW w:w="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30,790</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44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Kreos &amp; Claret bond loans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20,028</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1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PGE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1,655</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22,195</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Heights convertible notes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29,605</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21,574</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 loan notes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29,605</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21,574</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Conditional advances Bpifrance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Other financial liabilities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3,509</w:t>
            </w:r>
          </w:p>
        </w:tc>
        <w:tc>
          <w:tcPr>
            <w:tcW w:w="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Kreos &amp; Claret BSA</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6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6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2,579</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w:t>
            </w:r>
          </w:p>
        </w:tc>
        <w:tc>
          <w:tcPr>
            <w:tcW w:w="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current financial liabilities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37,348</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44,935</w:t>
            </w: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1,302</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77,045</w:t>
            </w:r>
          </w:p>
        </w:tc>
        <w:tc>
          <w:tcPr>
            <w:tcW w:w="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114,004</w:t>
            </w:r>
          </w:p>
        </w:tc>
        <w:tc>
          <w:tcPr>
            <w:tcW w:w="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15.1. Structured debt financing with Kreos &amp; Claret subscribed in August 2023 – “Kreos / Claret Financing”</w:t>
      </w:r>
    </w:p>
    <w:p>
      <w:pPr>
        <w:spacing w:after="0" w:line="20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On August 20, 2023, the Group entered into a structured debt financing agreement with Kreos and Claret (the Kreos / Claret Financing), for up to €75,000 thousand.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22, 2023, the Group repaid in full the pre-existing debt agreements with Kreos for a total amount of €7,661 thousand. The accounting treatment of this transaction is explained in Note 15.3.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Kreos / Claret Financing consists of three tranches of €25,000 thousand each in aggregate principal amount:</w:t>
      </w:r>
    </w:p>
    <w:p>
      <w:pPr>
        <w:spacing w:after="0" w:line="198" w:lineRule="exact"/>
        <w:rPr>
          <w:sz w:val="20"/>
          <w:szCs w:val="20"/>
          <w:color w:val="auto"/>
        </w:rPr>
      </w:pPr>
    </w:p>
    <w:p>
      <w:pPr>
        <w:ind w:left="660" w:hanging="332"/>
        <w:spacing w:after="0" w:line="245"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(“tranche A”) in aggregate principal amount of €25,000 thousand takes the form of senior secured convertible bonds with warrants attached (the “Kreos / Claret OCABSA”) and was drawn on August 22, 2023.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67" w:lineRule="exact"/>
        <w:rPr>
          <w:rFonts w:ascii="Times New Roman" w:cs="Times New Roman" w:eastAsia="Times New Roman" w:hAnsi="Times New Roman"/>
          <w:sz w:val="18"/>
          <w:szCs w:val="18"/>
          <w:color w:val="auto"/>
        </w:rPr>
      </w:pPr>
    </w:p>
    <w:p>
      <w:pPr>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Kreos / Claret OCABSA accrues at a 9.00% annual fixed interest rate, payable in quarterly installments. The Kreos / Claret OCBSA’s maturity date is March 31, 2027, it being specified that the scheduled date of final repayment is January 1, 2027.</w:t>
      </w:r>
    </w:p>
    <w:p>
      <w:pPr>
        <w:sectPr>
          <w:pgSz w:w="11900" w:h="16838" w:orient="portrait"/>
          <w:cols w:equalWidth="0" w:num="1">
            <w:col w:w="9600"/>
          </w:cols>
          <w:pgMar w:left="1080" w:top="1440" w:right="1219" w:bottom="561"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105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7016115" cy="310515"/>
                    </a:xfrm>
                    <a:prstGeom prst="rect">
                      <a:avLst/>
                    </a:prstGeom>
                    <a:noFill/>
                  </pic:spPr>
                </pic:pic>
              </a:graphicData>
            </a:graphic>
          </wp:anchor>
        </w:drawing>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90735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20"/>
          </w:cols>
          <w:pgMar w:left="1080" w:top="175"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60"/>
        <w:spacing w:after="0"/>
        <w:rPr>
          <w:sz w:val="20"/>
          <w:szCs w:val="20"/>
          <w:color w:val="auto"/>
        </w:rPr>
      </w:pPr>
      <w:r>
        <w:rPr>
          <w:rFonts w:ascii="Times New Roman" w:cs="Times New Roman" w:eastAsia="Times New Roman" w:hAnsi="Times New Roman"/>
          <w:sz w:val="18"/>
          <w:szCs w:val="18"/>
          <w:color w:val="auto"/>
        </w:rPr>
        <w:t>The Group is allowed to prepay the amounts due under the Kreos / Claret OCABSA at any time. In such case, the Group will be required to pay a sum equal to (i) the principal outstanding at the time of the prepayment (plus accrued interests), plus (ii) an aggregate of all remaining interest payments that would have been paid throughout the remainder of the term of the tranche, discounted to present value by applying a discount rate of 4%, plus (iii) an end-of-loan exit fee equal to 8.0% of the amounts drawn thereunder. In case of prepayment, the holders of the Kreos / Claret OCABSA will have the option to request a conversion of their Kreos / Claret OCABSA instead of a cash repayment, in which case, the end-of-loan exit fee is not payable by the Group.</w:t>
      </w:r>
    </w:p>
    <w:p>
      <w:pPr>
        <w:spacing w:after="0" w:line="171" w:lineRule="exact"/>
        <w:rPr>
          <w:sz w:val="20"/>
          <w:szCs w:val="20"/>
          <w:color w:val="auto"/>
        </w:rPr>
      </w:pPr>
    </w:p>
    <w:p>
      <w:pPr>
        <w:ind w:left="660" w:right="20"/>
        <w:spacing w:after="0" w:line="244" w:lineRule="auto"/>
        <w:rPr>
          <w:sz w:val="20"/>
          <w:szCs w:val="20"/>
          <w:color w:val="auto"/>
        </w:rPr>
      </w:pPr>
      <w:r>
        <w:rPr>
          <w:rFonts w:ascii="Times New Roman" w:cs="Times New Roman" w:eastAsia="Times New Roman" w:hAnsi="Times New Roman"/>
          <w:sz w:val="18"/>
          <w:szCs w:val="18"/>
          <w:color w:val="auto"/>
        </w:rPr>
        <w:t>The warrants included in the Kreos / Claret OCABSA will only become exercisable in case of prepayment in cash of the Kreos / Claret convertible bonds by the Group. Upon exercise of the warrants, their holders will be able to subscribe to the same number of ordinary shares (and at the same price conditions) as they would have been able to subscribe had they converted the Kreos / Claret OCABSA which have been prepaid in cash. Any warrants not exercised on or prior to January 1, 2027 will become automatically null and void. For the avoidance of doubt, if the Group does not prepay any Kreos / Claret OCABSA in cash prior to their scheduled repayment dates, none of the warrants will be exercisable.</w:t>
      </w:r>
    </w:p>
    <w:p>
      <w:pPr>
        <w:spacing w:after="0" w:line="182" w:lineRule="exact"/>
        <w:rPr>
          <w:sz w:val="20"/>
          <w:szCs w:val="20"/>
          <w:color w:val="auto"/>
        </w:rPr>
      </w:pPr>
    </w:p>
    <w:p>
      <w:pPr>
        <w:ind w:left="660" w:right="160" w:hanging="332"/>
        <w:spacing w:after="0" w:line="258" w:lineRule="auto"/>
        <w:tabs>
          <w:tab w:leader="none" w:pos="6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tranche (“tranche B”) in aggregate principal amount of €25,000 thousand takes the form of senior secured non-convertible bonds and was drawn on March 28, 2024. The drawdown of the second tranche was subject to a maximum 10% Debt-To-Market Capitalization Ratio at the time of drawdown. The “Debt-To-Market Capitalization Ratio” is calculated on any relevant date, by dividing (i) the indebtedness of the Group (including amounts due under the Kreos / Claret Financing but excluding amounts due under the Heights Financing), by (ii) the market capitalization of the Group calculated by multiplying the number of outstanding ordinary shares by the closing price of the ordinary shares on such relevant date.</w:t>
      </w:r>
    </w:p>
    <w:p>
      <w:pPr>
        <w:spacing w:after="0" w:line="143" w:lineRule="exact"/>
        <w:rPr>
          <w:rFonts w:ascii="Times New Roman" w:cs="Times New Roman" w:eastAsia="Times New Roman" w:hAnsi="Times New Roman"/>
          <w:sz w:val="17"/>
          <w:szCs w:val="17"/>
          <w:color w:val="auto"/>
        </w:rPr>
      </w:pPr>
    </w:p>
    <w:p>
      <w:pPr>
        <w:ind w:left="660" w:hanging="332"/>
        <w:spacing w:after="0" w:line="241"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third tranche (“tranche C”) in aggregate principal amount of €25,000 thousand takes the form of senior secured non-convertible bonds and was drawn on June 21, 2024. The drawdown of the third tranche was subject to a maximum 10% Debt-To-Market Capitalization Ratio at the time of drawdown (excluding the Heights Financing) and was conditional on the Group raising a minimum of $125,000 thousand in gross proceeds through a listing on Nasdaq before June 30, 2024. This condition </w:t>
      </w:r>
      <w:r>
        <w:rPr>
          <w:rFonts w:ascii="Times New Roman" w:cs="Times New Roman" w:eastAsia="Times New Roman" w:hAnsi="Times New Roman"/>
          <w:sz w:val="18"/>
          <w:szCs w:val="18"/>
          <w:color w:val="auto"/>
          <w:highlight w:val="white"/>
        </w:rPr>
        <w:t xml:space="preserve">was met on October 24, 2023 (see Note 3.3 - </w:t>
      </w:r>
      <w:r>
        <w:rPr>
          <w:rFonts w:ascii="Times New Roman" w:cs="Times New Roman" w:eastAsia="Times New Roman" w:hAnsi="Times New Roman"/>
          <w:sz w:val="18"/>
          <w:szCs w:val="18"/>
          <w:i w:val="1"/>
          <w:iCs w:val="1"/>
          <w:color w:val="auto"/>
        </w:rPr>
        <w:t>Conversion of the Heights convertible notes, Kreos OCABSA and Kreos / Claret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i w:val="1"/>
          <w:iCs w:val="1"/>
          <w:color w:val="auto"/>
        </w:rPr>
        <w:t>BSA and prepayment of the Kreos / Claret Tranches B and C bond loans – July-December 2025</w:t>
      </w:r>
      <w:r>
        <w:rPr>
          <w:rFonts w:ascii="Times New Roman" w:cs="Times New Roman" w:eastAsia="Times New Roman" w:hAnsi="Times New Roman"/>
          <w:sz w:val="18"/>
          <w:szCs w:val="18"/>
          <w:color w:val="auto"/>
          <w:highlight w:val="white"/>
        </w:rPr>
        <w:t>).</w:t>
      </w:r>
    </w:p>
    <w:p>
      <w:pPr>
        <w:spacing w:after="0" w:line="170" w:lineRule="exact"/>
        <w:rPr>
          <w:rFonts w:ascii="Times New Roman" w:cs="Times New Roman" w:eastAsia="Times New Roman" w:hAnsi="Times New Roman"/>
          <w:sz w:val="18"/>
          <w:szCs w:val="18"/>
          <w:color w:val="auto"/>
        </w:rPr>
      </w:pPr>
    </w:p>
    <w:p>
      <w:pPr>
        <w:jc w:val="both"/>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interest rate of 7.5% + European Central Bank Base Rate (MRO) (with a floor at 2.5% and a cap at 4%) applies to the second and third tranche. These two tranches will be repaid monthly through March 31, 2027, after a deferred repayment of the principal until February 1, 2025.</w:t>
      </w:r>
    </w:p>
    <w:p>
      <w:pPr>
        <w:spacing w:after="0" w:line="163" w:lineRule="exact"/>
        <w:rPr>
          <w:rFonts w:ascii="Times New Roman" w:cs="Times New Roman" w:eastAsia="Times New Roman" w:hAnsi="Times New Roman"/>
          <w:sz w:val="18"/>
          <w:szCs w:val="18"/>
          <w:color w:val="auto"/>
        </w:rPr>
      </w:pPr>
    </w:p>
    <w:p>
      <w:pPr>
        <w:ind w:left="660" w:right="2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allowed to prepay the amounts due under the second and third tranches of the Kreos / Claret Financing at any time. In such case, The Group will be required to pay a sum equal to (i) the principal outstanding at the time of the prepayment (plus accrued interests), plus (ii) an aggregate of all remaining interest payments that would have been paid throughout the remainder of the term of the applicable tranche, discounted to present value by applying a discount rate of 4%, plus (iii) an end-of-loan exit fee equal to 6.0% of the amounts drawn under the applicable tranche.</w:t>
      </w:r>
    </w:p>
    <w:p>
      <w:pPr>
        <w:spacing w:after="0" w:line="171"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18"/>
          <w:szCs w:val="18"/>
          <w:color w:val="auto"/>
        </w:rPr>
        <w:t>The Kreos / Claret Financing also provides for a Minimal Return Indemnification ("MRI") to the benefit of the bondholders. The Minimum Cash Return amount is defined as follows:</w:t>
      </w:r>
    </w:p>
    <w:p>
      <w:pPr>
        <w:spacing w:after="0" w:line="1" w:lineRule="exact"/>
        <w:rPr>
          <w:sz w:val="20"/>
          <w:szCs w:val="20"/>
          <w:color w:val="auto"/>
        </w:rPr>
      </w:pPr>
    </w:p>
    <w:p>
      <w:pPr>
        <w:ind w:left="660" w:right="620" w:hanging="8"/>
        <w:spacing w:after="0" w:line="234" w:lineRule="auto"/>
        <w:tabs>
          <w:tab w:leader="none" w:pos="8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tranche A and tranche B, 1.4 times the amount of the cumulated principal drawn under the relevant instrument, and;</w:t>
      </w:r>
    </w:p>
    <w:p>
      <w:pPr>
        <w:spacing w:after="0" w:line="1" w:lineRule="exact"/>
        <w:rPr>
          <w:rFonts w:ascii="Times New Roman" w:cs="Times New Roman" w:eastAsia="Times New Roman" w:hAnsi="Times New Roman"/>
          <w:sz w:val="18"/>
          <w:szCs w:val="18"/>
          <w:color w:val="auto"/>
        </w:rPr>
      </w:pPr>
    </w:p>
    <w:p>
      <w:pPr>
        <w:ind w:left="920" w:hanging="268"/>
        <w:spacing w:after="0"/>
        <w:tabs>
          <w:tab w:leader="none" w:pos="9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tranche C, 1.3 times the amount of the cumulated principal drawn under the relevant instrument.</w:t>
      </w:r>
    </w:p>
    <w:p>
      <w:pPr>
        <w:spacing w:after="0" w:line="219"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In the event the amount of the cash generated by the tranche A (the Kreos / Claret OCABSA), tranche B or tranche C bond loans, including principal and interest payments, transaction fees, and the end-of-loan exit fees, (the “Actual Return” calculated as at the earlier of (i) March 31, 2027, or (ii) the date of any prepayment or acceleration of the tranche B and C bond loans or more generally such earlier date as the same shall become repayable ("the Redemption Date")), is lower than the Minimum Cash Return, the Group shall indemnify the bondholders for the difference between the Minimum Cash Return and the Actual Return (the “Minimal Return Indemnification").</w:t>
      </w:r>
    </w:p>
    <w:p>
      <w:pPr>
        <w:spacing w:after="0" w:line="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If at the time of the Minimum Return Indemnification payment, the warrants related to both the OCABSA Bonds and the Tranche B amortized bonds (the “Kreos / Claret A-B warrants”) or the Kreos / Claret Tranche C warrants are still outstanding, the exercise price for such warrants shall be adjusted up by the amount of the Minimum Return Indemnification divided by the number of warrants outstanding. For any Kreos / Claret A-B or C warrants that were exercised prior to the last Redemption Date, any capital gains made from the exercise of such warrants will be added to the Minimum Cash Return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9677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7016115" cy="967740"/>
                    </a:xfrm>
                    <a:prstGeom prst="rect">
                      <a:avLst/>
                    </a:prstGeom>
                    <a:noFill/>
                  </pic:spPr>
                </pic:pic>
              </a:graphicData>
            </a:graphic>
          </wp:anchor>
        </w:drawing>
      </w:r>
    </w:p>
    <w:p>
      <w:pPr>
        <w:sectPr>
          <w:pgSz w:w="11900" w:h="16838" w:orient="portrait"/>
          <w:cols w:equalWidth="0" w:num="1">
            <w:col w:w="9720"/>
          </w:cols>
          <w:pgMar w:left="1080" w:top="175" w:right="10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repayment of the Tranche A and B bond loans results from a change of control (in which case the calculation of the Actual</w:t>
      </w:r>
    </w:p>
    <w:p>
      <w:pPr>
        <w:sectPr>
          <w:pgSz w:w="11900" w:h="16838" w:orient="portrait"/>
          <w:cols w:equalWidth="0" w:num="1">
            <w:col w:w="9720"/>
          </w:cols>
          <w:pgMar w:left="1080" w:top="175" w:right="1099" w:bottom="0" w:gutter="0" w:footer="0" w:header="0"/>
          <w:type w:val="continuous"/>
        </w:sectPr>
      </w:pPr>
    </w:p>
    <w:bookmarkStart w:id="181" w:name="page182"/>
    <w:bookmarkEnd w:id="181"/>
    <w:p>
      <w:pPr>
        <w:ind w:right="320"/>
        <w:spacing w:after="0" w:line="227" w:lineRule="auto"/>
        <w:rPr>
          <w:sz w:val="20"/>
          <w:szCs w:val="20"/>
          <w:color w:val="auto"/>
        </w:rPr>
      </w:pPr>
      <w:r>
        <w:rPr>
          <w:rFonts w:ascii="Times New Roman" w:cs="Times New Roman" w:eastAsia="Times New Roman" w:hAnsi="Times New Roman"/>
          <w:sz w:val="17"/>
          <w:szCs w:val="17"/>
          <w:color w:val="auto"/>
        </w:rPr>
        <w:t>Return shall only include (i) interest accrued prior to conversion of any Tranche A OCABSA, (ii) transaction and end-of-loan exit fees, and (iii) the net capital gain derived from the sale of shares underlying the Tranche A OCABSA within the framework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-213995</wp:posOffset>
            </wp:positionV>
            <wp:extent cx="7016115" cy="80943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7016115" cy="8094345"/>
                    </a:xfrm>
                    <a:prstGeom prst="rect">
                      <a:avLst/>
                    </a:prstGeom>
                    <a:noFill/>
                  </pic:spPr>
                </pic:pic>
              </a:graphicData>
            </a:graphic>
          </wp:anchor>
        </w:drawing>
      </w:r>
    </w:p>
    <w:p>
      <w:pPr>
        <w:ind w:right="140"/>
        <w:spacing w:after="0" w:line="234" w:lineRule="auto"/>
        <w:rPr>
          <w:sz w:val="20"/>
          <w:szCs w:val="20"/>
          <w:color w:val="auto"/>
        </w:rPr>
      </w:pPr>
      <w:r>
        <w:rPr>
          <w:rFonts w:ascii="Times New Roman" w:cs="Times New Roman" w:eastAsia="Times New Roman" w:hAnsi="Times New Roman"/>
          <w:sz w:val="18"/>
          <w:szCs w:val="18"/>
          <w:color w:val="auto"/>
        </w:rPr>
        <w:t>change of control transaction), neither the principal subscribed under Tranche A nor the Actual Return generated by Tranche A shall be included in the calculation of the Minimum Return Indemnification (i.e. the Minimum Cash Return and the Actual Return shall only be calculated, and the Minimum Return Indemnification shall only apply to Tranche B and Tranche C).</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Kreos / Claret Financing provides for certain restrictive covenants (subject to customary exceptions) which include, among other things, restrictions on the incurrence of indebtedness, cross-default, the distribution of dividends and the grant of security interests. As security for the Kreos / Claret Financing, the lenders benefit from the grant of first-ranking collateral on The Group’s principal tangible and intangible assets, including pledges over The Group’s business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as a going concern and intellectual property rights in The Group's lead drug candidate, as well as pledges over The Group’s bank accounts and receivables. Such securities apply to all tranches of the Kreos / Claret Financing.</w:t>
      </w:r>
    </w:p>
    <w:p>
      <w:pPr>
        <w:spacing w:after="0" w:line="17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In addition to the Kreos / Claret OCABSA, the Group has issued warrants (the “tranche A-B BSA”) for a global subscription price of €1.00, giving Kreos and Claret the right to subscribe to up to 214,198 new ordinary shares at an exercise price of €18.6744 (corresponding to a 10% premium over the 15-day VWAP prior to the date on which their issuance was decided). On November 2, 2023, a second tranche of 405,832 Kreos / Claret warrants (the “tranche C BSA”) was issued. The exercise price of the additional warrants is equal to approximately €9.86 (corresponding to 110% of the 15-day VWAP prior to the date on which their issuance was decided). The number of warrants issued corresponds to €4,000,000 divided by the aforementioned exercise price (i.e. 405,832 warrants). Of these additional warrants, 50% are exercisable immediately and the remaining 50% (“the conditional warrants”) shall only be exercisable if the third tranche of the Kreos / Claret Financing is drawn by the Group. The Kreos / Claret warrants can be exercised over a period of 7 years from their issuance date or up until the date of the successful closing of a tender offer for the ordinary shares, whichever is earlier. At the time of exercise of the Kreos / Claret warrants, the holders of the warrants are eligible to sell part of their warrants to the Group in accordance with a put option agreement to allow for a cashless exercise.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the liabilities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August 8, 2025, Kreos Capital VII (UK) Limited converted the Tranche A portion of the Kreos / Claret Financing (the Kreos / Claret OCABSA), resulting in the issuance of 785,389 ordinary shares and an increase in equity by €16,058 thousand.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30, 2025, Kreos Capital VII Aggregator SCSp opted for the cashless exercise of its share warrants (the tranche A-B BSA and tranche C BSA), implemented through the repurchase by the Group of 94,117 tranche A-B and C BSA and the issuance of 319,251 ordinary shares of the Group and an increase in equity by €19,570 thousand.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28, 2025, Claret European Growth Capital Fund III SCSp, exercised its share warrants (the tranche A-B BSA and tranche C BSA), resulting in the issuance of 206,662 ordinary shares of the Group and an increase in equity by €14,198 thousand.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August 2025, as a result of (i) the repayments of principal and interests made until that date under the Kreos / Claret Financing, (ii) the exercise of the Tranche A-B and C BSA and (iii) the conversion of the Kreos OCABSA, the cash generated thereby met the Minimum Cash Return due to the Kreos / Claret bondholders. Consequently, as no further payment could be due by the Group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3393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01611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relation to the Kreos / Claret Minimal Return Indemnification, the MRI derivatives were derecognized, resulting in a financial income of €3,620 thousand for the year ended December 31, 2025.</w:t>
      </w:r>
    </w:p>
    <w:p>
      <w:pPr>
        <w:spacing w:after="0" w:line="1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November 25, 2025, Claret European Growth Capital Fund III SCSp converted its portion of the Tranche A portion of the Kreos / Claret Financing (the Claret OCABSA), resulting in the issuance of 392,695 ordinary shares and an increase in equity by €8,296 thousand.</w:t>
      </w:r>
    </w:p>
    <w:p>
      <w:pPr>
        <w:spacing w:after="0" w:line="17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On November 28, 2025, the Group notified the bondholders of its intention to prepay in full the outstanding balances of Tranches B and C of the Kreos / Claret Financing. The transaction was completed on December 23, 2025. The total amount paid by the Group at that date amounted to €33,823 thousand, consisting of:</w:t>
      </w:r>
    </w:p>
    <w:p>
      <w:pPr>
        <w:spacing w:after="0" w:line="1" w:lineRule="exact"/>
        <w:rPr>
          <w:sz w:val="20"/>
          <w:szCs w:val="20"/>
          <w:color w:val="auto"/>
        </w:rPr>
      </w:pPr>
    </w:p>
    <w:p>
      <w:pPr>
        <w:ind w:left="660" w:hanging="332"/>
        <w:spacing w:after="0"/>
        <w:tabs>
          <w:tab w:leader="none" w:pos="66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of €29,903 thousand, from which the deposit amount of €1,081 thousand initially paid by the Group</w:t>
      </w:r>
    </w:p>
    <w:p>
      <w:pPr>
        <w:sectPr>
          <w:pgSz w:w="11900" w:h="16838" w:orient="portrait"/>
          <w:cols w:equalWidth="0" w:num="1">
            <w:col w:w="9680"/>
          </w:cols>
          <w:pgMar w:left="1080" w:top="108" w:right="1139" w:bottom="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auto"/>
        </w:rPr>
        <w:t>to Kreos and Claret was deducted,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-77470</wp:posOffset>
            </wp:positionV>
            <wp:extent cx="7016115" cy="67227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016115" cy="6722745"/>
                    </a:xfrm>
                    <a:prstGeom prst="rect">
                      <a:avLst/>
                    </a:prstGeom>
                    <a:noFill/>
                  </pic:spPr>
                </pic:pic>
              </a:graphicData>
            </a:graphic>
          </wp:anchor>
        </w:drawing>
      </w:r>
    </w:p>
    <w:p>
      <w:pPr>
        <w:ind w:left="32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future interests discounted at a discount rate of 4% as per the terms of the prepayment option, amounting to €2,001 thousand,</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end-of-loan exit fees of €3,000 thousand.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aforementioned transactions, the Group no longer holds any debt related to the Kreos Claret Financing.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00" w:lineRule="exact"/>
        <w:rPr>
          <w:sz w:val="20"/>
          <w:szCs w:val="20"/>
          <w:color w:val="auto"/>
        </w:rPr>
      </w:pPr>
    </w:p>
    <w:p>
      <w:pPr>
        <w:ind w:left="320" w:hanging="316"/>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Kreos / Claret OCABSA</w:t>
      </w:r>
    </w:p>
    <w:p>
      <w:pPr>
        <w:spacing w:after="0" w:line="198" w:lineRule="exact"/>
        <w:rPr>
          <w:rFonts w:ascii="Times New Roman" w:cs="Times New Roman" w:eastAsia="Times New Roman" w:hAnsi="Times New Roman"/>
          <w:sz w:val="18"/>
          <w:szCs w:val="18"/>
          <w:color w:val="auto"/>
        </w:rPr>
      </w:pPr>
    </w:p>
    <w:p>
      <w:pPr>
        <w:ind w:left="32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Kreos / Claret OCABSA are issued at market conditions: the net issuance proceeds reflect the fair value of the instruments at inception.</w:t>
      </w:r>
    </w:p>
    <w:p>
      <w:pPr>
        <w:spacing w:after="0" w:line="162" w:lineRule="exact"/>
        <w:rPr>
          <w:rFonts w:ascii="Times New Roman" w:cs="Times New Roman" w:eastAsia="Times New Roman" w:hAnsi="Times New Roman"/>
          <w:sz w:val="18"/>
          <w:szCs w:val="18"/>
          <w:color w:val="auto"/>
        </w:rPr>
      </w:pPr>
    </w:p>
    <w:p>
      <w:pPr>
        <w:ind w:left="3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OCABSA are compound instruments, split between (i) a debt component (then measured at amortized cost) and (ii) an equity component corresponding to the conversion option and the attached OCABSA warrants.</w:t>
      </w:r>
    </w:p>
    <w:p>
      <w:pPr>
        <w:spacing w:after="0" w:line="148" w:lineRule="exact"/>
        <w:rPr>
          <w:rFonts w:ascii="Times New Roman" w:cs="Times New Roman" w:eastAsia="Times New Roman" w:hAnsi="Times New Roman"/>
          <w:sz w:val="18"/>
          <w:szCs w:val="18"/>
          <w:color w:val="auto"/>
        </w:rPr>
      </w:pPr>
    </w:p>
    <w:p>
      <w:pPr>
        <w:ind w:left="3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adjustment provisions of the OCABSA conversion ratio are aimed at preserving the rights of the bondholders and are anti-dilutive in nature rather than a down-round protection, the Group determined that the conversion option of the OCABSA is considered to result in the delivery of a fixed number of shares, and is therefore an equity instrument (the equity component of the bonds).</w:t>
      </w:r>
    </w:p>
    <w:p>
      <w:pPr>
        <w:spacing w:after="0" w:line="167" w:lineRule="exact"/>
        <w:rPr>
          <w:rFonts w:ascii="Times New Roman" w:cs="Times New Roman" w:eastAsia="Times New Roman" w:hAnsi="Times New Roman"/>
          <w:sz w:val="18"/>
          <w:szCs w:val="18"/>
          <w:color w:val="auto"/>
        </w:rPr>
      </w:pPr>
    </w:p>
    <w:p>
      <w:pPr>
        <w:ind w:left="320" w:right="14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OCABSA warrants were attached to each bond issued in the Tranche A closing and are not transferrable until after a prepayment. The OCABSA warrants become exercisable (i) upon the Group electing to prepay the bonds and (ii) in the event of the absence of the conversion notice from the bondholders for the full amount of the prepayment. As such, the warrants are not freely transferable until the prepayment is made. Thus, the OCABSA warrants are considered as an embedded component of the bonds rather than a separate stand-alone financial instrument. In all scenarios under which the exercisability conditions are satisfied, and whereby the bondholder’s option to elect to convert the bonds was considered, the number of total ordinary shares issuable upon warrant exercise as a result of prepayment and/or conversion option exercise remains fixed. Thus, the warrants represent an equity-classified component of the bonds.</w:t>
      </w:r>
    </w:p>
    <w:p>
      <w:pPr>
        <w:spacing w:after="0" w:line="173" w:lineRule="exact"/>
        <w:rPr>
          <w:rFonts w:ascii="Times New Roman" w:cs="Times New Roman" w:eastAsia="Times New Roman" w:hAnsi="Times New Roman"/>
          <w:sz w:val="18"/>
          <w:szCs w:val="18"/>
          <w:color w:val="auto"/>
        </w:rPr>
      </w:pPr>
    </w:p>
    <w:p>
      <w:pPr>
        <w:ind w:lef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prepayment option was deemed closely related to the host debt instrument and therefore does not meet the definition of a derivative instrument to be bifurcated.</w:t>
      </w:r>
    </w:p>
    <w:p>
      <w:pPr>
        <w:spacing w:after="0" w:line="134" w:lineRule="exact"/>
        <w:rPr>
          <w:rFonts w:ascii="Times New Roman" w:cs="Times New Roman" w:eastAsia="Times New Roman" w:hAnsi="Times New Roman"/>
          <w:sz w:val="18"/>
          <w:szCs w:val="18"/>
          <w:color w:val="auto"/>
        </w:rPr>
      </w:pPr>
    </w:p>
    <w:p>
      <w:pPr>
        <w:ind w:left="32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their conversion dates, the carrying values of the debt components of the Kreos and Claret OCABSA, amounting to respectively €16,058 thousand and €8,296 thousand, were reclassified to equity.</w:t>
      </w:r>
    </w:p>
    <w:p>
      <w:pPr>
        <w:spacing w:after="0" w:line="134"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Kreos / Claret B and C tranches</w:t>
      </w:r>
    </w:p>
    <w:p>
      <w:pPr>
        <w:spacing w:after="0" w:line="198" w:lineRule="exact"/>
        <w:rPr>
          <w:rFonts w:ascii="Times New Roman" w:cs="Times New Roman" w:eastAsia="Times New Roman" w:hAnsi="Times New Roman"/>
          <w:sz w:val="18"/>
          <w:szCs w:val="18"/>
          <w:color w:val="auto"/>
        </w:rPr>
      </w:pPr>
    </w:p>
    <w:p>
      <w:pPr>
        <w:ind w:left="32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right granted to the Group to issue the amortized bonds under tranches B and C, upon meeting certain conditions, did not meet the definition of a liability and was considered an off-balance sheet loan commitment received from the issuer as of December 31, 2023.</w:t>
      </w:r>
    </w:p>
    <w:p>
      <w:pPr>
        <w:spacing w:after="0" w:line="163" w:lineRule="exact"/>
        <w:rPr>
          <w:rFonts w:ascii="Times New Roman" w:cs="Times New Roman" w:eastAsia="Times New Roman" w:hAnsi="Times New Roman"/>
          <w:sz w:val="18"/>
          <w:szCs w:val="18"/>
          <w:color w:val="auto"/>
        </w:rPr>
      </w:pPr>
    </w:p>
    <w:p>
      <w:pPr>
        <w:ind w:left="320" w:right="6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collars related to tranches B and C were determined to be closely related to the host debt instruments and therefore do not meet the definition of a derivative instrument to be bifurcated.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710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016115" cy="371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color w:val="auto"/>
        </w:rPr>
        <w:t>The prepayment options related to tranches B and C were not determined to be closely related to the host debt instruments and therefore meet the definition of derivative instruments to be bifurcated. The Group determined that their fair value is insignificant at issuance and as of December 31, 2024.</w:t>
      </w:r>
    </w:p>
    <w:p>
      <w:pPr>
        <w:spacing w:after="0" w:line="217" w:lineRule="exact"/>
        <w:rPr>
          <w:sz w:val="20"/>
          <w:szCs w:val="20"/>
          <w:color w:val="auto"/>
        </w:rPr>
      </w:pPr>
    </w:p>
    <w:p>
      <w:pPr>
        <w:jc w:val="both"/>
        <w:ind w:left="320" w:right="280"/>
        <w:spacing w:after="0" w:line="250" w:lineRule="auto"/>
        <w:rPr>
          <w:sz w:val="20"/>
          <w:szCs w:val="20"/>
          <w:color w:val="auto"/>
        </w:rPr>
      </w:pPr>
      <w:r>
        <w:rPr>
          <w:rFonts w:ascii="Times New Roman" w:cs="Times New Roman" w:eastAsia="Times New Roman" w:hAnsi="Times New Roman"/>
          <w:sz w:val="18"/>
          <w:szCs w:val="18"/>
          <w:color w:val="auto"/>
        </w:rPr>
        <w:t>The Minimum Return Indemnifications are embedded derivative instruments, which are not deemed closely related to the host debt instruments and therefore meet the definition of derivative instruments to be bifurcated. They are classified as derivative financial liabilities and measured at fair value through profit or loss.</w:t>
      </w:r>
    </w:p>
    <w:p>
      <w:pPr>
        <w:spacing w:after="0" w:line="204" w:lineRule="exact"/>
        <w:rPr>
          <w:sz w:val="20"/>
          <w:szCs w:val="20"/>
          <w:color w:val="auto"/>
        </w:rPr>
      </w:pPr>
    </w:p>
    <w:p>
      <w:pPr>
        <w:ind w:left="320"/>
        <w:spacing w:after="0" w:line="245" w:lineRule="auto"/>
        <w:rPr>
          <w:sz w:val="20"/>
          <w:szCs w:val="20"/>
          <w:color w:val="auto"/>
        </w:rPr>
      </w:pPr>
      <w:r>
        <w:rPr>
          <w:rFonts w:ascii="Times New Roman" w:cs="Times New Roman" w:eastAsia="Times New Roman" w:hAnsi="Times New Roman"/>
          <w:sz w:val="18"/>
          <w:szCs w:val="18"/>
          <w:color w:val="auto"/>
        </w:rPr>
        <w:t>The Kreos / Claret second and third tranches are therefore hybrid instruments, split between (i) debt host contracts accounted for at amortized cost and (ii) bifurcated embedded derivatives accounted for at fair value through profit and loss, corresponding to the Minimal Return Indemnifications and the prepayment options (the fair value of the prepayment options being deemed insignificant at issuance and as of December 31, 2024).</w:t>
      </w:r>
    </w:p>
    <w:p>
      <w:pPr>
        <w:spacing w:after="0" w:line="167" w:lineRule="exact"/>
        <w:rPr>
          <w:sz w:val="20"/>
          <w:szCs w:val="20"/>
          <w:color w:val="auto"/>
        </w:rPr>
      </w:pPr>
    </w:p>
    <w:p>
      <w:pPr>
        <w:ind w:left="320" w:right="80"/>
        <w:spacing w:after="0" w:line="258" w:lineRule="auto"/>
        <w:rPr>
          <w:sz w:val="20"/>
          <w:szCs w:val="20"/>
          <w:color w:val="auto"/>
        </w:rPr>
      </w:pPr>
      <w:r>
        <w:rPr>
          <w:rFonts w:ascii="Times New Roman" w:cs="Times New Roman" w:eastAsia="Times New Roman" w:hAnsi="Times New Roman"/>
          <w:sz w:val="18"/>
          <w:szCs w:val="18"/>
          <w:color w:val="auto"/>
        </w:rPr>
        <w:t>On December 23, 2025, the Group recognized a €3,838 thousand loss on the derecognition of Tranches B and C bonds as a result of their redemption, corresponding to the difference between their carrying amount on redemption date of €29,985 thousand and the cash consideration of €33,823 thousand. The difference is primarily due to (i) the payment of future interests as per the terms of the prepayment option and (ii) unamortized end-of-loan exit fees and issuance fees, reducing the carrying value of the liabilities.</w:t>
      </w:r>
    </w:p>
    <w:p>
      <w:pPr>
        <w:spacing w:after="0" w:line="210" w:lineRule="exact"/>
        <w:rPr>
          <w:sz w:val="20"/>
          <w:szCs w:val="20"/>
          <w:color w:val="auto"/>
        </w:rPr>
      </w:pPr>
    </w:p>
    <w:p>
      <w:pPr>
        <w:ind w:left="320" w:hanging="316"/>
        <w:spacing w:after="0"/>
        <w:tabs>
          <w:tab w:leader="none" w:pos="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Kreos / Claret BSA</w:t>
      </w:r>
    </w:p>
    <w:p>
      <w:pPr>
        <w:sectPr>
          <w:pgSz w:w="11900" w:h="16838" w:orient="portrait"/>
          <w:cols w:equalWidth="0" w:num="1">
            <w:col w:w="9700"/>
          </w:cols>
          <w:pgMar w:left="1080" w:top="56" w:right="1119" w:bottom="0" w:gutter="0" w:footer="0" w:header="0"/>
        </w:sectPr>
      </w:pPr>
    </w:p>
    <w:bookmarkStart w:id="183" w:name="page184"/>
    <w:bookmarkEnd w:id="183"/>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351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016115" cy="5351145"/>
                    </a:xfrm>
                    <a:prstGeom prst="rect">
                      <a:avLst/>
                    </a:prstGeom>
                    <a:noFill/>
                  </pic:spPr>
                </pic:pic>
              </a:graphicData>
            </a:graphic>
          </wp:anchor>
        </w:drawing>
      </w:r>
    </w:p>
    <w:p>
      <w:pPr>
        <w:ind w:left="320" w:right="100"/>
        <w:spacing w:after="0" w:line="266" w:lineRule="auto"/>
        <w:rPr>
          <w:sz w:val="20"/>
          <w:szCs w:val="20"/>
          <w:color w:val="auto"/>
        </w:rPr>
      </w:pPr>
      <w:r>
        <w:rPr>
          <w:rFonts w:ascii="Times New Roman" w:cs="Times New Roman" w:eastAsia="Times New Roman" w:hAnsi="Times New Roman"/>
          <w:sz w:val="18"/>
          <w:szCs w:val="18"/>
          <w:color w:val="auto"/>
        </w:rPr>
        <w:t>As the A-B and C warrants (the Kreos / Claret BSA) are contractually transferable separately from the bonds and are redeemable in a variable number of ordinary shares of the Group, they are classified as standalone derivative financial liabilities.</w:t>
      </w:r>
    </w:p>
    <w:p>
      <w:pPr>
        <w:spacing w:after="0" w:line="149" w:lineRule="exact"/>
        <w:rPr>
          <w:sz w:val="20"/>
          <w:szCs w:val="20"/>
          <w:color w:val="auto"/>
        </w:rPr>
      </w:pPr>
    </w:p>
    <w:p>
      <w:pPr>
        <w:ind w:left="320" w:right="60"/>
        <w:spacing w:after="0" w:line="242" w:lineRule="auto"/>
        <w:rPr>
          <w:sz w:val="20"/>
          <w:szCs w:val="20"/>
          <w:color w:val="auto"/>
        </w:rPr>
      </w:pPr>
      <w:r>
        <w:rPr>
          <w:rFonts w:ascii="Times New Roman" w:cs="Times New Roman" w:eastAsia="Times New Roman" w:hAnsi="Times New Roman"/>
          <w:sz w:val="18"/>
          <w:szCs w:val="18"/>
          <w:color w:val="auto"/>
        </w:rPr>
        <w:t>As the A-B and C warrants (the Kreos / Claret BSA) represent compensation for the realized and future bond issuances of respectively tranches A-B and C and are an integral part of generating such bond issuances, the Group determined that they are in nature origination fees.</w:t>
      </w:r>
    </w:p>
    <w:p>
      <w:pPr>
        <w:spacing w:after="0" w:line="211" w:lineRule="exact"/>
        <w:rPr>
          <w:sz w:val="20"/>
          <w:szCs w:val="20"/>
          <w:color w:val="auto"/>
        </w:rPr>
      </w:pPr>
    </w:p>
    <w:p>
      <w:pPr>
        <w:ind w:left="320" w:right="20"/>
        <w:spacing w:after="0" w:line="241" w:lineRule="auto"/>
        <w:rPr>
          <w:sz w:val="20"/>
          <w:szCs w:val="20"/>
          <w:color w:val="auto"/>
        </w:rPr>
      </w:pPr>
      <w:r>
        <w:rPr>
          <w:rFonts w:ascii="Times New Roman" w:cs="Times New Roman" w:eastAsia="Times New Roman" w:hAnsi="Times New Roman"/>
          <w:sz w:val="18"/>
          <w:szCs w:val="18"/>
          <w:color w:val="auto"/>
          <w:highlight w:val="white"/>
        </w:rPr>
        <w:t xml:space="preserve">As the A-B warrants are associated with both the OCABSA issued under tranche A and the amortized bonds issued under tranche B, the Group allocated the initial fair value of the A-B warrants based on the pro-rata value of the proceeds to be received under each tranche. At inception, the respective initial fair values of the A-B warrants allocated to tranche A and B were deferred and subsequently accounted for as an adjustment to the EIR of the related debt components upon their drawdown (on August 20, 2023 and March 28, 2024 for tranches A and B respectively). </w:t>
      </w:r>
      <w:r>
        <w:rPr>
          <w:rFonts w:ascii="Times New Roman" w:cs="Times New Roman" w:eastAsia="Times New Roman" w:hAnsi="Times New Roman"/>
          <w:sz w:val="18"/>
          <w:szCs w:val="18"/>
          <w:color w:val="auto"/>
        </w:rPr>
        <w:t>Subsequent changes in the fair value will be recognized through profit or</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loss.</w:t>
      </w:r>
    </w:p>
    <w:p>
      <w:pPr>
        <w:spacing w:after="0" w:line="170" w:lineRule="exact"/>
        <w:rPr>
          <w:sz w:val="20"/>
          <w:szCs w:val="20"/>
          <w:color w:val="auto"/>
        </w:rPr>
      </w:pPr>
    </w:p>
    <w:p>
      <w:pPr>
        <w:ind w:left="320" w:right="20"/>
        <w:spacing w:after="0" w:line="245" w:lineRule="auto"/>
        <w:rPr>
          <w:sz w:val="20"/>
          <w:szCs w:val="20"/>
          <w:color w:val="auto"/>
        </w:rPr>
      </w:pPr>
      <w:r>
        <w:rPr>
          <w:rFonts w:ascii="Times New Roman" w:cs="Times New Roman" w:eastAsia="Times New Roman" w:hAnsi="Times New Roman"/>
          <w:sz w:val="18"/>
          <w:szCs w:val="18"/>
          <w:color w:val="auto"/>
        </w:rPr>
        <w:t xml:space="preserve">On November 2, 2023 (issuance date of the Kreos / Claret tranche C BSA), a derivative financial liability was recognized for their initial fair value with a counterparty in prepaid expenses. On that date, the Group, based on management’s latest projections, did not consider the drawdown of the tranche C bonds to be probable. Therefore, the amount of prepaid expenses allocated to the tranche C BSA </w:t>
      </w:r>
      <w:r>
        <w:rPr>
          <w:rFonts w:ascii="Times New Roman" w:cs="Times New Roman" w:eastAsia="Times New Roman" w:hAnsi="Times New Roman"/>
          <w:sz w:val="18"/>
          <w:szCs w:val="18"/>
          <w:color w:val="auto"/>
          <w:highlight w:val="white"/>
        </w:rPr>
        <w:t>has been amortized on a straight-line basis until the drawdown of the tranche C bonds.</w:t>
      </w:r>
    </w:p>
    <w:p>
      <w:pPr>
        <w:spacing w:after="0" w:line="167" w:lineRule="exact"/>
        <w:rPr>
          <w:sz w:val="20"/>
          <w:szCs w:val="20"/>
          <w:color w:val="auto"/>
        </w:rPr>
      </w:pPr>
    </w:p>
    <w:p>
      <w:pPr>
        <w:ind w:left="320" w:right="160"/>
        <w:spacing w:after="0" w:line="266" w:lineRule="auto"/>
        <w:rPr>
          <w:sz w:val="20"/>
          <w:szCs w:val="20"/>
          <w:color w:val="auto"/>
        </w:rPr>
      </w:pPr>
      <w:r>
        <w:rPr>
          <w:rFonts w:ascii="Times New Roman" w:cs="Times New Roman" w:eastAsia="Times New Roman" w:hAnsi="Times New Roman"/>
          <w:sz w:val="18"/>
          <w:szCs w:val="18"/>
          <w:color w:val="auto"/>
        </w:rPr>
        <w:t>At the exercise dates of the BSA held by Kreos and Claret (respectively July 30, 2025 and August 28, 2025), the fair value of exercised warrants at the exercise dates of respectively €15,143 thousand and €11,531 thousand was reclassified from derivative financial liabilities to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the debt and equity components of the OCABSA</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At inception, the fair value of the debt component of the OCABSA amounts to €23,995 thousand, using a market rate assumption of 12.6%. The equity component amounts to the difference between the whole instrument’s fair value at inception (its nominal value of €25,000 thousand) and the standalone fair value of the debt component. Therefore, the equity component amounts to €1,005 thousand. It is not subsequently remeasured.</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On the same date, using the same assumptions and an increase in market rate by 100 bp would result in a decrease in the fair value of the debt component and an increase in the value of the equity component </w:t>
      </w:r>
      <w:r>
        <w:rPr>
          <w:rFonts w:ascii="Times New Roman" w:cs="Times New Roman" w:eastAsia="Times New Roman" w:hAnsi="Times New Roman"/>
          <w:sz w:val="18"/>
          <w:szCs w:val="18"/>
          <w:color w:val="auto"/>
          <w:highlight w:val="white"/>
        </w:rPr>
        <w:t>by €624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0825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01611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the Kreos / Claret second and third tranches hybrid instruments</w:t>
      </w:r>
    </w:p>
    <w:p>
      <w:pPr>
        <w:spacing w:after="0" w:line="2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 inception, the net cash proceeds are the tranches' initial fair values. The fair values of the Minimal Return Indemnifications were deducted from the initial carrying values of the debt components of each tranche, which were subsequently measured at amortized cost using the EIR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Minimum Return Indemnifications was measured using the following assumptions: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Tranche B Minimum Return Indemnification (issued in March</w:t>
            </w:r>
          </w:p>
        </w:tc>
        <w:tc>
          <w:tcPr>
            <w:tcW w:w="27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MARCH 28, 2024</w:t>
            </w:r>
          </w:p>
        </w:tc>
        <w:tc>
          <w:tcPr>
            <w:tcW w:w="26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173"/>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Final redemption scenario probability</w:t>
            </w:r>
          </w:p>
        </w:tc>
        <w:tc>
          <w:tcPr>
            <w:tcW w:w="2700" w:type="dxa"/>
            <w:vAlign w:val="bottom"/>
            <w:tcBorders>
              <w:right w:val="single" w:sz="8" w:color="CCEC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95 %</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11"/>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Minimal return</w:t>
            </w:r>
          </w:p>
        </w:tc>
        <w:tc>
          <w:tcPr>
            <w:tcW w:w="2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1.40x</w:t>
            </w:r>
          </w:p>
        </w:tc>
        <w:tc>
          <w:tcPr>
            <w:tcW w:w="1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1.40x</w:t>
            </w:r>
          </w:p>
        </w:tc>
      </w:tr>
      <w:tr>
        <w:trPr>
          <w:trHeight w:val="221"/>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Discount rate</w:t>
            </w:r>
          </w:p>
        </w:tc>
        <w:tc>
          <w:tcPr>
            <w:tcW w:w="2700" w:type="dxa"/>
            <w:vAlign w:val="bottom"/>
            <w:tcBorders>
              <w:right w:val="single" w:sz="8" w:color="CCEC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13 %</w:t>
            </w:r>
          </w:p>
        </w:tc>
        <w:tc>
          <w:tcPr>
            <w:tcW w:w="1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3"/>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Probability-weighted present value of shortfall payment (in</w:t>
            </w:r>
          </w:p>
        </w:tc>
        <w:tc>
          <w:tcPr>
            <w:tcW w:w="2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1,959 (Final redemption)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(Final redemption)</w:t>
            </w:r>
          </w:p>
        </w:tc>
      </w:tr>
      <w:tr>
        <w:trPr>
          <w:trHeight w:val="193"/>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thousands of €)</w:t>
            </w:r>
          </w:p>
        </w:tc>
        <w:tc>
          <w:tcPr>
            <w:tcW w:w="2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 (Tender offer)</w:t>
            </w:r>
          </w:p>
        </w:tc>
        <w:tc>
          <w:tcPr>
            <w:tcW w:w="1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(Tender offer)</w:t>
            </w:r>
          </w:p>
        </w:tc>
      </w:tr>
      <w:tr>
        <w:trPr>
          <w:trHeight w:val="198"/>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Probability-weighted fair value of tranche A-B warrants with MRI</w:t>
            </w:r>
          </w:p>
        </w:tc>
        <w:tc>
          <w:tcPr>
            <w:tcW w:w="2700" w:type="dxa"/>
            <w:vAlign w:val="bottom"/>
            <w:tcBorders>
              <w:right w:val="single" w:sz="8" w:color="CCEC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1,066 (Final redemption)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(Final redemption)</w:t>
            </w:r>
          </w:p>
        </w:tc>
      </w:tr>
      <w:tr>
        <w:trPr>
          <w:trHeight w:val="185"/>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 thousands of €)</w:t>
            </w:r>
          </w:p>
        </w:tc>
        <w:tc>
          <w:tcPr>
            <w:tcW w:w="2700" w:type="dxa"/>
            <w:vAlign w:val="bottom"/>
            <w:tcBorders>
              <w:right w:val="single" w:sz="8" w:color="CCECFF"/>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3"/>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Probability-weighted fair value of tranche A-B warrants without</w:t>
            </w:r>
          </w:p>
        </w:tc>
        <w:tc>
          <w:tcPr>
            <w:tcW w:w="2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1,410 (Final redemption)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(Final redemption)</w:t>
            </w:r>
          </w:p>
        </w:tc>
      </w:tr>
      <w:tr>
        <w:trPr>
          <w:trHeight w:val="185"/>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MRI (in thousands of €)</w:t>
            </w:r>
          </w:p>
        </w:tc>
        <w:tc>
          <w:tcPr>
            <w:tcW w:w="2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fair value of MRI (in thousands of €)</w:t>
            </w:r>
          </w:p>
        </w:tc>
        <w:tc>
          <w:tcPr>
            <w:tcW w:w="2700" w:type="dxa"/>
            <w:vAlign w:val="bottom"/>
            <w:tcBorders>
              <w:right w:val="single" w:sz="8" w:color="CCEC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1,615 (Final redemption, i.e. a+b-c)</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 (Final redemption, i.e. a+b-c)</w:t>
            </w:r>
          </w:p>
        </w:tc>
      </w:tr>
      <w:tr>
        <w:trPr>
          <w:trHeight w:val="198"/>
        </w:trPr>
        <w:tc>
          <w:tcPr>
            <w:tcW w:w="4060" w:type="dxa"/>
            <w:vAlign w:val="bottom"/>
            <w:shd w:val="clear" w:color="auto" w:fill="CCEEFF"/>
          </w:tcPr>
          <w:p>
            <w:pPr>
              <w:spacing w:after="0"/>
              <w:rPr>
                <w:sz w:val="17"/>
                <w:szCs w:val="17"/>
                <w:color w:val="auto"/>
              </w:rPr>
            </w:pPr>
          </w:p>
        </w:tc>
        <w:tc>
          <w:tcPr>
            <w:tcW w:w="2700" w:type="dxa"/>
            <w:vAlign w:val="bottom"/>
            <w:tcBorders>
              <w:bottom w:val="single" w:sz="8" w:color="auto"/>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 (Tender offer)</w:t>
            </w:r>
          </w:p>
        </w:tc>
        <w:tc>
          <w:tcPr>
            <w:tcW w:w="1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(Tender offer)</w:t>
            </w:r>
          </w:p>
        </w:tc>
      </w:tr>
      <w:tr>
        <w:trPr>
          <w:trHeight w:val="169"/>
        </w:trPr>
        <w:tc>
          <w:tcPr>
            <w:tcW w:w="40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of Tranche B MRI (in thousands of €)</w:t>
            </w:r>
          </w:p>
        </w:tc>
        <w:tc>
          <w:tcPr>
            <w:tcW w:w="2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1,683</w:t>
            </w:r>
          </w:p>
        </w:tc>
        <w:tc>
          <w:tcPr>
            <w:tcW w:w="1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w:t>
            </w:r>
          </w:p>
        </w:tc>
      </w:tr>
      <w:tr>
        <w:trPr>
          <w:trHeight w:val="21"/>
        </w:trPr>
        <w:tc>
          <w:tcPr>
            <w:tcW w:w="406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Final redemption scenario probability</w:t>
            </w:r>
          </w:p>
        </w:tc>
        <w:tc>
          <w:tcPr>
            <w:tcW w:w="980" w:type="dxa"/>
            <w:vAlign w:val="bottom"/>
          </w:tcPr>
          <w:p>
            <w:pPr>
              <w:spacing w:after="0"/>
              <w:rPr>
                <w:sz w:val="16"/>
                <w:szCs w:val="16"/>
                <w:color w:val="auto"/>
              </w:rPr>
            </w:pPr>
          </w:p>
        </w:tc>
        <w:tc>
          <w:tcPr>
            <w:tcW w:w="17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95 %</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Minimal return</w:t>
            </w:r>
          </w:p>
        </w:tc>
        <w:tc>
          <w:tcPr>
            <w:tcW w:w="980" w:type="dxa"/>
            <w:vAlign w:val="bottom"/>
          </w:tcPr>
          <w:p>
            <w:pPr>
              <w:spacing w:after="0"/>
              <w:rPr>
                <w:sz w:val="18"/>
                <w:szCs w:val="18"/>
                <w:color w:val="auto"/>
              </w:rPr>
            </w:pPr>
          </w:p>
        </w:tc>
        <w:tc>
          <w:tcPr>
            <w:tcW w:w="1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1.30x</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1.30x</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980" w:type="dxa"/>
            <w:vAlign w:val="bottom"/>
          </w:tcPr>
          <w:p>
            <w:pPr>
              <w:spacing w:after="0"/>
              <w:rPr>
                <w:sz w:val="18"/>
                <w:szCs w:val="18"/>
                <w:color w:val="auto"/>
              </w:rPr>
            </w:pPr>
          </w:p>
        </w:tc>
        <w:tc>
          <w:tcPr>
            <w:tcW w:w="17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15 %</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 Probability-weighted present value of shortfall payment (in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(Final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(Final redemption)</w:t>
            </w:r>
          </w:p>
        </w:tc>
      </w:tr>
      <w:tr>
        <w:trPr>
          <w:trHeight w:val="202"/>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thousands of €)</w:t>
            </w:r>
          </w:p>
        </w:tc>
        <w:tc>
          <w:tcPr>
            <w:tcW w:w="980" w:type="dxa"/>
            <w:vAlign w:val="bottom"/>
          </w:tcPr>
          <w:p>
            <w:pPr>
              <w:spacing w:after="0"/>
              <w:rPr>
                <w:sz w:val="17"/>
                <w:szCs w:val="17"/>
                <w:color w:val="auto"/>
              </w:rPr>
            </w:pPr>
          </w:p>
        </w:tc>
        <w:tc>
          <w:tcPr>
            <w:tcW w:w="1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0 (Tender offer)</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(Tender offer)</w:t>
            </w:r>
          </w:p>
        </w:tc>
      </w:tr>
      <w:tr>
        <w:trPr>
          <w:trHeight w:val="202"/>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(b) Probability-weighted fair value of tranche C warrants with MRI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(Final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(Final redemption)</w:t>
            </w: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of €)</w:t>
            </w:r>
          </w:p>
        </w:tc>
        <w:tc>
          <w:tcPr>
            <w:tcW w:w="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ectPr>
          <w:pgSz w:w="11900" w:h="16895" w:orient="portrait"/>
          <w:cols w:equalWidth="0" w:num="1">
            <w:col w:w="9720"/>
          </w:cols>
          <w:pgMar w:left="1080" w:top="229" w:right="1099" w:bottom="0" w:gutter="0" w:footer="0" w:header="0"/>
        </w:sectPr>
      </w:pPr>
    </w:p>
    <w:bookmarkStart w:id="184" w:name="page185"/>
    <w:bookmarkEnd w:id="184"/>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 Probability-weighted fair value of tranche C warrants without</w:t>
            </w:r>
          </w:p>
        </w:tc>
        <w:tc>
          <w:tcPr>
            <w:tcW w:w="274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3,250 (Final redemption)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 (Final redemption)</w:t>
            </w:r>
          </w:p>
        </w:tc>
      </w:tr>
      <w:tr>
        <w:trPr>
          <w:trHeight w:val="45"/>
        </w:trPr>
        <w:tc>
          <w:tcPr>
            <w:tcW w:w="4020" w:type="dxa"/>
            <w:vAlign w:val="bottom"/>
          </w:tcPr>
          <w:p>
            <w:pPr>
              <w:ind w:left="60"/>
              <w:spacing w:after="0" w:line="45" w:lineRule="exact"/>
              <w:rPr>
                <w:sz w:val="20"/>
                <w:szCs w:val="20"/>
                <w:color w:val="auto"/>
              </w:rPr>
            </w:pPr>
            <w:r>
              <w:rPr>
                <w:rFonts w:ascii="Times New Roman" w:cs="Times New Roman" w:eastAsia="Times New Roman" w:hAnsi="Times New Roman"/>
                <w:sz w:val="5"/>
                <w:szCs w:val="5"/>
                <w:b w:val="1"/>
                <w:bCs w:val="1"/>
                <w:color w:val="auto"/>
              </w:rPr>
              <w:t>Tranche C Minimum Return Indemnification (issued in June</w:t>
            </w:r>
          </w:p>
        </w:tc>
        <w:tc>
          <w:tcPr>
            <w:tcW w:w="2740" w:type="dxa"/>
            <w:vAlign w:val="bottom"/>
          </w:tcPr>
          <w:p>
            <w:pPr>
              <w:jc w:val="right"/>
              <w:ind w:right="637"/>
              <w:spacing w:after="0" w:line="45" w:lineRule="exact"/>
              <w:rPr>
                <w:sz w:val="20"/>
                <w:szCs w:val="20"/>
                <w:color w:val="auto"/>
              </w:rPr>
            </w:pPr>
            <w:r>
              <w:rPr>
                <w:rFonts w:ascii="Times New Roman" w:cs="Times New Roman" w:eastAsia="Times New Roman" w:hAnsi="Times New Roman"/>
                <w:sz w:val="5"/>
                <w:szCs w:val="5"/>
                <w:b w:val="1"/>
                <w:bCs w:val="1"/>
                <w:color w:val="auto"/>
              </w:rPr>
              <w:t>AS OF JUNE 21, 2024</w:t>
            </w:r>
          </w:p>
        </w:tc>
        <w:tc>
          <w:tcPr>
            <w:tcW w:w="2620" w:type="dxa"/>
            <w:vAlign w:val="bottom"/>
          </w:tcPr>
          <w:p>
            <w:pPr>
              <w:jc w:val="right"/>
              <w:ind w:right="337"/>
              <w:spacing w:after="0" w:line="45" w:lineRule="exact"/>
              <w:rPr>
                <w:sz w:val="20"/>
                <w:szCs w:val="20"/>
                <w:color w:val="auto"/>
              </w:rPr>
            </w:pPr>
            <w:r>
              <w:rPr>
                <w:rFonts w:ascii="Times New Roman" w:cs="Times New Roman" w:eastAsia="Times New Roman" w:hAnsi="Times New Roman"/>
                <w:sz w:val="5"/>
                <w:szCs w:val="5"/>
                <w:b w:val="1"/>
                <w:bCs w:val="1"/>
                <w:color w:val="auto"/>
              </w:rPr>
              <w:t>AS OF DECEMBER 31, 2024</w:t>
            </w:r>
          </w:p>
        </w:tc>
      </w:tr>
      <w:tr>
        <w:trPr>
          <w:trHeight w:val="144"/>
        </w:trPr>
        <w:tc>
          <w:tcPr>
            <w:tcW w:w="40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MRI (in thousands of €)</w:t>
            </w:r>
          </w:p>
        </w:tc>
        <w:tc>
          <w:tcPr>
            <w:tcW w:w="274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68"/>
        </w:trPr>
        <w:tc>
          <w:tcPr>
            <w:tcW w:w="4020" w:type="dxa"/>
            <w:vAlign w:val="bottom"/>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2024)</w:t>
            </w:r>
          </w:p>
        </w:tc>
        <w:tc>
          <w:tcPr>
            <w:tcW w:w="2740" w:type="dxa"/>
            <w:vAlign w:val="bottom"/>
          </w:tcPr>
          <w:p>
            <w:pPr>
              <w:spacing w:after="0"/>
              <w:rPr>
                <w:sz w:val="5"/>
                <w:szCs w:val="5"/>
                <w:color w:val="auto"/>
              </w:rPr>
            </w:pPr>
          </w:p>
        </w:tc>
        <w:tc>
          <w:tcPr>
            <w:tcW w:w="2620" w:type="dxa"/>
            <w:vAlign w:val="bottom"/>
          </w:tcPr>
          <w:p>
            <w:pPr>
              <w:spacing w:after="0"/>
              <w:rPr>
                <w:sz w:val="5"/>
                <w:szCs w:val="5"/>
                <w:color w:val="auto"/>
              </w:rPr>
            </w:pPr>
          </w:p>
        </w:tc>
      </w:tr>
      <w:tr>
        <w:trPr>
          <w:trHeight w:val="196"/>
        </w:trPr>
        <w:tc>
          <w:tcPr>
            <w:tcW w:w="40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4"/>
                <w:szCs w:val="14"/>
                <w:color w:val="auto"/>
              </w:rPr>
              <w:t>Total fair value of MRI (in thousands of €)</w:t>
            </w:r>
          </w:p>
        </w:tc>
        <w:tc>
          <w:tcPr>
            <w:tcW w:w="2740" w:type="dxa"/>
            <w:vAlign w:val="bottom"/>
            <w:tcBorders>
              <w:bottom w:val="single" w:sz="8" w:color="CCEEFF"/>
              <w:right w:val="single" w:sz="8" w:color="CCEC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475 (Final redemption, i.e. a+b-c)</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 (Final redemption, i.e. a+b-c)</w:t>
            </w:r>
          </w:p>
        </w:tc>
      </w:tr>
      <w:tr>
        <w:trPr>
          <w:trHeight w:val="188"/>
        </w:trPr>
        <w:tc>
          <w:tcPr>
            <w:tcW w:w="4020" w:type="dxa"/>
            <w:vAlign w:val="bottom"/>
          </w:tcPr>
          <w:p>
            <w:pPr>
              <w:spacing w:after="0"/>
              <w:rPr>
                <w:sz w:val="16"/>
                <w:szCs w:val="16"/>
                <w:color w:val="auto"/>
              </w:rPr>
            </w:pPr>
          </w:p>
        </w:tc>
        <w:tc>
          <w:tcPr>
            <w:tcW w:w="274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0 (Tender offer)</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(Tender offer)</w:t>
            </w:r>
          </w:p>
        </w:tc>
      </w:tr>
      <w:tr>
        <w:trPr>
          <w:trHeight w:val="28"/>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90"/>
        </w:trPr>
        <w:tc>
          <w:tcPr>
            <w:tcW w:w="40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of Tranche C MRI (in thousands of €)</w:t>
            </w:r>
          </w:p>
        </w:tc>
        <w:tc>
          <w:tcPr>
            <w:tcW w:w="2740" w:type="dxa"/>
            <w:vAlign w:val="bottom"/>
            <w:tcBorders>
              <w:right w:val="single" w:sz="8" w:color="CCEC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475</w:t>
            </w:r>
          </w:p>
        </w:tc>
        <w:tc>
          <w:tcPr>
            <w:tcW w:w="26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984</w:t>
            </w:r>
          </w:p>
        </w:tc>
      </w:tr>
      <w:tr>
        <w:trPr>
          <w:trHeight w:val="26"/>
        </w:trPr>
        <w:tc>
          <w:tcPr>
            <w:tcW w:w="4020" w:type="dxa"/>
            <w:vAlign w:val="bottom"/>
            <w:shd w:val="clear" w:color="auto" w:fill="CCECFF"/>
          </w:tcPr>
          <w:p>
            <w:pPr>
              <w:spacing w:after="0"/>
              <w:rPr>
                <w:sz w:val="2"/>
                <w:szCs w:val="2"/>
                <w:color w:val="auto"/>
              </w:rPr>
            </w:pPr>
          </w:p>
        </w:tc>
        <w:tc>
          <w:tcPr>
            <w:tcW w:w="2740" w:type="dxa"/>
            <w:vAlign w:val="bottom"/>
            <w:tcBorders>
              <w:right w:val="single" w:sz="8" w:color="CCECFF"/>
            </w:tcBorders>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-659130</wp:posOffset>
            </wp:positionV>
            <wp:extent cx="7016115" cy="3979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016115" cy="3979545"/>
                    </a:xfrm>
                    <a:prstGeom prst="rect">
                      <a:avLst/>
                    </a:prstGeom>
                    <a:noFill/>
                  </pic:spPr>
                </pic:pic>
              </a:graphicData>
            </a:graphic>
          </wp:anchor>
        </w:drawing>
      </w:r>
    </w:p>
    <w:p>
      <w:pPr>
        <w:spacing w:after="0" w:line="23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the purpose of measuring the fair value of the MRI (shortfall payment), the fair value of the tranche A-B and C BSA was measured with a Black Scholes model under the Final redemption scenario and with a Monte Carlo model under the Tender offer scenario. As of March 28, 2024, the following assumptions were used: a share price of €13.40, a volatility of 60.3% (Black Scholes) or 61.9% (Monte Carlo), and a risk-free rate of 2.6% (Black Scholes) or 2.8% (Monte Carlo).</w:t>
      </w:r>
    </w:p>
    <w:p>
      <w:pPr>
        <w:spacing w:after="0" w:line="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 of June 21, 2024, the following assumptions were used: a share price of €12.94, a volatility of 60.1% (Black Scholes) or 59.9% (Monte Carlo), and a risk-free rate of 3.0% (Black Scholes) or 3.1% (Monte Carlo). The assumptions used for the valuations as of December 31, 2024 are set forth below:</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28, 2024, using the same assumption with an increase of +1% volatility, €+1 share price, +1% risk-free rate, +5% in the probability of achieving the Final redemption scenario and +1% discount rate would result in changes of the MRI B value by respectively €+4 thousand, €-30 thousand, €-3 thousand, +35 thousand and €-53 thousand.</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June 21, 2024, using the same assumption with an increase of +1% volatility, €+1 share price, +1% risk-free rate, +5% in the probability of achieving the Final redemption scenario and +1%discount rate would result in changes of the MRI C fair value by respectively €+4 thousand, €-16 thousand, €+8 thousand, €+46 thousand and €-13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4541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016115" cy="645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using the same assumption with an increase of +1% volatility, €+1 share price, +1% risk-free rate, +10% in the probability of achieving the Final redemption scenario and +1% discount rate would result in changes of the MRI B and C fair value by respectively €-1 thousand, €-3 thousand, €-3 thousand, €+3 thousand and €-82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the Kreos / Claret tranche A-B-C BSA</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Kreos / Claret tranche A-B and tranche C BSA are measured at fair value using a Black-Scholes valuation model. The model considers two probability-weighted scenarios, i.e. (i) the 7 years expiry of the BSA and (ii) an earlier exercise upon a tender offer. The main data and assumptions are the following: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Kreos/Claret Tranche A-B BSA -</w:t>
            </w:r>
          </w:p>
        </w:tc>
        <w:tc>
          <w:tcPr>
            <w:tcW w:w="2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AUGUST 22, 2023</w:t>
            </w:r>
          </w:p>
        </w:tc>
        <w:tc>
          <w:tcPr>
            <w:tcW w:w="23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09"/>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August 2023</w:t>
            </w:r>
          </w:p>
        </w:tc>
        <w:tc>
          <w:tcPr>
            <w:tcW w:w="226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(Tranche A-B)</w:t>
            </w:r>
          </w:p>
        </w:tc>
        <w:tc>
          <w:tcPr>
            <w:tcW w:w="60" w:type="dxa"/>
            <w:vAlign w:val="bottom"/>
            <w:vMerge w:val="restart"/>
          </w:tcPr>
          <w:p>
            <w:pPr>
              <w:spacing w:after="0"/>
              <w:rPr>
                <w:sz w:val="9"/>
                <w:szCs w:val="9"/>
                <w:color w:val="auto"/>
              </w:rPr>
            </w:pPr>
          </w:p>
        </w:tc>
        <w:tc>
          <w:tcPr>
            <w:tcW w:w="230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520" w:type="dxa"/>
            <w:vAlign w:val="bottom"/>
            <w:tcBorders>
              <w:bottom w:val="single" w:sz="8" w:color="CCEEFF"/>
            </w:tcBorders>
            <w:vMerge w:val="continue"/>
          </w:tcPr>
          <w:p>
            <w:pPr>
              <w:spacing w:after="0"/>
              <w:rPr>
                <w:sz w:val="8"/>
                <w:szCs w:val="8"/>
                <w:color w:val="auto"/>
              </w:rPr>
            </w:pPr>
          </w:p>
        </w:tc>
        <w:tc>
          <w:tcPr>
            <w:tcW w:w="226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CCECFF"/>
            </w:tcBorders>
            <w:vMerge w:val="continue"/>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520" w:type="dxa"/>
            <w:vAlign w:val="bottom"/>
            <w:tcBorders>
              <w:bottom w:val="single" w:sz="8" w:color="CCEEFF"/>
              <w:right w:val="single" w:sz="8" w:color="CCEC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Number of outstanding BSA</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214,198</w:t>
            </w:r>
          </w:p>
        </w:tc>
        <w:tc>
          <w:tcPr>
            <w:tcW w:w="60" w:type="dxa"/>
            <w:vAlign w:val="bottom"/>
            <w:tcBorders>
              <w:bottom w:val="single" w:sz="8" w:color="CCECFF"/>
            </w:tcBorders>
            <w:shd w:val="clear" w:color="auto" w:fill="CCECFF"/>
          </w:tcPr>
          <w:p>
            <w:pPr>
              <w:spacing w:after="0"/>
              <w:rPr>
                <w:sz w:val="21"/>
                <w:szCs w:val="21"/>
                <w:color w:val="auto"/>
              </w:rPr>
            </w:pPr>
          </w:p>
        </w:tc>
        <w:tc>
          <w:tcPr>
            <w:tcW w:w="2300" w:type="dxa"/>
            <w:vAlign w:val="bottom"/>
            <w:tcBorders>
              <w:bottom w:val="single" w:sz="8" w:color="CCECFF"/>
              <w:right w:val="single" w:sz="8" w:color="CCEEFF"/>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214,198</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214,198</w:t>
            </w:r>
          </w:p>
        </w:tc>
        <w:tc>
          <w:tcPr>
            <w:tcW w:w="0" w:type="dxa"/>
            <w:vAlign w:val="bottom"/>
          </w:tcPr>
          <w:p>
            <w:pPr>
              <w:spacing w:after="0"/>
              <w:rPr>
                <w:sz w:val="1"/>
                <w:szCs w:val="1"/>
                <w:color w:val="auto"/>
              </w:rPr>
            </w:pPr>
          </w:p>
        </w:tc>
      </w:tr>
      <w:tr>
        <w:trPr>
          <w:trHeight w:val="233"/>
        </w:trPr>
        <w:tc>
          <w:tcPr>
            <w:tcW w:w="2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Exercise price per share</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€18.67</w:t>
            </w:r>
          </w:p>
        </w:tc>
        <w:tc>
          <w:tcPr>
            <w:tcW w:w="2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CCEEFF"/>
              <w:right w:val="single" w:sz="8" w:color="CCEC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Ordinary share price</w:t>
            </w:r>
          </w:p>
        </w:tc>
        <w:tc>
          <w:tcPr>
            <w:tcW w:w="23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€17.10</w:t>
            </w:r>
          </w:p>
        </w:tc>
        <w:tc>
          <w:tcPr>
            <w:tcW w:w="2300" w:type="dxa"/>
            <w:vAlign w:val="bottom"/>
            <w:tcBorders>
              <w:bottom w:val="single" w:sz="8" w:color="CCECFF"/>
              <w:right w:val="single" w:sz="8" w:color="CCEEFF"/>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9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Exercise date</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19/08/2030 (expiry) 18/02/2027</w:t>
            </w:r>
          </w:p>
        </w:tc>
        <w:tc>
          <w:tcPr>
            <w:tcW w:w="2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19/08/2030 (expiry)</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19/08/2030 (expiry)</w:t>
            </w:r>
          </w:p>
        </w:tc>
        <w:tc>
          <w:tcPr>
            <w:tcW w:w="0" w:type="dxa"/>
            <w:vAlign w:val="bottom"/>
          </w:tcPr>
          <w:p>
            <w:pPr>
              <w:spacing w:after="0"/>
              <w:rPr>
                <w:sz w:val="1"/>
                <w:szCs w:val="1"/>
                <w:color w:val="auto"/>
              </w:rPr>
            </w:pPr>
          </w:p>
        </w:tc>
      </w:tr>
      <w:tr>
        <w:trPr>
          <w:trHeight w:val="95"/>
        </w:trPr>
        <w:tc>
          <w:tcPr>
            <w:tcW w:w="2520" w:type="dxa"/>
            <w:vAlign w:val="bottom"/>
            <w:vMerge w:val="continue"/>
          </w:tcPr>
          <w:p>
            <w:pPr>
              <w:spacing w:after="0"/>
              <w:rPr>
                <w:sz w:val="8"/>
                <w:szCs w:val="8"/>
                <w:color w:val="auto"/>
              </w:rPr>
            </w:pPr>
          </w:p>
        </w:tc>
        <w:tc>
          <w:tcPr>
            <w:tcW w:w="2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(tender offer)</w:t>
            </w:r>
          </w:p>
        </w:tc>
        <w:tc>
          <w:tcPr>
            <w:tcW w:w="2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18/02/2027 (tender offer)</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18/02/2027 (tender offer)</w:t>
            </w: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right w:val="single" w:sz="8" w:color="CCEC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7-year expiry scenario probability</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Borders>
              <w:bottom w:val="single" w:sz="8" w:color="CCECFF"/>
            </w:tcBorders>
            <w:shd w:val="clear" w:color="auto" w:fill="CCECFF"/>
          </w:tcPr>
          <w:p>
            <w:pPr>
              <w:spacing w:after="0"/>
              <w:rPr>
                <w:sz w:val="22"/>
                <w:szCs w:val="22"/>
                <w:color w:val="auto"/>
              </w:rPr>
            </w:pPr>
          </w:p>
        </w:tc>
        <w:tc>
          <w:tcPr>
            <w:tcW w:w="2300" w:type="dxa"/>
            <w:vAlign w:val="bottom"/>
            <w:tcBorders>
              <w:bottom w:val="single" w:sz="8" w:color="CCECFF"/>
              <w:right w:val="single" w:sz="8" w:color="CCEE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2"/>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Volatility</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71.9% (expiry)</w:t>
            </w:r>
          </w:p>
        </w:tc>
        <w:tc>
          <w:tcPr>
            <w:tcW w:w="2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59.5% (expiry)</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 (expiry)</w:t>
            </w:r>
          </w:p>
        </w:tc>
        <w:tc>
          <w:tcPr>
            <w:tcW w:w="0" w:type="dxa"/>
            <w:vAlign w:val="bottom"/>
          </w:tcPr>
          <w:p>
            <w:pPr>
              <w:spacing w:after="0"/>
              <w:rPr>
                <w:sz w:val="1"/>
                <w:szCs w:val="1"/>
                <w:color w:val="auto"/>
              </w:rPr>
            </w:pPr>
          </w:p>
        </w:tc>
      </w:tr>
      <w:tr>
        <w:trPr>
          <w:trHeight w:val="95"/>
        </w:trPr>
        <w:tc>
          <w:tcPr>
            <w:tcW w:w="2520" w:type="dxa"/>
            <w:vAlign w:val="bottom"/>
            <w:vMerge w:val="continue"/>
          </w:tcPr>
          <w:p>
            <w:pPr>
              <w:spacing w:after="0"/>
              <w:rPr>
                <w:sz w:val="8"/>
                <w:szCs w:val="8"/>
                <w:color w:val="auto"/>
              </w:rPr>
            </w:pPr>
          </w:p>
        </w:tc>
        <w:tc>
          <w:tcPr>
            <w:tcW w:w="2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65.2% (tender offer)</w:t>
            </w:r>
          </w:p>
        </w:tc>
        <w:tc>
          <w:tcPr>
            <w:tcW w:w="2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64.9% (tender offer)</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 (tender offer)</w:t>
            </w: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right w:val="single" w:sz="8" w:color="CCEC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w:t>
            </w:r>
          </w:p>
        </w:tc>
        <w:tc>
          <w:tcPr>
            <w:tcW w:w="232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Borders>
              <w:bottom w:val="single" w:sz="8" w:color="CCECFF"/>
              <w:right w:val="single" w:sz="8" w:color="CCEE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Risk-free rate</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3"/>
                <w:szCs w:val="13"/>
                <w:color w:val="auto"/>
              </w:rPr>
            </w:pP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2.9% (expiry)</w:t>
            </w:r>
          </w:p>
        </w:tc>
        <w:tc>
          <w:tcPr>
            <w:tcW w:w="0" w:type="dxa"/>
            <w:vAlign w:val="bottom"/>
          </w:tcPr>
          <w:p>
            <w:pPr>
              <w:spacing w:after="0"/>
              <w:rPr>
                <w:sz w:val="1"/>
                <w:szCs w:val="1"/>
                <w:color w:val="auto"/>
              </w:rPr>
            </w:pPr>
          </w:p>
        </w:tc>
      </w:tr>
      <w:tr>
        <w:trPr>
          <w:trHeight w:val="94"/>
        </w:trPr>
        <w:tc>
          <w:tcPr>
            <w:tcW w:w="252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2260" w:type="dxa"/>
            <w:vAlign w:val="bottom"/>
            <w:vMerge w:val="restart"/>
          </w:tcPr>
          <w:p>
            <w:pPr>
              <w:jc w:val="right"/>
              <w:spacing w:after="0" w:line="158" w:lineRule="exact"/>
              <w:rPr>
                <w:sz w:val="20"/>
                <w:szCs w:val="20"/>
                <w:color w:val="auto"/>
              </w:rPr>
            </w:pPr>
            <w:r>
              <w:rPr>
                <w:rFonts w:ascii="Times New Roman" w:cs="Times New Roman" w:eastAsia="Times New Roman" w:hAnsi="Times New Roman"/>
                <w:sz w:val="14"/>
                <w:szCs w:val="14"/>
                <w:color w:val="auto"/>
              </w:rPr>
              <w:t>2.9% (tender offer)</w:t>
            </w:r>
          </w:p>
        </w:tc>
        <w:tc>
          <w:tcPr>
            <w:tcW w:w="0" w:type="dxa"/>
            <w:vAlign w:val="bottom"/>
          </w:tcPr>
          <w:p>
            <w:pPr>
              <w:spacing w:after="0"/>
              <w:rPr>
                <w:sz w:val="1"/>
                <w:szCs w:val="1"/>
                <w:color w:val="auto"/>
              </w:rPr>
            </w:pPr>
          </w:p>
        </w:tc>
      </w:tr>
      <w:tr>
        <w:trPr>
          <w:trHeight w:val="64"/>
        </w:trPr>
        <w:tc>
          <w:tcPr>
            <w:tcW w:w="2520" w:type="dxa"/>
            <w:vAlign w:val="bottom"/>
            <w:tcBorders>
              <w:bottom w:val="single" w:sz="8" w:color="CCEEFF"/>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0" w:type="dxa"/>
            <w:vAlign w:val="bottom"/>
            <w:tcBorders>
              <w:bottom w:val="single" w:sz="8" w:color="CCECFF"/>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520" w:type="dxa"/>
            <w:vAlign w:val="bottom"/>
            <w:tcBorders>
              <w:right w:val="single" w:sz="8" w:color="CCECFF"/>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of issued Kreos/Claret</w:t>
            </w:r>
          </w:p>
        </w:tc>
        <w:tc>
          <w:tcPr>
            <w:tcW w:w="2260" w:type="dxa"/>
            <w:vAlign w:val="bottom"/>
            <w:vMerge w:val="restart"/>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2,092</w:t>
            </w:r>
          </w:p>
        </w:tc>
        <w:tc>
          <w:tcPr>
            <w:tcW w:w="60" w:type="dxa"/>
            <w:vAlign w:val="bottom"/>
            <w:shd w:val="clear" w:color="auto" w:fill="CCECFF"/>
          </w:tcPr>
          <w:p>
            <w:pPr>
              <w:spacing w:after="0"/>
              <w:rPr>
                <w:sz w:val="13"/>
                <w:szCs w:val="13"/>
                <w:color w:val="auto"/>
              </w:rPr>
            </w:pPr>
          </w:p>
        </w:tc>
        <w:tc>
          <w:tcPr>
            <w:tcW w:w="2300" w:type="dxa"/>
            <w:vAlign w:val="bottom"/>
            <w:tcBorders>
              <w:right w:val="single" w:sz="8" w:color="CCEEFF"/>
            </w:tcBorders>
            <w:vMerge w:val="restart"/>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920</w:t>
            </w:r>
          </w:p>
        </w:tc>
        <w:tc>
          <w:tcPr>
            <w:tcW w:w="2260" w:type="dxa"/>
            <w:vAlign w:val="bottom"/>
            <w:vMerge w:val="restart"/>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243</w:t>
            </w:r>
          </w:p>
        </w:tc>
        <w:tc>
          <w:tcPr>
            <w:tcW w:w="0" w:type="dxa"/>
            <w:vAlign w:val="bottom"/>
          </w:tcPr>
          <w:p>
            <w:pPr>
              <w:spacing w:after="0"/>
              <w:rPr>
                <w:sz w:val="1"/>
                <w:szCs w:val="1"/>
                <w:color w:val="auto"/>
              </w:rPr>
            </w:pPr>
          </w:p>
        </w:tc>
      </w:tr>
      <w:tr>
        <w:trPr>
          <w:trHeight w:val="109"/>
        </w:trPr>
        <w:tc>
          <w:tcPr>
            <w:tcW w:w="2520" w:type="dxa"/>
            <w:vAlign w:val="bottom"/>
            <w:tcBorders>
              <w:right w:val="single" w:sz="8" w:color="CCEC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Tranche A-B BSA</w:t>
            </w:r>
          </w:p>
        </w:tc>
        <w:tc>
          <w:tcPr>
            <w:tcW w:w="2260" w:type="dxa"/>
            <w:vAlign w:val="bottom"/>
            <w:vMerge w:val="continue"/>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2300" w:type="dxa"/>
            <w:vAlign w:val="bottom"/>
            <w:tcBorders>
              <w:right w:val="single" w:sz="8" w:color="CCEEFF"/>
            </w:tcBorders>
            <w:vMerge w:val="continue"/>
            <w:shd w:val="clear" w:color="auto" w:fill="CCECFF"/>
          </w:tcPr>
          <w:p>
            <w:pPr>
              <w:spacing w:after="0"/>
              <w:rPr>
                <w:sz w:val="9"/>
                <w:szCs w:val="9"/>
                <w:color w:val="auto"/>
              </w:rPr>
            </w:pPr>
          </w:p>
        </w:tc>
        <w:tc>
          <w:tcPr>
            <w:tcW w:w="226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520" w:type="dxa"/>
            <w:vAlign w:val="bottom"/>
            <w:tcBorders>
              <w:bottom w:val="single" w:sz="8" w:color="CCEEFF"/>
              <w:right w:val="single" w:sz="8" w:color="CCECFF"/>
            </w:tcBorders>
            <w:vMerge w:val="continue"/>
            <w:shd w:val="clear" w:color="auto" w:fill="CCEEFF"/>
          </w:tcPr>
          <w:p>
            <w:pPr>
              <w:spacing w:after="0"/>
              <w:rPr>
                <w:sz w:val="7"/>
                <w:szCs w:val="7"/>
                <w:color w:val="auto"/>
              </w:rPr>
            </w:pPr>
          </w:p>
        </w:tc>
        <w:tc>
          <w:tcPr>
            <w:tcW w:w="2260" w:type="dxa"/>
            <w:vAlign w:val="bottom"/>
            <w:tcBorders>
              <w:bottom w:val="single" w:sz="8" w:color="auto"/>
            </w:tcBorders>
            <w:shd w:val="clear" w:color="auto" w:fill="CCECFF"/>
          </w:tcPr>
          <w:p>
            <w:pPr>
              <w:spacing w:after="0"/>
              <w:rPr>
                <w:sz w:val="7"/>
                <w:szCs w:val="7"/>
                <w:color w:val="auto"/>
              </w:rPr>
            </w:pPr>
          </w:p>
        </w:tc>
        <w:tc>
          <w:tcPr>
            <w:tcW w:w="60" w:type="dxa"/>
            <w:vAlign w:val="bottom"/>
            <w:tcBorders>
              <w:bottom w:val="single" w:sz="8" w:color="CCECFF"/>
            </w:tcBorders>
            <w:shd w:val="clear" w:color="auto" w:fill="CCECFF"/>
          </w:tcPr>
          <w:p>
            <w:pPr>
              <w:spacing w:after="0"/>
              <w:rPr>
                <w:sz w:val="7"/>
                <w:szCs w:val="7"/>
                <w:color w:val="auto"/>
              </w:rPr>
            </w:pPr>
          </w:p>
        </w:tc>
        <w:tc>
          <w:tcPr>
            <w:tcW w:w="2300" w:type="dxa"/>
            <w:vAlign w:val="bottom"/>
            <w:tcBorders>
              <w:bottom w:val="single" w:sz="8" w:color="auto"/>
              <w:right w:val="single" w:sz="8" w:color="CCEEFF"/>
            </w:tcBorders>
            <w:shd w:val="clear" w:color="auto" w:fill="CCECFF"/>
          </w:tcPr>
          <w:p>
            <w:pPr>
              <w:spacing w:after="0"/>
              <w:rPr>
                <w:sz w:val="7"/>
                <w:szCs w:val="7"/>
                <w:color w:val="auto"/>
              </w:rPr>
            </w:pPr>
          </w:p>
        </w:tc>
        <w:tc>
          <w:tcPr>
            <w:tcW w:w="2260" w:type="dxa"/>
            <w:vAlign w:val="bottom"/>
            <w:tcBorders>
              <w:bottom w:val="single" w:sz="8" w:color="auto"/>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CFF"/>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2300" w:type="dxa"/>
            <w:vAlign w:val="bottom"/>
            <w:tcBorders>
              <w:top w:val="single" w:sz="8" w:color="CCECFF"/>
              <w:bottom w:val="single" w:sz="8" w:color="auto"/>
            </w:tcBorders>
          </w:tcPr>
          <w:p>
            <w:pPr>
              <w:spacing w:after="0" w:line="20" w:lineRule="exact"/>
              <w:rPr>
                <w:sz w:val="1"/>
                <w:szCs w:val="1"/>
                <w:color w:val="auto"/>
              </w:rPr>
            </w:pPr>
          </w:p>
        </w:tc>
        <w:tc>
          <w:tcPr>
            <w:tcW w:w="226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Number of outstanding BSA</w:t>
            </w:r>
          </w:p>
        </w:tc>
        <w:tc>
          <w:tcPr>
            <w:tcW w:w="2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405,832</w:t>
            </w:r>
          </w:p>
        </w:tc>
        <w:tc>
          <w:tcPr>
            <w:tcW w:w="2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405,832</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405,832</w:t>
            </w: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of which, number of conditional BSA</w:t>
            </w:r>
          </w:p>
        </w:tc>
        <w:tc>
          <w:tcPr>
            <w:tcW w:w="2380" w:type="dxa"/>
            <w:vAlign w:val="bottom"/>
          </w:tcPr>
          <w:p>
            <w:pPr>
              <w:jc w:val="right"/>
              <w:ind w:right="368"/>
              <w:spacing w:after="0"/>
              <w:rPr>
                <w:sz w:val="20"/>
                <w:szCs w:val="20"/>
                <w:color w:val="auto"/>
              </w:rPr>
            </w:pPr>
            <w:r>
              <w:rPr>
                <w:rFonts w:ascii="Times New Roman" w:cs="Times New Roman" w:eastAsia="Times New Roman" w:hAnsi="Times New Roman"/>
                <w:sz w:val="14"/>
                <w:szCs w:val="14"/>
                <w:i w:val="1"/>
                <w:iCs w:val="1"/>
                <w:color w:val="auto"/>
              </w:rPr>
              <w:t>202,915</w:t>
            </w:r>
          </w:p>
        </w:tc>
        <w:tc>
          <w:tcPr>
            <w:tcW w:w="2300" w:type="dxa"/>
            <w:vAlign w:val="bottom"/>
          </w:tcPr>
          <w:p>
            <w:pPr>
              <w:jc w:val="right"/>
              <w:ind w:right="368"/>
              <w:spacing w:after="0"/>
              <w:rPr>
                <w:sz w:val="20"/>
                <w:szCs w:val="20"/>
                <w:color w:val="auto"/>
              </w:rPr>
            </w:pPr>
            <w:r>
              <w:rPr>
                <w:rFonts w:ascii="Times New Roman" w:cs="Times New Roman" w:eastAsia="Times New Roman" w:hAnsi="Times New Roman"/>
                <w:sz w:val="14"/>
                <w:szCs w:val="14"/>
                <w:i w:val="1"/>
                <w:iCs w:val="1"/>
                <w:color w:val="auto"/>
              </w:rPr>
              <w:t>202,916</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€9.86</w:t>
            </w:r>
          </w:p>
        </w:tc>
        <w:tc>
          <w:tcPr>
            <w:tcW w:w="2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€9.86</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 price</w:t>
            </w:r>
          </w:p>
        </w:tc>
        <w:tc>
          <w:tcPr>
            <w:tcW w:w="2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€8.89</w:t>
            </w:r>
          </w:p>
        </w:tc>
        <w:tc>
          <w:tcPr>
            <w:tcW w:w="2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€9.82</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Exercise date</w:t>
            </w:r>
          </w:p>
        </w:tc>
        <w:tc>
          <w:tcPr>
            <w:tcW w:w="2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01/11/2030 (expiry)</w:t>
            </w:r>
          </w:p>
        </w:tc>
        <w:tc>
          <w:tcPr>
            <w:tcW w:w="2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01/11/2030 (expiry)</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01/11/2030 (expiry)</w:t>
            </w:r>
          </w:p>
        </w:tc>
        <w:tc>
          <w:tcPr>
            <w:tcW w:w="0" w:type="dxa"/>
            <w:vAlign w:val="bottom"/>
          </w:tcPr>
          <w:p>
            <w:pPr>
              <w:spacing w:after="0"/>
              <w:rPr>
                <w:sz w:val="1"/>
                <w:szCs w:val="1"/>
                <w:color w:val="auto"/>
              </w:rPr>
            </w:pPr>
          </w:p>
        </w:tc>
      </w:tr>
      <w:tr>
        <w:trPr>
          <w:trHeight w:val="94"/>
        </w:trPr>
        <w:tc>
          <w:tcPr>
            <w:tcW w:w="2740" w:type="dxa"/>
            <w:vAlign w:val="bottom"/>
            <w:vMerge w:val="continue"/>
          </w:tcPr>
          <w:p>
            <w:pPr>
              <w:spacing w:after="0"/>
              <w:rPr>
                <w:sz w:val="8"/>
                <w:szCs w:val="8"/>
                <w:color w:val="auto"/>
              </w:rPr>
            </w:pPr>
          </w:p>
        </w:tc>
        <w:tc>
          <w:tcPr>
            <w:tcW w:w="23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18/02/2027 (tender offer)</w:t>
            </w:r>
          </w:p>
        </w:tc>
        <w:tc>
          <w:tcPr>
            <w:tcW w:w="23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18/02/2027 (tender offer)</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18/02/2027 (tender offer)</w:t>
            </w: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7-year expiry scenario probability</w:t>
            </w:r>
          </w:p>
        </w:tc>
        <w:tc>
          <w:tcPr>
            <w:tcW w:w="23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95%</w:t>
            </w:r>
          </w:p>
        </w:tc>
        <w:tc>
          <w:tcPr>
            <w:tcW w:w="23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95%</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Probability of Drawdown of Tranche C</w:t>
            </w:r>
          </w:p>
        </w:tc>
        <w:tc>
          <w:tcPr>
            <w:tcW w:w="23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30%</w:t>
            </w:r>
          </w:p>
        </w:tc>
        <w:tc>
          <w:tcPr>
            <w:tcW w:w="23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30%</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Drawn on June 21, 2024</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54" w:orient="portrait"/>
          <w:cols w:equalWidth="0" w:num="1">
            <w:col w:w="9680"/>
          </w:cols>
          <w:pgMar w:left="1080" w:top="114" w:right="1139" w:bottom="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credit facility</w:t>
            </w:r>
          </w:p>
        </w:tc>
        <w:tc>
          <w:tcPr>
            <w:tcW w:w="2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67.3% (expiry)</w:t>
            </w:r>
          </w:p>
        </w:tc>
        <w:tc>
          <w:tcPr>
            <w:tcW w:w="23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67.4% (expiry)</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 (expiry)</w:t>
            </w:r>
          </w:p>
        </w:tc>
        <w:tc>
          <w:tcPr>
            <w:tcW w:w="0" w:type="dxa"/>
            <w:vAlign w:val="bottom"/>
          </w:tcPr>
          <w:p>
            <w:pPr>
              <w:spacing w:after="0"/>
              <w:rPr>
                <w:sz w:val="1"/>
                <w:szCs w:val="1"/>
                <w:color w:val="auto"/>
              </w:rPr>
            </w:pPr>
          </w:p>
        </w:tc>
      </w:tr>
      <w:tr>
        <w:trPr>
          <w:trHeight w:val="94"/>
        </w:trPr>
        <w:tc>
          <w:tcPr>
            <w:tcW w:w="25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b w:val="1"/>
                <w:bCs w:val="1"/>
                <w:color w:val="auto"/>
              </w:rPr>
              <w:t>Kreos/Claret Tranche C BSA -</w:t>
            </w:r>
          </w:p>
        </w:tc>
        <w:tc>
          <w:tcPr>
            <w:tcW w:w="232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Volatility</w:t>
            </w:r>
          </w:p>
        </w:tc>
        <w:tc>
          <w:tcPr>
            <w:tcW w:w="2320" w:type="dxa"/>
            <w:vAlign w:val="bottom"/>
            <w:gridSpan w:val="2"/>
          </w:tcPr>
          <w:p>
            <w:pPr>
              <w:ind w:left="260"/>
              <w:spacing w:after="0" w:line="81" w:lineRule="exact"/>
              <w:rPr>
                <w:sz w:val="20"/>
                <w:szCs w:val="20"/>
                <w:color w:val="auto"/>
              </w:rPr>
            </w:pPr>
            <w:r>
              <w:rPr>
                <w:rFonts w:ascii="Times New Roman" w:cs="Times New Roman" w:eastAsia="Times New Roman" w:hAnsi="Times New Roman"/>
                <w:sz w:val="9"/>
                <w:szCs w:val="9"/>
                <w:b w:val="1"/>
                <w:bCs w:val="1"/>
                <w:color w:val="auto"/>
              </w:rPr>
              <w:t>AS OF NOVEMBER 2, 2023</w:t>
            </w:r>
          </w:p>
        </w:tc>
        <w:tc>
          <w:tcPr>
            <w:tcW w:w="2300" w:type="dxa"/>
            <w:vAlign w:val="bottom"/>
          </w:tcPr>
          <w:p>
            <w:pPr>
              <w:jc w:val="right"/>
              <w:ind w:right="191"/>
              <w:spacing w:after="0" w:line="81" w:lineRule="exact"/>
              <w:rPr>
                <w:sz w:val="20"/>
                <w:szCs w:val="20"/>
                <w:color w:val="auto"/>
              </w:rPr>
            </w:pPr>
            <w:r>
              <w:rPr>
                <w:rFonts w:ascii="Times New Roman" w:cs="Times New Roman" w:eastAsia="Times New Roman" w:hAnsi="Times New Roman"/>
                <w:sz w:val="9"/>
                <w:szCs w:val="9"/>
                <w:b w:val="1"/>
                <w:bCs w:val="1"/>
                <w:color w:val="auto"/>
              </w:rPr>
              <w:t>AS OF DECEMBER 31, 2023</w:t>
            </w:r>
          </w:p>
        </w:tc>
        <w:tc>
          <w:tcPr>
            <w:tcW w:w="2260" w:type="dxa"/>
            <w:vAlign w:val="bottom"/>
          </w:tcPr>
          <w:p>
            <w:pPr>
              <w:jc w:val="right"/>
              <w:ind w:right="150"/>
              <w:spacing w:after="0" w:line="81" w:lineRule="exact"/>
              <w:rPr>
                <w:sz w:val="20"/>
                <w:szCs w:val="20"/>
                <w:color w:val="auto"/>
              </w:rPr>
            </w:pPr>
            <w:r>
              <w:rPr>
                <w:rFonts w:ascii="Times New Roman" w:cs="Times New Roman" w:eastAsia="Times New Roman" w:hAnsi="Times New Roman"/>
                <w:sz w:val="9"/>
                <w:szCs w:val="9"/>
                <w:b w:val="1"/>
                <w:bCs w:val="1"/>
                <w:color w:val="auto"/>
              </w:rPr>
              <w:t>AS OF DECEMBER 31, 2024</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November 2023</w:t>
            </w:r>
          </w:p>
        </w:tc>
        <w:tc>
          <w:tcPr>
            <w:tcW w:w="2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64.3% (tender offer)</w:t>
            </w:r>
          </w:p>
        </w:tc>
        <w:tc>
          <w:tcPr>
            <w:tcW w:w="60" w:type="dxa"/>
            <w:vAlign w:val="bottom"/>
            <w:tcBorders>
              <w:bottom w:val="single" w:sz="8" w:color="CCECFF"/>
            </w:tcBorders>
          </w:tcPr>
          <w:p>
            <w:pPr>
              <w:spacing w:after="0"/>
              <w:rPr>
                <w:sz w:val="12"/>
                <w:szCs w:val="12"/>
                <w:color w:val="auto"/>
              </w:rPr>
            </w:pPr>
          </w:p>
        </w:tc>
        <w:tc>
          <w:tcPr>
            <w:tcW w:w="2300" w:type="dxa"/>
            <w:vAlign w:val="bottom"/>
            <w:tcBorders>
              <w:bottom w:val="single" w:sz="8" w:color="auto"/>
            </w:tcBorders>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64.9% (tender offer)</w:t>
            </w:r>
          </w:p>
        </w:tc>
        <w:tc>
          <w:tcPr>
            <w:tcW w:w="2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44.3% (tender offer)</w:t>
            </w:r>
          </w:p>
        </w:tc>
        <w:tc>
          <w:tcPr>
            <w:tcW w:w="0" w:type="dxa"/>
            <w:vAlign w:val="bottom"/>
          </w:tcPr>
          <w:p>
            <w:pPr>
              <w:spacing w:after="0"/>
              <w:rPr>
                <w:sz w:val="1"/>
                <w:szCs w:val="1"/>
                <w:color w:val="auto"/>
              </w:rPr>
            </w:pPr>
          </w:p>
        </w:tc>
      </w:tr>
      <w:tr>
        <w:trPr>
          <w:trHeight w:val="199"/>
        </w:trPr>
        <w:tc>
          <w:tcPr>
            <w:tcW w:w="2520" w:type="dxa"/>
            <w:vAlign w:val="bottom"/>
            <w:tcBorders>
              <w:right w:val="single" w:sz="8" w:color="CCEC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w:t>
            </w:r>
          </w:p>
        </w:tc>
        <w:tc>
          <w:tcPr>
            <w:tcW w:w="2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Borders>
              <w:right w:val="single" w:sz="8" w:color="CCEE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2520" w:type="dxa"/>
            <w:vAlign w:val="bottom"/>
            <w:tcBorders>
              <w:right w:val="single" w:sz="8" w:color="CCECFF"/>
            </w:tcBorders>
            <w:shd w:val="clear" w:color="auto" w:fill="CCEEFF"/>
          </w:tcPr>
          <w:p>
            <w:pPr>
              <w:spacing w:after="0"/>
              <w:rPr>
                <w:sz w:val="5"/>
                <w:szCs w:val="5"/>
                <w:color w:val="auto"/>
              </w:rPr>
            </w:pPr>
          </w:p>
        </w:tc>
        <w:tc>
          <w:tcPr>
            <w:tcW w:w="2260" w:type="dxa"/>
            <w:vAlign w:val="bottom"/>
            <w:shd w:val="clear" w:color="auto" w:fill="CCECFF"/>
          </w:tcPr>
          <w:p>
            <w:pPr>
              <w:spacing w:after="0"/>
              <w:rPr>
                <w:sz w:val="5"/>
                <w:szCs w:val="5"/>
                <w:color w:val="auto"/>
              </w:rPr>
            </w:pPr>
          </w:p>
        </w:tc>
        <w:tc>
          <w:tcPr>
            <w:tcW w:w="60" w:type="dxa"/>
            <w:vAlign w:val="bottom"/>
            <w:shd w:val="clear" w:color="auto" w:fill="CCECFF"/>
          </w:tcPr>
          <w:p>
            <w:pPr>
              <w:spacing w:after="0"/>
              <w:rPr>
                <w:sz w:val="5"/>
                <w:szCs w:val="5"/>
                <w:color w:val="auto"/>
              </w:rPr>
            </w:pPr>
          </w:p>
        </w:tc>
        <w:tc>
          <w:tcPr>
            <w:tcW w:w="2300" w:type="dxa"/>
            <w:vAlign w:val="bottom"/>
            <w:tcBorders>
              <w:right w:val="single" w:sz="8" w:color="CCEEFF"/>
            </w:tcBorders>
            <w:shd w:val="clear" w:color="auto" w:fill="CCECFF"/>
          </w:tcPr>
          <w:p>
            <w:pPr>
              <w:spacing w:after="0"/>
              <w:rPr>
                <w:sz w:val="5"/>
                <w:szCs w:val="5"/>
                <w:color w:val="auto"/>
              </w:rPr>
            </w:pPr>
          </w:p>
        </w:tc>
        <w:tc>
          <w:tcPr>
            <w:tcW w:w="226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Risk-free rate</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6"/>
                <w:szCs w:val="16"/>
                <w:color w:val="auto"/>
              </w:rPr>
            </w:pP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(expiry)</w:t>
            </w:r>
          </w:p>
        </w:tc>
        <w:tc>
          <w:tcPr>
            <w:tcW w:w="0" w:type="dxa"/>
            <w:vAlign w:val="bottom"/>
          </w:tcPr>
          <w:p>
            <w:pPr>
              <w:spacing w:after="0"/>
              <w:rPr>
                <w:sz w:val="1"/>
                <w:szCs w:val="1"/>
                <w:color w:val="auto"/>
              </w:rPr>
            </w:pPr>
          </w:p>
        </w:tc>
      </w:tr>
      <w:tr>
        <w:trPr>
          <w:trHeight w:val="90"/>
        </w:trPr>
        <w:tc>
          <w:tcPr>
            <w:tcW w:w="252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 (tender offer)</w:t>
            </w:r>
          </w:p>
        </w:tc>
        <w:tc>
          <w:tcPr>
            <w:tcW w:w="0" w:type="dxa"/>
            <w:vAlign w:val="bottom"/>
          </w:tcPr>
          <w:p>
            <w:pPr>
              <w:spacing w:after="0"/>
              <w:rPr>
                <w:sz w:val="1"/>
                <w:szCs w:val="1"/>
                <w:color w:val="auto"/>
              </w:rPr>
            </w:pPr>
          </w:p>
        </w:tc>
      </w:tr>
      <w:tr>
        <w:trPr>
          <w:trHeight w:val="98"/>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of issued Kreos/Claret</w:t>
            </w:r>
          </w:p>
        </w:tc>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520" w:type="dxa"/>
            <w:vAlign w:val="bottom"/>
            <w:vMerge w:val="continue"/>
          </w:tcPr>
          <w:p>
            <w:pPr>
              <w:spacing w:after="0"/>
              <w:rPr>
                <w:sz w:val="18"/>
                <w:szCs w:val="18"/>
                <w:color w:val="auto"/>
              </w:rPr>
            </w:pPr>
          </w:p>
        </w:tc>
        <w:tc>
          <w:tcPr>
            <w:tcW w:w="22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1,493</w:t>
            </w:r>
          </w:p>
        </w:tc>
        <w:tc>
          <w:tcPr>
            <w:tcW w:w="60" w:type="dxa"/>
            <w:vAlign w:val="bottom"/>
          </w:tcPr>
          <w:p>
            <w:pPr>
              <w:spacing w:after="0"/>
              <w:rPr>
                <w:sz w:val="18"/>
                <w:szCs w:val="18"/>
                <w:color w:val="auto"/>
              </w:rPr>
            </w:pPr>
          </w:p>
        </w:tc>
        <w:tc>
          <w:tcPr>
            <w:tcW w:w="2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1,659</w:t>
            </w:r>
          </w:p>
        </w:tc>
        <w:tc>
          <w:tcPr>
            <w:tcW w:w="2260" w:type="dxa"/>
            <w:vAlign w:val="bottom"/>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923</w:t>
            </w:r>
          </w:p>
        </w:tc>
        <w:tc>
          <w:tcPr>
            <w:tcW w:w="0" w:type="dxa"/>
            <w:vAlign w:val="bottom"/>
          </w:tcPr>
          <w:p>
            <w:pPr>
              <w:spacing w:after="0"/>
              <w:rPr>
                <w:sz w:val="1"/>
                <w:szCs w:val="1"/>
                <w:color w:val="auto"/>
              </w:rPr>
            </w:pPr>
          </w:p>
        </w:tc>
      </w:tr>
      <w:tr>
        <w:trPr>
          <w:trHeight w:val="127"/>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Tranche C BSA</w:t>
            </w:r>
          </w:p>
        </w:tc>
        <w:tc>
          <w:tcPr>
            <w:tcW w:w="2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30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520" w:type="dxa"/>
            <w:vAlign w:val="bottom"/>
            <w:vMerge w:val="continue"/>
          </w:tcPr>
          <w:p>
            <w:pPr>
              <w:spacing w:after="0"/>
              <w:rPr>
                <w:sz w:val="5"/>
                <w:szCs w:val="5"/>
                <w:color w:val="auto"/>
              </w:rPr>
            </w:pPr>
          </w:p>
        </w:tc>
        <w:tc>
          <w:tcPr>
            <w:tcW w:w="2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-953135</wp:posOffset>
            </wp:positionV>
            <wp:extent cx="7016115" cy="26079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016115" cy="2607945"/>
                    </a:xfrm>
                    <a:prstGeom prst="rect">
                      <a:avLst/>
                    </a:prstGeom>
                    <a:noFill/>
                  </pic:spPr>
                </pic:pic>
              </a:graphicData>
            </a:graphic>
          </wp:anchor>
        </w:drawing>
      </w:r>
    </w:p>
    <w:p>
      <w:pPr>
        <w:spacing w:after="0" w:line="24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As of August 20, 2023 (date of issuance of the tranche A-B BSA), using the same assumption with an increase of +1% volatility, € </w:t>
      </w:r>
      <w:r>
        <w:rPr>
          <w:rFonts w:ascii="Times New Roman" w:cs="Times New Roman" w:eastAsia="Times New Roman" w:hAnsi="Times New Roman"/>
          <w:sz w:val="18"/>
          <w:szCs w:val="18"/>
          <w:color w:val="auto"/>
          <w:highlight w:val="white"/>
        </w:rPr>
        <w:t>+1share price, +1% risk-free rate or +5% in the probability of achieving the 7 years expiry scenario would result in an increase of t</w:t>
      </w:r>
      <w:r>
        <w:rPr>
          <w:rFonts w:ascii="Times New Roman" w:cs="Times New Roman" w:eastAsia="Times New Roman" w:hAnsi="Times New Roman"/>
          <w:sz w:val="18"/>
          <w:szCs w:val="18"/>
          <w:color w:val="auto"/>
        </w:rPr>
        <w: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tranche A-B BSA fair value by respectively €48 thousand, €197 thousand, €64 thousand and €64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78257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016115" cy="782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November 2, 2023 (date of issuance of the tranche C BSA), using the same assumption with an increase of +1% volatility, € +1share price, +1% risk-free rate or +5% in the probability of achieving the 7-year expiry scenario would result in an increase of tranche A-B BSA fair value by respectively €28 thousand, €232 thousand, €42 thousand and €36 thousand.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using the same assumption with an increase of +1% volatility, €+1share price, +1% risk-free rate and +5% in the probability of achieving the 7-year expiry scenario would result in an increase of Kreos / Claret A-B and C BSA fair value by respectively €96 thousand, €401 thousand, €95 thousand and €76 thousand.</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of December 31, 2024, using the same assumption with an increase of +1% volatility, €+1 share price, +1% risk-free rate and +10% in the probability of achieving the 7-year expiry scenario would result in an increase of Kreos / Claret A-B and C BSA fair value by respectively €37 thousand, €350 thousand, €61 thousand and€75 thousand.</w:t>
      </w: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exercise dates of the Kreos / Claret BSA (July 30, 2025 and August 28, 2025), due to the put options (allowing for a cashless exercise) being exercised by the holders, the fair value of the BSAs is deemed equal to their intrinsic value, which is equal to the difference between the listed share price on the exercise dates and their exercise price.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15.2. Heights convertible notes</w:t>
      </w:r>
    </w:p>
    <w:p>
      <w:pPr>
        <w:spacing w:after="0" w:line="18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August 20, 2023, the Group entered into a convertible notes subscription agreement with Heights, which provided for up to €75,000 thousand in financing, consisting of two tranches:</w:t>
      </w:r>
    </w:p>
    <w:p>
      <w:pPr>
        <w:spacing w:after="0" w:line="162" w:lineRule="exact"/>
        <w:rPr>
          <w:sz w:val="20"/>
          <w:szCs w:val="20"/>
          <w:color w:val="auto"/>
        </w:rPr>
      </w:pPr>
    </w:p>
    <w:p>
      <w:pPr>
        <w:ind w:left="660" w:right="80" w:hanging="332"/>
        <w:spacing w:after="0" w:line="267" w:lineRule="auto"/>
        <w:tabs>
          <w:tab w:leader="none" w:pos="6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18"/>
          <w:szCs w:val="18"/>
          <w:color w:val="auto"/>
        </w:rPr>
        <w:t>The first tranche (“tranche A”) of €35,000 thousand in aggregate principal amount was drawn on August 24, 2023 and is composed of 350 amortizing senior convertible notes with a nominal value of €100,000 each and a fixed conversion price of €23.7674 (corresponding to a 40% premium over the 15-day VWAP prior to the date on which their issuance is decided, and subject to standard adjustments, including anti-dilution and dividend protections).</w:t>
      </w:r>
    </w:p>
    <w:p>
      <w:pPr>
        <w:spacing w:after="0" w:line="202" w:lineRule="exact"/>
        <w:rPr>
          <w:rFonts w:ascii="Arial" w:cs="Arial" w:eastAsia="Arial" w:hAnsi="Arial"/>
          <w:sz w:val="22"/>
          <w:szCs w:val="22"/>
          <w:color w:val="auto"/>
        </w:rPr>
      </w:pPr>
    </w:p>
    <w:p>
      <w:pPr>
        <w:jc w:val="both"/>
        <w:ind w:left="660" w:right="160" w:hanging="332"/>
        <w:spacing w:after="0" w:line="257" w:lineRule="auto"/>
        <w:tabs>
          <w:tab w:leader="none" w:pos="6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18"/>
          <w:szCs w:val="18"/>
          <w:color w:val="auto"/>
        </w:rPr>
        <w:t>The second tranche (“tranche B”) of €40,000 thousand in aggregate principal amount is composed of 400 amortizing senior convertible notes with a nominal value of €100,000 each, and a conversion price (if any) that is be equal to 130% of the 15-day VWAP immediately preceding the date on which their issuance is decided.</w:t>
      </w:r>
    </w:p>
    <w:p>
      <w:pPr>
        <w:spacing w:after="0" w:line="1" w:lineRule="exact"/>
        <w:rPr>
          <w:rFonts w:ascii="Arial" w:cs="Arial" w:eastAsia="Arial" w:hAnsi="Arial"/>
          <w:sz w:val="22"/>
          <w:szCs w:val="22"/>
          <w:color w:val="auto"/>
        </w:rPr>
      </w:pPr>
    </w:p>
    <w:p>
      <w:pPr>
        <w:ind w:left="660" w:right="260"/>
        <w:spacing w:after="0" w:line="237" w:lineRule="auto"/>
        <w:rPr>
          <w:rFonts w:ascii="Arial" w:cs="Arial" w:eastAsia="Arial" w:hAnsi="Arial"/>
          <w:sz w:val="22"/>
          <w:szCs w:val="22"/>
          <w:color w:val="auto"/>
        </w:rPr>
      </w:pPr>
      <w:r>
        <w:rPr>
          <w:rFonts w:ascii="Times New Roman" w:cs="Times New Roman" w:eastAsia="Times New Roman" w:hAnsi="Times New Roman"/>
          <w:sz w:val="18"/>
          <w:szCs w:val="18"/>
          <w:color w:val="auto"/>
        </w:rPr>
        <w:t>It may be drawn during the period from the date immediately following the three-month anniversary of the issuance of the first tranche to the first-year anniversary of the issuance of the first tranche (i.e. August 24, 2024), in up to two separate closings to provide the Group with additional flexibility to request a partial drawdown.</w:t>
      </w:r>
    </w:p>
    <w:p>
      <w:pPr>
        <w:ind w:left="660" w:right="180"/>
        <w:spacing w:after="0" w:line="243" w:lineRule="auto"/>
        <w:rPr>
          <w:rFonts w:ascii="Arial" w:cs="Arial" w:eastAsia="Arial" w:hAnsi="Arial"/>
          <w:sz w:val="22"/>
          <w:szCs w:val="22"/>
          <w:color w:val="auto"/>
        </w:rPr>
      </w:pPr>
      <w:r>
        <w:rPr>
          <w:rFonts w:ascii="Times New Roman" w:cs="Times New Roman" w:eastAsia="Times New Roman" w:hAnsi="Times New Roman"/>
          <w:sz w:val="18"/>
          <w:szCs w:val="18"/>
          <w:color w:val="auto"/>
        </w:rPr>
        <w:t>On the limit date for the drawdown of the second tranche of the Heights Financing (i.e. August 4, 2024), the Group had not drawn down this tranche and has therefore forgone its right to do so in the future.</w:t>
      </w:r>
    </w:p>
    <w:p>
      <w:pPr>
        <w:spacing w:after="0" w:line="3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Interest on the Heights convertible notes accrues at a 6.00% annual fixed interest rate payable in quarterly installments in cash or, at the option of the Group, in ordinary shares.</w:t>
      </w:r>
    </w:p>
    <w:p>
      <w:pPr>
        <w:spacing w:after="0" w:line="14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Heights convertible notes will be repaid through sixteen quarterly installment payments, beginning three months after their issuance date (corresponding, for the first tranche, to a final repayment date on August 24, 2027). Installments are payable in cash or, at the option of the Group, in ordinary shares.</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Any interest or installment payments in shares will be made on the basis of a share price equal to 90% of the Market Price of the ordinary shares at the time of payment, where “Market Price” refers to the arithmetic average of the daily volume weighted average price (“VWAP”) for the ordinary shares on the two (2) days with the lowest daily VWAPs out of the five (5) trading days immediately preceding the applicable date, but in no event greater than the VWAP of the ordinary shares on the applicable date. The Market Price may not be higher than the applicable conversion price. Issuances of ordinary shares may not be made at a price lower than a 15% discount to the 15-day VWAP at the time of the decision to issue the Heights convertible notes (i.e., €14.4303 per ordinary share.).</w:t>
      </w:r>
    </w:p>
    <w:p>
      <w:pPr>
        <w:spacing w:after="0" w:line="20" w:lineRule="exact"/>
        <w:rPr>
          <w:sz w:val="20"/>
          <w:szCs w:val="20"/>
          <w:color w:val="auto"/>
        </w:rPr>
      </w:pPr>
    </w:p>
    <w:p>
      <w:pPr>
        <w:sectPr>
          <w:pgSz w:w="11900" w:h="16838" w:orient="portrait"/>
          <w:cols w:equalWidth="0" w:num="1">
            <w:col w:w="9700"/>
          </w:cols>
          <w:pgMar w:left="1080" w:top="87" w:right="1119" w:bottom="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2363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016115" cy="1236345"/>
                    </a:xfrm>
                    <a:prstGeom prst="rect">
                      <a:avLst/>
                    </a:prstGeom>
                    <a:noFill/>
                  </pic:spPr>
                </pic:pic>
              </a:graphicData>
            </a:graphic>
          </wp:anchor>
        </w:drawing>
        <w:t>The Heights convertible notes include the following conversion and settlement options:</w:t>
      </w:r>
    </w:p>
    <w:p>
      <w:pPr>
        <w:spacing w:after="0" w:line="13" w:lineRule="exact"/>
        <w:rPr>
          <w:sz w:val="20"/>
          <w:szCs w:val="20"/>
          <w:color w:val="auto"/>
        </w:rPr>
      </w:pPr>
    </w:p>
    <w:p>
      <w:pPr>
        <w:jc w:val="both"/>
        <w:ind w:left="660" w:right="300" w:hanging="332"/>
        <w:spacing w:after="0" w:line="273" w:lineRule="auto"/>
        <w:tabs>
          <w:tab w:leader="none" w:pos="660" w:val="left"/>
        </w:tabs>
        <w:numPr>
          <w:ilvl w:val="0"/>
          <w:numId w:val="158"/>
        </w:numPr>
        <w:rPr>
          <w:rFonts w:ascii="Arial" w:cs="Arial" w:eastAsia="Arial" w:hAnsi="Arial"/>
          <w:sz w:val="17"/>
          <w:szCs w:val="17"/>
          <w:color w:val="auto"/>
        </w:rPr>
      </w:pPr>
      <w:r>
        <w:rPr>
          <w:rFonts w:ascii="Times New Roman" w:cs="Times New Roman" w:eastAsia="Times New Roman" w:hAnsi="Times New Roman"/>
          <w:sz w:val="17"/>
          <w:szCs w:val="17"/>
          <w:color w:val="auto"/>
        </w:rPr>
        <w:t>Conversion at the option of the noteholders: the notes are convertible into the Group’s ordinary shares at the option of the noteholders at any time during the period beginning on the tranche A notes closing until the fifth business day prior to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90735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40"/>
        <w:spacing w:after="0" w:line="272" w:lineRule="auto"/>
        <w:rPr>
          <w:sz w:val="20"/>
          <w:szCs w:val="20"/>
          <w:color w:val="auto"/>
        </w:rPr>
      </w:pPr>
      <w:r>
        <w:rPr>
          <w:rFonts w:ascii="Times New Roman" w:cs="Times New Roman" w:eastAsia="Times New Roman" w:hAnsi="Times New Roman"/>
          <w:sz w:val="17"/>
          <w:szCs w:val="17"/>
          <w:color w:val="auto"/>
        </w:rPr>
        <w:t>maturity date. The ordinary shares issued would be equal to the product of (i) the conversion ratio in effect on the exercise date, (ii) a fraction, the numerator of which is the outstanding principal amount per note and the denominator of which is the initial principal amount of €100,000 per note, and (iii) the number of notes for which the conversion right has been exercised.</w:t>
      </w:r>
    </w:p>
    <w:p>
      <w:pPr>
        <w:spacing w:after="0" w:line="145" w:lineRule="exact"/>
        <w:rPr>
          <w:sz w:val="20"/>
          <w:szCs w:val="20"/>
          <w:color w:val="auto"/>
        </w:rPr>
      </w:pPr>
    </w:p>
    <w:p>
      <w:pPr>
        <w:ind w:left="660" w:right="220" w:hanging="332"/>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 shares at the option of the Group: the Group has the option to settle any interest or principal due with its own ordinary shares (with respect to all but not some of the notes outstanding), subject to a price limit. The ordinary shares issuable will be the lower of the conversion ratio or 90% of the fair market value of the Group’s ordinary shares.</w:t>
      </w:r>
    </w:p>
    <w:p>
      <w:pPr>
        <w:spacing w:after="0" w:line="175" w:lineRule="exact"/>
        <w:rPr>
          <w:rFonts w:ascii="Times New Roman" w:cs="Times New Roman" w:eastAsia="Times New Roman" w:hAnsi="Times New Roman"/>
          <w:sz w:val="18"/>
          <w:szCs w:val="18"/>
          <w:color w:val="auto"/>
        </w:rPr>
      </w:pPr>
    </w:p>
    <w:p>
      <w:pPr>
        <w:ind w:left="660" w:right="100" w:hanging="332"/>
        <w:spacing w:after="0" w:line="289" w:lineRule="auto"/>
        <w:tabs>
          <w:tab w:leader="none" w:pos="660" w:val="left"/>
        </w:tabs>
        <w:numPr>
          <w:ilvl w:val="0"/>
          <w:numId w:val="159"/>
        </w:numPr>
        <w:rPr>
          <w:rFonts w:ascii="Arial" w:cs="Arial" w:eastAsia="Arial" w:hAnsi="Arial"/>
          <w:sz w:val="21"/>
          <w:szCs w:val="21"/>
          <w:color w:val="auto"/>
        </w:rPr>
      </w:pPr>
      <w:r>
        <w:rPr>
          <w:rFonts w:ascii="Times New Roman" w:cs="Times New Roman" w:eastAsia="Times New Roman" w:hAnsi="Times New Roman"/>
          <w:sz w:val="17"/>
          <w:szCs w:val="17"/>
          <w:color w:val="auto"/>
        </w:rPr>
        <w:t>Settlement in shares at the option of the noteholders (“SSO Investor Price Limit Option”): the noteholders may require a principal payment to be settled in shares in the event the share settlement price on any principal payment date is below the price limit in effect (initially €14.4303, subject to adjustments as described in the key terms below) and the Cash Carve-Out (i.e. €13.125 million – the amount of cash permitted to be paid to Heights for principal payments) has been utilized such that it does not allow payment in full of the principal payment. The majority noteholder may agree to waive the cash payment (which would otherwise be deferred until the original maturity date) and require the Group to exercise the share settlement option for the principal payment required. A number of the ordinary shares issuable is based on the price limit in effect.</w:t>
      </w:r>
    </w:p>
    <w:p>
      <w:pPr>
        <w:spacing w:after="0" w:line="186" w:lineRule="exact"/>
        <w:rPr>
          <w:rFonts w:ascii="Arial" w:cs="Arial" w:eastAsia="Arial" w:hAnsi="Arial"/>
          <w:sz w:val="21"/>
          <w:szCs w:val="21"/>
          <w:color w:val="auto"/>
        </w:rPr>
      </w:pPr>
    </w:p>
    <w:p>
      <w:pPr>
        <w:ind w:left="660" w:right="40" w:hanging="332"/>
        <w:spacing w:after="0" w:line="272" w:lineRule="auto"/>
        <w:tabs>
          <w:tab w:leader="none" w:pos="660" w:val="left"/>
        </w:tabs>
        <w:numPr>
          <w:ilvl w:val="0"/>
          <w:numId w:val="159"/>
        </w:numPr>
        <w:rPr>
          <w:rFonts w:ascii="Arial" w:cs="Arial" w:eastAsia="Arial" w:hAnsi="Arial"/>
          <w:sz w:val="22"/>
          <w:szCs w:val="22"/>
          <w:color w:val="auto"/>
        </w:rPr>
      </w:pPr>
      <w:r>
        <w:rPr>
          <w:rFonts w:ascii="Times New Roman" w:cs="Times New Roman" w:eastAsia="Times New Roman" w:hAnsi="Times New Roman"/>
          <w:sz w:val="18"/>
          <w:szCs w:val="18"/>
          <w:color w:val="auto"/>
        </w:rPr>
        <w:t>Repayment of the notes upon an Event of Default (as defined below): the noteholder may notify the Group of their decision to cause the notes to become payable at a price equal to the Early Redemption Amount (as defined below) upon an Event of Default. The Early Redemption Amount means an amount equal to the greater of (a) 120% of the outstanding principal of the note and (b) the market price of a number of shares issuable per note had the conversion right been exercised. Events of Default include the following: default in any payment due on the notes, failure to deliver shares upon exercise of conversion right or share settlement option, default of the Group on any obligation under the agreement, and other events.</w:t>
      </w:r>
    </w:p>
    <w:p>
      <w:pPr>
        <w:spacing w:after="0" w:line="200" w:lineRule="exact"/>
        <w:rPr>
          <w:rFonts w:ascii="Arial" w:cs="Arial" w:eastAsia="Arial" w:hAnsi="Arial"/>
          <w:sz w:val="22"/>
          <w:szCs w:val="22"/>
          <w:color w:val="auto"/>
        </w:rPr>
      </w:pPr>
    </w:p>
    <w:p>
      <w:pPr>
        <w:ind w:left="660" w:right="80" w:hanging="332"/>
        <w:spacing w:after="0" w:line="260" w:lineRule="auto"/>
        <w:tabs>
          <w:tab w:leader="none" w:pos="660" w:val="left"/>
        </w:tabs>
        <w:numPr>
          <w:ilvl w:val="0"/>
          <w:numId w:val="159"/>
        </w:numPr>
        <w:rPr>
          <w:rFonts w:ascii="Arial" w:cs="Arial" w:eastAsia="Arial" w:hAnsi="Arial"/>
          <w:sz w:val="22"/>
          <w:szCs w:val="22"/>
          <w:color w:val="auto"/>
        </w:rPr>
      </w:pPr>
      <w:r>
        <w:rPr>
          <w:rFonts w:ascii="Times New Roman" w:cs="Times New Roman" w:eastAsia="Times New Roman" w:hAnsi="Times New Roman"/>
          <w:sz w:val="18"/>
          <w:szCs w:val="18"/>
          <w:color w:val="auto"/>
        </w:rPr>
        <w:t>Repayment or purchase of the notes upon change of control, a delisting, or free float event (each, a “Put Event”): Upon a Put Event, the noteholder has an option to require the Group to redeem or, at the Group’s option, to purchase all of the notes at the total aggregate amount equal to the outstanding principal and interest accrued through the date of a Put Event.</w:t>
      </w:r>
    </w:p>
    <w:p>
      <w:pPr>
        <w:spacing w:after="0" w:line="23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Heights Financing is a senior, unsecured financing. The terms and conditions of the Heights convertible notes include a standard negative pledge providing that any security granted in favor of other borrowed debt or debt instruments should also be granted in favor of the Heights convertible notes on an equal basis (with the exception of the securities issued pursuant to the Kreos / Claret Financing, as detailed above).</w:t>
      </w:r>
    </w:p>
    <w:p>
      <w:pPr>
        <w:spacing w:after="0" w:line="16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7"/>
          <w:szCs w:val="17"/>
          <w:color w:val="auto"/>
        </w:rPr>
        <w:t xml:space="preserve">On August 24, </w:t>
      </w:r>
      <w:r>
        <w:rPr>
          <w:rFonts w:ascii="Times New Roman" w:cs="Times New Roman" w:eastAsia="Times New Roman" w:hAnsi="Times New Roman"/>
          <w:sz w:val="17"/>
          <w:szCs w:val="17"/>
          <w:color w:val="auto"/>
          <w:highlight w:val="white"/>
        </w:rPr>
        <w:t>2023, the Group repaid in full an outstanding amount of</w:t>
      </w:r>
      <w:r>
        <w:rPr>
          <w:sz w:val="1"/>
          <w:szCs w:val="1"/>
          <w:color w:val="auto"/>
        </w:rPr>
        <w:drawing>
          <wp:inline distT="0" distB="0" distL="0" distR="0">
            <wp:extent cx="34290" cy="14605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white"/>
        </w:rPr>
        <w:t>€25,102 thousand, corresponding to the outstanding OCEANE bonds, by way of set-off with the Heights Financing. The accounting treatment for this transaction is explained in Note 15.5.</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July 23 and July 30, 2025, the noteholders requested the conversion of respectively 150 and 200 convertible notes (corresponding to the entirety of the outstanding principal amount of approximately €21.9 million) into 920,377 new ordinary shares of the Group at a conversion price of €23.7674 per ordinary share (see Note 3.3 - </w:t>
      </w:r>
      <w:r>
        <w:rPr>
          <w:rFonts w:ascii="Times New Roman" w:cs="Times New Roman" w:eastAsia="Times New Roman" w:hAnsi="Times New Roman"/>
          <w:sz w:val="18"/>
          <w:szCs w:val="18"/>
          <w:i w:val="1"/>
          <w:iCs w:val="1"/>
          <w:color w:val="auto"/>
        </w:rPr>
        <w:t>Conversion of the Heights convertible notes, Kreos OCABSA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Kreos / Claret BSA and prepayment of the Kreos / Claret Tranches B and C bond loans – July-December 2025</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 and measurement</w:t>
      </w:r>
    </w:p>
    <w:p>
      <w:pPr>
        <w:spacing w:after="0" w:line="200"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In application of the Amendments to IAS 1 Presentation of Financial Statements – Classification of Liabilities as Current or Non-current, and Non-current Liabilities with Covenants, the Heights convertible notes are classified as current financial liabilities as of December 31, 2023 and 2024.</w:t>
      </w:r>
    </w:p>
    <w:p>
      <w:pPr>
        <w:spacing w:after="0" w:line="1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Group concluded that, except for the repayment or purchase option of the notes upon a Put Event, the above-mentioned conversion and settlement options represented embedded derivatives that required to be bifurcated from their host contract. The Group being unable to reliably value each embedded derivative at issuance date and on subsequent reporting dates, it measured the whole instrument at fair value through profit or loss (“FVTPL”) as permitted by IFRS 9. Instruments measured at FVTPL under these conditions are measured at their fair value on issuance and on subsequent reporting dates, and the amount of change in the fair value of the financial liability is presented in profit or loss.</w:t>
      </w:r>
    </w:p>
    <w:p>
      <w:pPr>
        <w:sectPr>
          <w:pgSz w:w="11900" w:h="16838" w:orient="portrait"/>
          <w:cols w:equalWidth="0" w:num="1">
            <w:col w:w="9720"/>
          </w:cols>
          <w:pgMar w:left="1080" w:top="175" w:right="1099"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419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016115" cy="41910"/>
                    </a:xfrm>
                    <a:prstGeom prst="rect">
                      <a:avLst/>
                    </a:prstGeom>
                    <a:noFill/>
                  </pic:spPr>
                </pic:pic>
              </a:graphicData>
            </a:graphic>
          </wp:anchor>
        </w:drawing>
      </w:r>
    </w:p>
    <w:p>
      <w:pPr>
        <w:sectPr>
          <w:pgSz w:w="11900" w:h="16838" w:orient="portrait"/>
          <w:cols w:equalWidth="0" w:num="1">
            <w:col w:w="9720"/>
          </w:cols>
          <w:pgMar w:left="1080" w:top="175" w:right="1099" w:bottom="27"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0201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7016115" cy="9020175"/>
                    </a:xfrm>
                    <a:prstGeom prst="rect">
                      <a:avLst/>
                    </a:prstGeom>
                    <a:noFill/>
                  </pic:spPr>
                </pic:pic>
              </a:graphicData>
            </a:graphic>
          </wp:anchor>
        </w:drawing>
        <w:t xml:space="preserve">At inception, the Heights convertible notes were measured at fair value, which differs from the issuance proceeds </w:t>
      </w:r>
      <w:r>
        <w:rPr>
          <w:rFonts w:ascii="Times New Roman" w:cs="Times New Roman" w:eastAsia="Times New Roman" w:hAnsi="Times New Roman"/>
          <w:sz w:val="18"/>
          <w:szCs w:val="18"/>
          <w:color w:val="auto"/>
          <w:highlight w:val="white"/>
        </w:rPr>
        <w:t>by €2,359 thousand.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Since the fair value measurement of the instrument is evidenced by a valuation technique that does not only use data from observable markets, the carrying amount was adjusted to defer the difference between the fair value measurement and the transaction price, and the day one gain is therefore recognized in financial income on a straight-line basis over the term of the instrument.</w:t>
      </w:r>
    </w:p>
    <w:p>
      <w:pPr>
        <w:spacing w:after="0" w:line="2" w:lineRule="exact"/>
        <w:rPr>
          <w:sz w:val="20"/>
          <w:szCs w:val="20"/>
          <w:color w:val="auto"/>
        </w:rPr>
      </w:pPr>
    </w:p>
    <w:p>
      <w:pPr>
        <w:ind w:right="660"/>
        <w:spacing w:after="0" w:line="243" w:lineRule="auto"/>
        <w:rPr>
          <w:sz w:val="20"/>
          <w:szCs w:val="20"/>
          <w:color w:val="auto"/>
        </w:rPr>
      </w:pPr>
      <w:r>
        <w:rPr>
          <w:rFonts w:ascii="Times New Roman" w:cs="Times New Roman" w:eastAsia="Times New Roman" w:hAnsi="Times New Roman"/>
          <w:sz w:val="18"/>
          <w:szCs w:val="18"/>
          <w:color w:val="auto"/>
          <w:highlight w:val="white"/>
        </w:rPr>
        <w:t xml:space="preserve">As of December 31, 2023 and 2024, the amounts by which the carrying value of the notes is adjusted to take into account the unrecognized day one gain are </w:t>
      </w:r>
      <w:r>
        <w:rPr>
          <w:rFonts w:ascii="Times New Roman" w:cs="Times New Roman" w:eastAsia="Times New Roman" w:hAnsi="Times New Roman"/>
          <w:sz w:val="18"/>
          <w:szCs w:val="18"/>
          <w:color w:val="auto"/>
        </w:rPr>
        <w:t>€2,147 thousand and €1,557 thousand, respectively.</w:t>
      </w:r>
    </w:p>
    <w:p>
      <w:pPr>
        <w:spacing w:after="0" w:line="168"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The fair value of the Heights convertible notes (including the embedded features) has been measured with a Monte Carlo model, considering two probability-weighted scenarios: (i) a Put Event or Default/Dissolution scenario and (ii) a voluntary conversion at maturity scenario. The main data and assumptions are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Heights convertible notes - August 2023</w:t>
            </w:r>
          </w:p>
        </w:tc>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 OF AUGUST 24, 2023</w:t>
            </w: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37"/>
        </w:trPr>
        <w:tc>
          <w:tcPr>
            <w:tcW w:w="2640" w:type="dxa"/>
            <w:vAlign w:val="bottom"/>
            <w:tcBorders>
              <w:bottom w:val="single" w:sz="8" w:color="CCEEFF"/>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Number of outstanding notes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Original principal amount (in thousands of</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60" w:type="dxa"/>
            <w:vAlign w:val="bottom"/>
          </w:tcPr>
          <w:p>
            <w:pPr>
              <w:spacing w:after="0"/>
              <w:rPr>
                <w:sz w:val="16"/>
                <w:szCs w:val="16"/>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60" w:type="dxa"/>
            <w:vAlign w:val="bottom"/>
          </w:tcPr>
          <w:p>
            <w:pPr>
              <w:spacing w:after="0"/>
              <w:rPr>
                <w:sz w:val="16"/>
                <w:szCs w:val="16"/>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94"/>
        </w:trPr>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64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rate</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6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Conversion price per share</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€23.77</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€23.77</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50"/>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Ordinary share price</w:t>
            </w:r>
          </w:p>
        </w:tc>
        <w:tc>
          <w:tcPr>
            <w:tcW w:w="2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€16.74</w:t>
            </w:r>
          </w:p>
        </w:tc>
        <w:tc>
          <w:tcPr>
            <w:tcW w:w="2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€9.82</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24/08/2025 (put event) 24/08/2027</w:t>
            </w:r>
          </w:p>
        </w:tc>
        <w:tc>
          <w:tcPr>
            <w:tcW w:w="22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24/08/2025 (put event)</w:t>
            </w:r>
          </w:p>
        </w:tc>
        <w:tc>
          <w:tcPr>
            <w:tcW w:w="2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24/08/2025 (put event)</w:t>
            </w:r>
          </w:p>
        </w:tc>
        <w:tc>
          <w:tcPr>
            <w:tcW w:w="0" w:type="dxa"/>
            <w:vAlign w:val="bottom"/>
          </w:tcPr>
          <w:p>
            <w:pPr>
              <w:spacing w:after="0"/>
              <w:rPr>
                <w:sz w:val="1"/>
                <w:szCs w:val="1"/>
                <w:color w:val="auto"/>
              </w:rPr>
            </w:pPr>
          </w:p>
        </w:tc>
      </w:tr>
      <w:tr>
        <w:trPr>
          <w:trHeight w:val="94"/>
        </w:trPr>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Maturity date</w:t>
            </w:r>
          </w:p>
        </w:tc>
        <w:tc>
          <w:tcPr>
            <w:tcW w:w="2360" w:type="dxa"/>
            <w:vAlign w:val="bottom"/>
            <w:gridSpan w:val="2"/>
            <w:vMerge w:val="continue"/>
          </w:tcPr>
          <w:p>
            <w:pPr>
              <w:spacing w:after="0"/>
              <w:rPr>
                <w:sz w:val="8"/>
                <w:szCs w:val="8"/>
                <w:color w:val="auto"/>
              </w:rPr>
            </w:pPr>
          </w:p>
        </w:tc>
        <w:tc>
          <w:tcPr>
            <w:tcW w:w="2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24/08/2027 (HTM/voluntary</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24/08/2027 (HTM/voluntary</w:t>
            </w:r>
          </w:p>
        </w:tc>
        <w:tc>
          <w:tcPr>
            <w:tcW w:w="0" w:type="dxa"/>
            <w:vAlign w:val="bottom"/>
          </w:tcPr>
          <w:p>
            <w:pPr>
              <w:spacing w:after="0"/>
              <w:rPr>
                <w:sz w:val="1"/>
                <w:szCs w:val="1"/>
                <w:color w:val="auto"/>
              </w:rPr>
            </w:pPr>
          </w:p>
        </w:tc>
      </w:tr>
      <w:tr>
        <w:trPr>
          <w:trHeight w:val="81"/>
        </w:trPr>
        <w:tc>
          <w:tcPr>
            <w:tcW w:w="2640" w:type="dxa"/>
            <w:vAlign w:val="bottom"/>
            <w:vMerge w:val="continue"/>
          </w:tcPr>
          <w:p>
            <w:pPr>
              <w:spacing w:after="0"/>
              <w:rPr>
                <w:sz w:val="7"/>
                <w:szCs w:val="7"/>
                <w:color w:val="auto"/>
              </w:rPr>
            </w:pPr>
          </w:p>
        </w:tc>
        <w:tc>
          <w:tcPr>
            <w:tcW w:w="2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(HTM/voluntary conversion)</w:t>
            </w:r>
          </w:p>
        </w:tc>
        <w:tc>
          <w:tcPr>
            <w:tcW w:w="2200" w:type="dxa"/>
            <w:vAlign w:val="bottom"/>
            <w:gridSpan w:val="2"/>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2200" w:type="dxa"/>
            <w:vAlign w:val="bottom"/>
            <w:gridSpan w:val="2"/>
            <w:vMerge w:val="restart"/>
          </w:tcPr>
          <w:p>
            <w:pPr>
              <w:jc w:val="right"/>
              <w:ind w:right="100"/>
              <w:spacing w:after="0" w:line="158" w:lineRule="exact"/>
              <w:rPr>
                <w:sz w:val="20"/>
                <w:szCs w:val="20"/>
                <w:color w:val="auto"/>
              </w:rPr>
            </w:pPr>
            <w:r>
              <w:rPr>
                <w:rFonts w:ascii="Times New Roman" w:cs="Times New Roman" w:eastAsia="Times New Roman" w:hAnsi="Times New Roman"/>
                <w:sz w:val="14"/>
                <w:szCs w:val="14"/>
                <w:color w:val="auto"/>
              </w:rPr>
              <w:t>conversion)</w:t>
            </w:r>
          </w:p>
        </w:tc>
        <w:tc>
          <w:tcPr>
            <w:tcW w:w="2140" w:type="dxa"/>
            <w:vAlign w:val="bottom"/>
            <w:vMerge w:val="restart"/>
          </w:tcPr>
          <w:p>
            <w:pPr>
              <w:jc w:val="right"/>
              <w:spacing w:after="0" w:line="158" w:lineRule="exact"/>
              <w:rPr>
                <w:sz w:val="20"/>
                <w:szCs w:val="20"/>
                <w:color w:val="auto"/>
              </w:rPr>
            </w:pPr>
            <w:r>
              <w:rPr>
                <w:rFonts w:ascii="Times New Roman" w:cs="Times New Roman" w:eastAsia="Times New Roman" w:hAnsi="Times New Roman"/>
                <w:sz w:val="14"/>
                <w:szCs w:val="14"/>
                <w:color w:val="auto"/>
              </w:rPr>
              <w:t>conversion)</w:t>
            </w:r>
          </w:p>
        </w:tc>
        <w:tc>
          <w:tcPr>
            <w:tcW w:w="0" w:type="dxa"/>
            <w:vAlign w:val="bottom"/>
          </w:tcPr>
          <w:p>
            <w:pPr>
              <w:spacing w:after="0"/>
              <w:rPr>
                <w:sz w:val="1"/>
                <w:szCs w:val="1"/>
                <w:color w:val="auto"/>
              </w:rPr>
            </w:pPr>
          </w:p>
        </w:tc>
      </w:tr>
      <w:tr>
        <w:trPr>
          <w:trHeight w:val="51"/>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60"/>
              <w:spacing w:after="0" w:line="153" w:lineRule="exact"/>
              <w:rPr>
                <w:sz w:val="20"/>
                <w:szCs w:val="20"/>
                <w:color w:val="auto"/>
              </w:rPr>
            </w:pPr>
            <w:r>
              <w:rPr>
                <w:rFonts w:ascii="Times New Roman" w:cs="Times New Roman" w:eastAsia="Times New Roman" w:hAnsi="Times New Roman"/>
                <w:sz w:val="14"/>
                <w:szCs w:val="14"/>
                <w:color w:val="auto"/>
              </w:rPr>
              <w:t>Held to maturity / voluntary conversion</w:t>
            </w:r>
          </w:p>
        </w:tc>
        <w:tc>
          <w:tcPr>
            <w:tcW w:w="2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8"/>
        </w:trPr>
        <w:tc>
          <w:tcPr>
            <w:tcW w:w="2640" w:type="dxa"/>
            <w:vAlign w:val="bottom"/>
            <w:tcBorders>
              <w:bottom w:val="single" w:sz="8" w:color="CCEEFF"/>
            </w:tcBorders>
            <w:shd w:val="clear" w:color="auto" w:fill="CCEEFF"/>
          </w:tcPr>
          <w:p>
            <w:pPr>
              <w:ind w:left="60"/>
              <w:spacing w:after="0" w:line="138" w:lineRule="exact"/>
              <w:rPr>
                <w:sz w:val="20"/>
                <w:szCs w:val="20"/>
                <w:color w:val="auto"/>
              </w:rPr>
            </w:pPr>
            <w:r>
              <w:rPr>
                <w:rFonts w:ascii="Times New Roman" w:cs="Times New Roman" w:eastAsia="Times New Roman" w:hAnsi="Times New Roman"/>
                <w:sz w:val="14"/>
                <w:szCs w:val="14"/>
                <w:color w:val="auto"/>
              </w:rPr>
              <w:t>scenario probability</w:t>
            </w:r>
          </w:p>
        </w:tc>
        <w:tc>
          <w:tcPr>
            <w:tcW w:w="23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1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1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Initial price limit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€14.43</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€14.43</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50"/>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Early redemption amount (put event)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6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Volatility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50"/>
        </w:trPr>
        <w:tc>
          <w:tcPr>
            <w:tcW w:w="2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Credit spread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0"/>
        </w:trPr>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Risk-free rate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of Heights convertible notes</w:t>
            </w:r>
          </w:p>
        </w:tc>
        <w:tc>
          <w:tcPr>
            <w:tcW w:w="23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32,641</w:t>
            </w:r>
          </w:p>
        </w:tc>
        <w:tc>
          <w:tcPr>
            <w:tcW w:w="6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27,456</w:t>
            </w:r>
          </w:p>
        </w:tc>
        <w:tc>
          <w:tcPr>
            <w:tcW w:w="6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20,017</w:t>
            </w:r>
          </w:p>
        </w:tc>
        <w:tc>
          <w:tcPr>
            <w:tcW w:w="0" w:type="dxa"/>
            <w:vAlign w:val="bottom"/>
          </w:tcPr>
          <w:p>
            <w:pPr>
              <w:spacing w:after="0"/>
              <w:rPr>
                <w:sz w:val="1"/>
                <w:szCs w:val="1"/>
                <w:color w:val="auto"/>
              </w:rPr>
            </w:pPr>
          </w:p>
        </w:tc>
      </w:tr>
      <w:tr>
        <w:trPr>
          <w:trHeight w:val="96"/>
        </w:trPr>
        <w:tc>
          <w:tcPr>
            <w:tcW w:w="2640" w:type="dxa"/>
            <w:vAlign w:val="bottom"/>
            <w:vMerge w:val="restart"/>
            <w:shd w:val="clear" w:color="auto" w:fill="CCEEFF"/>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of €)</w:t>
            </w:r>
          </w:p>
        </w:tc>
        <w:tc>
          <w:tcPr>
            <w:tcW w:w="23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1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640" w:type="dxa"/>
            <w:vAlign w:val="bottom"/>
            <w:tcBorders>
              <w:bottom w:val="single" w:sz="8" w:color="CCEEFF"/>
            </w:tcBorders>
            <w:vMerge w:val="continue"/>
            <w:shd w:val="clear" w:color="auto" w:fill="CCEEFF"/>
          </w:tcPr>
          <w:p>
            <w:pPr>
              <w:spacing w:after="0"/>
              <w:rPr>
                <w:sz w:val="7"/>
                <w:szCs w:val="7"/>
                <w:color w:val="auto"/>
              </w:rPr>
            </w:pPr>
          </w:p>
        </w:tc>
        <w:tc>
          <w:tcPr>
            <w:tcW w:w="23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1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highlight w:val="white"/>
        </w:rPr>
        <w:t>As of August 24, 2023, using the same assumptions with an increase of +1% volatility, €+1 share price, +1% risk-free rate and +1% probability of achieving the held to maturity scenario would result in a change in the Heights convertible notes fair value by respectively €+239 thousand, €+1,069 thousand, €-239 thousand and €-80 thousand.</w:t>
      </w:r>
    </w:p>
    <w:p>
      <w:pPr>
        <w:spacing w:after="0" w:line="163"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highlight w:val="white"/>
        </w:rPr>
        <w:t>As of December 31, 2023, using the same assumptions with an increase of +1% volatility, €+1 share price, +1% risk-free rate and +1% probability of achieving the held to maturity scenario would result in a change in the Heights convertible notes fair value by respectively €+18 thousand, €+352 thousand, €-366 thousand and €-364 thousand.</w:t>
      </w:r>
    </w:p>
    <w:p>
      <w:pPr>
        <w:spacing w:after="0" w:line="150"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highlight w:val="white"/>
        </w:rPr>
        <w:t>As of December 31, 2024, using the same assumptions with an increase of +1% volatility, €+1 share price, +1% risk-free rate and +10% probability of achieving the held to maturity scenario would result in a change in the Heights convertible notes fair value by respectively €+2 thousand, €+39 thousand, €-219 thousand and €-631 thousand.</w:t>
      </w:r>
    </w:p>
    <w:p>
      <w:pPr>
        <w:spacing w:after="0" w:line="16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At the conversion dates of the Heights notes, the fair value of the converted notes of €53,921 thousand was reclassified from financial liabilities to equity. On the conversion dates, due to the put option being exercised by the holders, the fair values of the Heights notes were deemed equal to the listed market prices of the issued shares.</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a result of the derecognition of the Heights notes, the outstanding day-one gain was entirely amortized, resulting in a financial income of €1,262 thousand.</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changes in the fair value of the Heights notes (including the remeasurement at conversion date) resulted in a financial expense of 36,015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4135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016115" cy="141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15.3. Structured debt financing with Kreos subscribed in July 2018 – “Kreos 1”</w:t>
      </w:r>
    </w:p>
    <w:p>
      <w:pPr>
        <w:sectPr>
          <w:pgSz w:w="11900" w:h="16838" w:orient="portrait"/>
          <w:cols w:equalWidth="0" w:num="1">
            <w:col w:w="9660"/>
          </w:cols>
          <w:pgMar w:left="1080" w:top="1309" w:right="1159" w:bottom="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Kreos 1 bond loans</w:t>
      </w:r>
    </w:p>
    <w:p>
      <w:pPr>
        <w:sectPr>
          <w:pgSz w:w="11900" w:h="16838" w:orient="portrait"/>
          <w:cols w:equalWidth="0" w:num="1">
            <w:col w:w="9660"/>
          </w:cols>
          <w:pgMar w:left="1080" w:top="1309" w:right="1159" w:bottom="0" w:gutter="0" w:footer="0" w:header="0"/>
          <w:type w:val="continuous"/>
        </w:sectPr>
      </w:pPr>
    </w:p>
    <w:bookmarkStart w:id="188" w:name="page189"/>
    <w:bookmarkEnd w:id="188"/>
    <w:p>
      <w:pPr>
        <w:ind w:right="400"/>
        <w:spacing w:after="0" w:line="185" w:lineRule="auto"/>
        <w:rPr>
          <w:sz w:val="20"/>
          <w:szCs w:val="20"/>
          <w:color w:val="auto"/>
        </w:rPr>
      </w:pPr>
      <w:r>
        <w:rPr>
          <w:rFonts w:ascii="Times New Roman" w:cs="Times New Roman" w:eastAsia="Times New Roman" w:hAnsi="Times New Roman"/>
          <w:sz w:val="17"/>
          <w:szCs w:val="17"/>
          <w:color w:val="auto"/>
        </w:rPr>
        <w:t>On July 24, 2018, the Group entered into a Venture Loan Agreement, a Straight Bonds Issue Agreement and a Convertible Bonds Issue Agreement with Kreos Capital V (UK) Ltd., (or “Kreos”), which provided for up to €20,000 thousand in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-170180</wp:posOffset>
            </wp:positionV>
            <wp:extent cx="7016115" cy="76485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016115" cy="764857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agreements, Kreos agreed to subscribe for €16,000 thousand in non-convertible bonds and</w:t>
      </w:r>
    </w:p>
    <w:p>
      <w:pPr>
        <w:spacing w:after="0" w:line="16" w:lineRule="exact"/>
        <w:rPr>
          <w:sz w:val="20"/>
          <w:szCs w:val="20"/>
          <w:color w:val="auto"/>
        </w:rPr>
      </w:pPr>
    </w:p>
    <w:p>
      <w:pPr>
        <w:jc w:val="both"/>
        <w:ind w:right="140"/>
        <w:spacing w:after="0" w:line="234" w:lineRule="auto"/>
        <w:rPr>
          <w:sz w:val="20"/>
          <w:szCs w:val="20"/>
          <w:color w:val="auto"/>
        </w:rPr>
      </w:pPr>
      <w:r>
        <w:rPr>
          <w:rFonts w:ascii="Times New Roman" w:cs="Times New Roman" w:eastAsia="Times New Roman" w:hAnsi="Times New Roman"/>
          <w:sz w:val="18"/>
          <w:szCs w:val="18"/>
          <w:color w:val="auto"/>
        </w:rPr>
        <w:t>€4,000 thousand in convertible bonds, to be issued by the Group in two tranches of €10,000 thousand each. The tranches were issued in July 2018 and May 2019, respectively. The convertible bonds were convertible into new ordinary shares of the Group at any time from their issuance and at the discretion of their holders. In October 2020, Kreos required the conversion of all the convertible bonds they held and 464,309 shares were issued.</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straight bond tranches were split between i) a debt component (then measured at amortized cost), and ii) a premium corresponding to the initial fair value of attached BSA (then remeasured at fair value through profit and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A tranche of the Kreos 1 bond loan has come to maturity and was repaid in full.</w:t>
      </w:r>
    </w:p>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August, 21, 2023, the B tranche of the Kreos 1 bond loan as well as the A &amp; B tranches of the Kreos 2 bond loan were repaid in full, for an amount of €7,661 thousand, using the proceeds from the new Kreos / Claret Fin</w:t>
      </w:r>
      <w:r>
        <w:rPr>
          <w:rFonts w:ascii="Times New Roman" w:cs="Times New Roman" w:eastAsia="Times New Roman" w:hAnsi="Times New Roman"/>
          <w:sz w:val="18"/>
          <w:szCs w:val="18"/>
          <w:color w:val="auto"/>
          <w:highlight w:val="white"/>
        </w:rPr>
        <w:t>ancing (</w:t>
      </w:r>
      <w:r>
        <w:rPr>
          <w:rFonts w:ascii="Times New Roman" w:cs="Times New Roman" w:eastAsia="Times New Roman" w:hAnsi="Times New Roman"/>
          <w:sz w:val="18"/>
          <w:szCs w:val="18"/>
          <w:color w:val="auto"/>
        </w:rPr>
        <w:t>see Note 3.1)</w:t>
      </w:r>
      <w:r>
        <w:rPr>
          <w:rFonts w:ascii="Times New Roman" w:cs="Times New Roman" w:eastAsia="Times New Roman" w:hAnsi="Times New Roman"/>
          <w:sz w:val="18"/>
          <w:szCs w:val="18"/>
          <w:color w:val="auto"/>
          <w:highlight w:val="white"/>
        </w:rPr>
        <w:t>.</w:t>
      </w:r>
    </w:p>
    <w:p>
      <w:pPr>
        <w:spacing w:after="0" w:line="14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As the differences identified between the terms of the Kreos 1 &amp; 2 bond loans and the new Kreos / Claret Financing were considered substantial, the repayment transaction on August 21, 2023 was accounted for as a debt extinguishment. The repayment of the Kreos 1</w:t>
      </w:r>
    </w:p>
    <w:p>
      <w:pPr>
        <w:spacing w:after="0" w:line="1" w:lineRule="exact"/>
        <w:rPr>
          <w:sz w:val="20"/>
          <w:szCs w:val="20"/>
          <w:color w:val="auto"/>
        </w:rPr>
      </w:pPr>
    </w:p>
    <w:p>
      <w:pPr>
        <w:ind w:right="220" w:firstLine="4"/>
        <w:spacing w:after="0" w:line="239" w:lineRule="auto"/>
        <w:tabs>
          <w:tab w:leader="none" w:pos="1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bond loans led to the recognition of a loss on extinguishment amounting to €170 thousand, primarily due to (i) the payment of future interests as per the terms of the prepayment option and (ii) unamortized exit and issuance fees, reducing the carrying value of the liabilities.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Kreos A &amp; B BSA</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highlight w:val="white"/>
        </w:rPr>
        <w:t>In connection with each tranche, the Group issued 110,957 tranche A share warrants (or “Kreos A BSA”) and 74,766 tranche B share warrants (or “Kreos B BSA”), each, for a global subscription price of €1. Each Kreos A BSA and Kreos B BSA gives rights to one new ordinary share at an exercise price of €7.21 less a discount and €10.70 less a discount, respectively. In addition, the Group granted to the holders of the Kreos A BSA and the Kreos B BSA the option to sell to the Group, upon each exercise of all or parts of the Kreos A BSA, at the put price defined in the agreement, a proportion of the number of the warrants, for the sole purpose of implementing a cash less exercise of the Kreos A BSA and Kreos B BSA.</w:t>
      </w:r>
    </w:p>
    <w:p>
      <w:pPr>
        <w:spacing w:after="0" w:line="18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BSA attached to all tranches (both straight and convertible) did not meet the “fixed for fixed” criteria (non cash settlement option which may result in exchanging a variable number of shares, for a variable price), and were accounted for as standalone derivative instruments.</w:t>
      </w:r>
    </w:p>
    <w:p>
      <w:pPr>
        <w:spacing w:after="0" w:line="17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May 24, 2023, the holders opted for the cashless exercise option of the share warrants they held, implemented through the repurchase by the Group of 43,070 Kreos A BSA and 43,070 Kreos B BSA and the issuance by the Group of respectively 67,887 and 31,696 ordinary shares, as the result of the cashless exercise by Kreos of the outstanding 67,887 Kreos A &amp; 31,696 B BSA.</w:t>
      </w:r>
    </w:p>
    <w:p>
      <w:pPr>
        <w:spacing w:after="0" w:line="16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At this date, the fair value of exercised warrants of €1,850 thousand was reclassified from derivative financial liabilities to equity. As of this date, due to the put option being exercised by the holders, the fair value of the BSAs is deemed equal to their intrinsic value, which is equal to the difference between the share price on May 24, 2023 and their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7851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016115" cy="278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15.4 Structured debt financing with Kreos subscribed in October 2020 – “Kreos 2”</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October 13, 2020, the Group obtained a straight bond loan of €15,000 thousand from Kreos corresponding to two tranches of €10,000 thousand (“Tranche A”) and €5,000 thousand (“Tranche B”), with an option for an additional €5,000 thousand.</w:t>
      </w:r>
    </w:p>
    <w:p>
      <w:pPr>
        <w:spacing w:after="0" w:line="14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Kreos 2 straight bonds were initially measured at fair value, which corresponds to the net cash proceeds, and subsequently measured at amortized cost.</w:t>
      </w:r>
    </w:p>
    <w:p>
      <w:pPr>
        <w:spacing w:after="0" w:line="149"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On August, 21, 2023, the B tranche of the Kreos 1 bond loan as well as the A &amp; B tranches of the Kreos 2 bond loan were repaid in full, for an amount of €7,661 thousand, using the proce</w:t>
      </w:r>
      <w:r>
        <w:rPr>
          <w:rFonts w:ascii="Times New Roman" w:cs="Times New Roman" w:eastAsia="Times New Roman" w:hAnsi="Times New Roman"/>
          <w:sz w:val="18"/>
          <w:szCs w:val="18"/>
          <w:color w:val="auto"/>
          <w:highlight w:val="white"/>
        </w:rPr>
        <w:t>eds from the new Kreos / Claret Financing (see Note 3.1 and 15.1).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accounting treatment of the extinguishment of these liabilities is set forth in Note 15.3.</w:t>
      </w:r>
    </w:p>
    <w:p>
      <w:pPr>
        <w:sectPr>
          <w:pgSz w:w="11900" w:h="16838" w:orient="portrait"/>
          <w:cols w:equalWidth="0" w:num="1">
            <w:col w:w="9720"/>
          </w:cols>
          <w:pgMar w:left="1080" w:top="108" w:right="109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 15.5. OCEANE</w:t>
      </w:r>
    </w:p>
    <w:p>
      <w:pPr>
        <w:sectPr>
          <w:pgSz w:w="11900" w:h="16838" w:orient="portrait"/>
          <w:cols w:equalWidth="0" w:num="1">
            <w:col w:w="9720"/>
          </w:cols>
          <w:pgMar w:left="1080" w:top="108" w:right="1099" w:bottom="0" w:gutter="0" w:footer="0" w:header="0"/>
          <w:type w:val="continuous"/>
        </w:sectPr>
      </w:pPr>
    </w:p>
    <w:bookmarkStart w:id="189" w:name="page190"/>
    <w:bookmarkEnd w:id="189"/>
    <w:p>
      <w:pPr>
        <w:jc w:val="both"/>
        <w:ind w:right="280"/>
        <w:spacing w:after="0" w:line="306" w:lineRule="auto"/>
        <w:rPr>
          <w:sz w:val="20"/>
          <w:szCs w:val="20"/>
          <w:color w:val="auto"/>
        </w:rPr>
      </w:pPr>
      <w:r>
        <w:rPr>
          <w:rFonts w:ascii="Times New Roman" w:cs="Times New Roman" w:eastAsia="Times New Roman" w:hAnsi="Times New Roman"/>
          <w:sz w:val="15"/>
          <w:szCs w:val="15"/>
          <w:color w:val="auto"/>
        </w:rPr>
        <w:t>OnsubscriptionJuly30, 2021,price ofthe€Group30.55 pr</w:t>
      </w: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5"/>
          <w:szCs w:val="15"/>
          <w:color w:val="auto"/>
        </w:rPr>
        <w:t>rceivedshare a(seegrossNoteproceed13.2(changesof€85,000in st</w:t>
      </w:r>
      <w:r>
        <w:rPr>
          <w:rFonts w:ascii="Times New Roman" w:cs="Times New Roman" w:eastAsia="Times New Roman" w:hAnsi="Times New Roman"/>
          <w:sz w:val="15"/>
          <w:szCs w:val="15"/>
          <w:b w:val="1"/>
          <w:bCs w:val="1"/>
          <w:color w:val="auto"/>
        </w:rPr>
        <w:t>h</w:t>
      </w:r>
      <w:r>
        <w:rPr>
          <w:rFonts w:ascii="Times New Roman" w:cs="Times New Roman" w:eastAsia="Times New Roman" w:hAnsi="Times New Roman"/>
          <w:sz w:val="15"/>
          <w:szCs w:val="15"/>
          <w:color w:val="auto"/>
        </w:rPr>
        <w:t>areousandcapithroughal))for (i)grosstheamouissuantceofof€60,0001,964,031thousand,shares andwith(ii)a the issuance of €25,000 thousand in OCEANE, maturing on July 30, 2026. The proceeds of the transaction mainly serve to finance the progress of ABX464 clinical trials in chronic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-398145</wp:posOffset>
            </wp:positionV>
            <wp:extent cx="7016115" cy="62769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7016115" cy="6276975"/>
                    </a:xfrm>
                    <a:prstGeom prst="rect">
                      <a:avLst/>
                    </a:prstGeom>
                    <a:noFill/>
                  </pic:spPr>
                </pic:pic>
              </a:graphicData>
            </a:graphic>
          </wp:anchor>
        </w:drawing>
      </w:r>
    </w:p>
    <w:p>
      <w:pPr>
        <w:spacing w:after="0" w:line="10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The OCEANE were convertible into new ordinary shares and/or exchanged for existing ordinary shares of the group at any time from their issuance and at the discretion of their 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conversion ratio was adjusted 18 months, 24 months, and 36 months after the issuance date of the OCEANE bond with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weighted average price of the shares and is subject to a floor and a cap, the conversion did not result in the delivery of a fixed number of shares. Consequently, the OCEANE bond was recorded as an hybrid instrument which includes i) a debt host contract accounted for at amortized cost, and ii) a conversion option which was a embedded derivative accounted for at fair value through profit and loss.</w:t>
      </w:r>
    </w:p>
    <w:p>
      <w:pPr>
        <w:spacing w:after="0" w:line="17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At inception, the net cash proceeds reflected the OCEANE initial fair value. The fair value of the bifurcated conversion option at inception has been measured with a Monte Carlo model using a Longstaff Schwartz algorithm, with a 53% share price volatility, a 1,400 bp credit spread assumption and a €31.50 share price.</w:t>
      </w:r>
    </w:p>
    <w:p>
      <w:pPr>
        <w:spacing w:after="0" w:line="13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As of August 24, 2023, the date at which the OCEANE were repaid, the fair value of conversion option amounts to €1,762 thousand, based on the same valuation model, a risk-free rate of 3.22%, a credit spread assumption of 1,398 bp, a share price of €16.74, and a price volatility of 37%. As of August 24, 2023, using the same assumptions, an increase of +1% volatility, €+1 share price and +1% risk free rate would result in an increase of the OCEANE conversion option fair value of €80 thousand, €364 thousand, and €121 thousand respectively.</w:t>
      </w:r>
    </w:p>
    <w:p>
      <w:pPr>
        <w:spacing w:after="0" w:line="171"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8"/>
          <w:szCs w:val="18"/>
          <w:color w:val="auto"/>
        </w:rPr>
        <w:t>On August 24, 2023, the outstanding OCEANE including accrued interests were repaid in full, for an amount of €25,102 thousand, using the proceeds from the new Heights Financings (see Note 3.1).</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As the differences identified between the terms of the OCEANE and the new Heights convertible notes were considered substantial, the transaction was accounted for as a debt extinguishment. The repayment of the OCEANE led to the recognition of a loss on extinguishment amounting to €3,069 thousand.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15.6. State guaranteed loan – “PGE”</w:t>
      </w:r>
    </w:p>
    <w:p>
      <w:pPr>
        <w:spacing w:after="0" w:line="148"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In June 2020, the Group subscribed to a PGE from Société Générale with an initial maturity of 12 months at 0.25% and a five-year extension option. In March 2021, the Group exercised the five-year extension option with a one-year deferral of the principal repayment, with the following conditions:</w:t>
      </w:r>
    </w:p>
    <w:p>
      <w:pPr>
        <w:spacing w:after="0" w:line="63" w:lineRule="exact"/>
        <w:rPr>
          <w:sz w:val="20"/>
          <w:szCs w:val="20"/>
          <w:color w:val="auto"/>
        </w:rPr>
      </w:pPr>
    </w:p>
    <w:p>
      <w:pPr>
        <w:ind w:left="1000" w:hanging="336"/>
        <w:spacing w:after="0"/>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0.58% per annum excluding insurance and state guaranteed premium,</w:t>
      </w:r>
    </w:p>
    <w:p>
      <w:pPr>
        <w:spacing w:after="0" w:line="76" w:lineRule="exact"/>
        <w:rPr>
          <w:rFonts w:ascii="Times New Roman" w:cs="Times New Roman" w:eastAsia="Times New Roman" w:hAnsi="Times New Roman"/>
          <w:sz w:val="18"/>
          <w:szCs w:val="18"/>
          <w:color w:val="auto"/>
        </w:rPr>
      </w:pPr>
    </w:p>
    <w:p>
      <w:pPr>
        <w:ind w:left="1000" w:right="280" w:hanging="336"/>
        <w:spacing w:after="0" w:line="237" w:lineRule="auto"/>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guaranteed premium of €138 thousand to be paid by installments over the contract period starting in June 2021, and</w:t>
      </w:r>
    </w:p>
    <w:p>
      <w:pPr>
        <w:spacing w:after="0" w:line="63"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by yearly installments from June 2021 to June 2026.</w:t>
      </w:r>
    </w:p>
    <w:p>
      <w:pPr>
        <w:spacing w:after="0" w:line="185"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The benefit resulting from the low interest nature of the award as a subsidy was recognized as other income during the period ended December 31, 2020 for an amount of €377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41567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7016115" cy="415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variation in the PGE loan over the periods ended December 31, 2023, 2024 is primarily related to the reimbursement of capital and interests.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2025, the Group prepaid in full the outstanding principal of the PGE loan of €1,264 thousand.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15.7. Conditional advances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Conditional advances as of December 31, 2023, 2024 and 2025 are as follows</w:t>
      </w:r>
      <w:r>
        <w:rPr>
          <w:rFonts w:ascii="Arial" w:cs="Arial" w:eastAsia="Arial" w:hAnsi="Arial"/>
          <w:sz w:val="19"/>
          <w:szCs w:val="19"/>
          <w:color w:val="000000"/>
        </w:rPr>
        <w:t>:</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2420" w:type="dxa"/>
            <w:vAlign w:val="bottom"/>
          </w:tcPr>
          <w:p>
            <w:pPr>
              <w:spacing w:after="0"/>
              <w:rPr>
                <w:sz w:val="16"/>
                <w:szCs w:val="16"/>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6"/>
        </w:trPr>
        <w:tc>
          <w:tcPr>
            <w:tcW w:w="242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2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CONDITIONAL ADVANCES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RNP VIR – Bpifrance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CARENA – Bpifrance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EBOLA – Bpifrance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conditional advances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6,771</w:t>
            </w:r>
          </w:p>
        </w:tc>
        <w:tc>
          <w:tcPr>
            <w:tcW w:w="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
        </w:trPr>
        <w:tc>
          <w:tcPr>
            <w:tcW w:w="2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RNP-VIR – Bpifrance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RNP-VIR contract, the Group was eligible to receive up to €6.3 million in conditional advances to further develop methods</w:t>
      </w:r>
    </w:p>
    <w:p>
      <w:pPr>
        <w:sectPr>
          <w:pgSz w:w="11900" w:h="16838" w:orient="portrait"/>
          <w:cols w:equalWidth="0" w:num="1">
            <w:col w:w="9700"/>
          </w:cols>
          <w:pgMar w:left="1080" w:top="108" w:right="1119" w:bottom="0" w:gutter="0" w:footer="0" w:header="0"/>
        </w:sectPr>
      </w:pPr>
    </w:p>
    <w:bookmarkStart w:id="190" w:name="page191"/>
    <w:bookmarkEnd w:id="190"/>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forbiogenesis”thediscoveryplatformofnew.As moleculesofDecembefor 31,the 2022,treatmentthe Groupofviralhadinfectiousreceive</w:t>
      </w:r>
      <w:r>
        <w:rPr>
          <w:rFonts w:ascii="Times New Roman" w:cs="Times New Roman" w:eastAsia="Times New Roman" w:hAnsi="Times New Roman"/>
          <w:sz w:val="10"/>
          <w:szCs w:val="10"/>
          <w:b w:val="1"/>
          <w:bCs w:val="1"/>
          <w:color w:val="auto"/>
        </w:rPr>
        <w:t>d</w:t>
      </w:r>
      <w:r>
        <w:rPr>
          <w:rFonts w:ascii="Times New Roman" w:cs="Times New Roman" w:eastAsia="Times New Roman" w:hAnsi="Times New Roman"/>
          <w:sz w:val="10"/>
          <w:szCs w:val="10"/>
          <w:color w:val="auto"/>
        </w:rPr>
        <w:t>iseases€4,032 tthroughousand,theofdevelopmentwhich€1,756ofthousandthe“ModulationwasreceivedofRNAin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-52070</wp:posOffset>
            </wp:positionV>
            <wp:extent cx="7016115" cy="49053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7016115" cy="4905375"/>
                    </a:xfrm>
                    <a:prstGeom prst="rect">
                      <a:avLst/>
                    </a:prstGeom>
                    <a:noFill/>
                  </pic:spPr>
                </pic:pic>
              </a:graphicData>
            </a:graphic>
          </wp:anchor>
        </w:drawing>
      </w:r>
    </w:p>
    <w:p>
      <w:pPr>
        <w:spacing w:after="0" w:line="8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September 2017, €346 thousand in August 2018 and €1,930 thousand in November 2019. The repayment of these funds is spread from the date on which the repayments are called by BPI.</w:t>
      </w:r>
    </w:p>
    <w:p>
      <w:pPr>
        <w:spacing w:after="0" w:line="1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2024, the Group and Bpifrance agreed to terminate the project due to technical failure. Bpifrance claimed the reimbursement of €1,241 thousand corresponding to overpayments of conditional advances and subsidies (for which the Group had not incurred the corresponding R&amp;D expenses) and agreed to waive 60% of the remaining advances of €2,945 thousand and accrued interests, which resulted in a subsidy income of €1,872 thousand in the aggregate (see Note 18). The outstanding amount was fully repaid by the Group during the second half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25.2. Commitments under BPI conditional advances.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CARENA – Bpifrance</w:t>
      </w:r>
    </w:p>
    <w:p>
      <w:pPr>
        <w:spacing w:after="0" w:line="7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7"/>
          <w:szCs w:val="17"/>
          <w:color w:val="auto"/>
        </w:rPr>
        <w:t>Under the CARENA agreement, the Group was eligible to receive up to €3,840 thousand to develop a therapeutic HIV treatment program with ABX464. As of December 31, 2022, the Group received €2,187 thousand, of which €1,150 thousand was received in</w:t>
      </w:r>
    </w:p>
    <w:p>
      <w:pPr>
        <w:spacing w:after="0"/>
        <w:rPr>
          <w:sz w:val="20"/>
          <w:szCs w:val="20"/>
          <w:color w:val="auto"/>
        </w:rPr>
      </w:pPr>
      <w:r>
        <w:rPr>
          <w:rFonts w:ascii="Times New Roman" w:cs="Times New Roman" w:eastAsia="Times New Roman" w:hAnsi="Times New Roman"/>
          <w:sz w:val="18"/>
          <w:szCs w:val="18"/>
          <w:color w:val="auto"/>
        </w:rPr>
        <w:t>December 2013, €1,008 thousand in September 2014 and €29 thousand received in June 2016.</w:t>
      </w:r>
    </w:p>
    <w:p>
      <w:pPr>
        <w:spacing w:after="0" w:line="192"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The repayment of the advance is spread from the date on which the repayments are called by Bpifrance. An additional repayment is provided for based on the income the Group generates through this research and development program.</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June 2024, the Group and Bpifrance agreed to terminate the project due to technical failure. Bpifrance granted an additional amount of €1,068 thousand payable to the Group to reimburse additional expenses incurred as part of the project, and agreed to waive 60% of the remaining conditional advance of €3,255 thousand and accrued interests, which resulted in a subsidy income of €2,251 thousand in the aggregate (see Note 18). The outstanding amount was fully repaid by the Group during the second half of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EBOLA – Bpifrance</w:t>
      </w:r>
    </w:p>
    <w:p>
      <w:pPr>
        <w:spacing w:after="0" w:line="79"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18"/>
          <w:szCs w:val="18"/>
          <w:color w:val="auto"/>
        </w:rPr>
        <w:t>Under the Bpifrance and Occitanie region joint aid agreement, the Group received a total of €390 thousand ( €300 thousand as of December 31, 2017 and €90 thousand as of December 31, 2019). The reimbursement was spread from 2019 to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5283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7016115"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15.8. Lease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variations in lease liabilities are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ind w:left="10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LEASE LIABILITY</w:t>
            </w:r>
          </w:p>
        </w:tc>
        <w:tc>
          <w:tcPr>
            <w:tcW w:w="0" w:type="dxa"/>
            <w:vAlign w:val="bottom"/>
          </w:tcPr>
          <w:p>
            <w:pPr>
              <w:spacing w:after="0"/>
              <w:rPr>
                <w:sz w:val="1"/>
                <w:szCs w:val="1"/>
                <w:color w:val="auto"/>
              </w:rPr>
            </w:pPr>
          </w:p>
        </w:tc>
      </w:tr>
      <w:tr>
        <w:trPr>
          <w:trHeight w:val="178"/>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1,384</w:t>
            </w:r>
          </w:p>
        </w:tc>
        <w:tc>
          <w:tcPr>
            <w:tcW w:w="0" w:type="dxa"/>
            <w:vAlign w:val="bottom"/>
          </w:tcPr>
          <w:p>
            <w:pPr>
              <w:spacing w:after="0"/>
              <w:rPr>
                <w:sz w:val="1"/>
                <w:szCs w:val="1"/>
                <w:color w:val="auto"/>
              </w:rPr>
            </w:pPr>
          </w:p>
        </w:tc>
      </w:tr>
      <w:tr>
        <w:trPr>
          <w:trHeight w:val="109"/>
        </w:trPr>
        <w:tc>
          <w:tcPr>
            <w:tcW w:w="39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5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900" w:type="dxa"/>
            <w:vAlign w:val="bottom"/>
            <w:tcBorders>
              <w:bottom w:val="single" w:sz="8" w:color="CCEEFF"/>
            </w:tcBorders>
            <w:vMerge w:val="continue"/>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 Increase</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Decrease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58"/>
        </w:trPr>
        <w:tc>
          <w:tcPr>
            <w:tcW w:w="39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540</w:t>
            </w:r>
          </w:p>
        </w:tc>
        <w:tc>
          <w:tcPr>
            <w:tcW w:w="0" w:type="dxa"/>
            <w:vAlign w:val="bottom"/>
          </w:tcPr>
          <w:p>
            <w:pPr>
              <w:spacing w:after="0"/>
              <w:rPr>
                <w:sz w:val="1"/>
                <w:szCs w:val="1"/>
                <w:color w:val="auto"/>
              </w:rPr>
            </w:pPr>
          </w:p>
        </w:tc>
      </w:tr>
      <w:tr>
        <w:trPr>
          <w:trHeight w:val="109"/>
        </w:trPr>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Increase</w:t>
            </w:r>
          </w:p>
        </w:tc>
        <w:tc>
          <w:tcPr>
            <w:tcW w:w="1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211"/>
        </w:trPr>
        <w:tc>
          <w:tcPr>
            <w:tcW w:w="39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 Decrease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2,363</w:t>
            </w:r>
          </w:p>
        </w:tc>
        <w:tc>
          <w:tcPr>
            <w:tcW w:w="0" w:type="dxa"/>
            <w:vAlign w:val="bottom"/>
          </w:tcPr>
          <w:p>
            <w:pPr>
              <w:spacing w:after="0"/>
              <w:rPr>
                <w:sz w:val="1"/>
                <w:szCs w:val="1"/>
                <w:color w:val="auto"/>
              </w:rPr>
            </w:pPr>
          </w:p>
        </w:tc>
      </w:tr>
      <w:tr>
        <w:trPr>
          <w:trHeight w:val="109"/>
        </w:trPr>
        <w:tc>
          <w:tcPr>
            <w:tcW w:w="39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900" w:type="dxa"/>
            <w:vAlign w:val="bottom"/>
            <w:tcBorders>
              <w:bottom w:val="single" w:sz="8" w:color="CCEEFF"/>
            </w:tcBorders>
            <w:vMerge w:val="continue"/>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 Increase</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Decrease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58"/>
        </w:trPr>
        <w:tc>
          <w:tcPr>
            <w:tcW w:w="39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1,856</w:t>
            </w:r>
          </w:p>
        </w:tc>
        <w:tc>
          <w:tcPr>
            <w:tcW w:w="0" w:type="dxa"/>
            <w:vAlign w:val="bottom"/>
          </w:tcPr>
          <w:p>
            <w:pPr>
              <w:spacing w:after="0"/>
              <w:rPr>
                <w:sz w:val="1"/>
                <w:szCs w:val="1"/>
                <w:color w:val="auto"/>
              </w:rPr>
            </w:pPr>
          </w:p>
        </w:tc>
      </w:tr>
      <w:tr>
        <w:trPr>
          <w:trHeight w:val="109"/>
        </w:trPr>
        <w:tc>
          <w:tcPr>
            <w:tcW w:w="39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 xml:space="preserve">Lease liabilities mainly relate the Group’s headquarters in Paris, the Boston office entered into in November 2023, the Montpellier offices entered into in April 2024, the new Paris headquarters entered into in May 2024 and to a lesser extent to vehicles, parking lots and printers </w:t>
      </w:r>
      <w:r>
        <w:rPr>
          <w:rFonts w:ascii="Times New Roman" w:cs="Times New Roman" w:eastAsia="Times New Roman" w:hAnsi="Times New Roman"/>
          <w:sz w:val="18"/>
          <w:szCs w:val="18"/>
          <w:color w:val="auto"/>
          <w:highlight w:val="white"/>
        </w:rPr>
        <w:t>(see Note 8).</w:t>
      </w:r>
    </w:p>
    <w:p>
      <w:pPr>
        <w:spacing w:after="0" w:line="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 lease for the Group’s corporate headquarters in Paris, France at 7-11 Boulevard Haussmann, 75009 Paris started in July 2022. It had a three-year duration, with a tacit renewal option for approximately two years and the possibility to break the contract one year before the end. In September 2023, the Group was notified by the lessor of its intention to exercise its option to terminate the contract on June 30, 2024. Consequently, the Group reassessed the lease term and recorded a decrease in the related lease liability by €622 thousand and a corresponding decrease in the right of use asset for the same amount.</w:t>
      </w:r>
    </w:p>
    <w:p>
      <w:pPr>
        <w:spacing w:after="0" w:line="4" w:lineRule="exact"/>
        <w:rPr>
          <w:sz w:val="20"/>
          <w:szCs w:val="20"/>
          <w:color w:val="auto"/>
        </w:rPr>
      </w:pPr>
    </w:p>
    <w:p>
      <w:pPr>
        <w:ind w:right="400"/>
        <w:spacing w:after="0" w:line="307" w:lineRule="auto"/>
        <w:rPr>
          <w:sz w:val="20"/>
          <w:szCs w:val="20"/>
          <w:color w:val="auto"/>
        </w:rPr>
      </w:pPr>
      <w:r>
        <w:rPr>
          <w:rFonts w:ascii="Times New Roman" w:cs="Times New Roman" w:eastAsia="Times New Roman" w:hAnsi="Times New Roman"/>
          <w:sz w:val="18"/>
          <w:szCs w:val="18"/>
          <w:color w:val="auto"/>
        </w:rPr>
        <w:t>A new lease for different premises within the same building was entered into on May 2, 2024. It has a three-year duration, and no renewal option. The Group also benefits from an initial eight-month rent-free period.</w:t>
      </w:r>
    </w:p>
    <w:p>
      <w:pPr>
        <w:spacing w:after="0" w:line="1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November 2023, the Subsidiary entered a lease contract for its new Boston offices. It has a two-year duration, with an option to renew the contract for an additional period of one or two years. In December 2024, the Group exercised its option to extend the lease</w:t>
      </w:r>
    </w:p>
    <w:p>
      <w:pPr>
        <w:sectPr>
          <w:pgSz w:w="11900" w:h="16846" w:orient="portrait"/>
          <w:cols w:equalWidth="0" w:num="1">
            <w:col w:w="9720"/>
          </w:cols>
          <w:pgMar w:left="1080" w:top="108" w:right="1099" w:bottom="0" w:gutter="0" w:footer="0" w:header="0"/>
        </w:sectPr>
      </w:pPr>
    </w:p>
    <w:bookmarkStart w:id="191" w:name="page192"/>
    <w:bookmarkEnd w:id="191"/>
    <w:p>
      <w:pPr>
        <w:ind w:right="60"/>
        <w:spacing w:after="0" w:line="190" w:lineRule="auto"/>
        <w:rPr>
          <w:sz w:val="20"/>
          <w:szCs w:val="20"/>
          <w:color w:val="auto"/>
        </w:rPr>
      </w:pPr>
      <w:r>
        <w:rPr>
          <w:rFonts w:ascii="Times New Roman" w:cs="Times New Roman" w:eastAsia="Times New Roman" w:hAnsi="Times New Roman"/>
          <w:sz w:val="18"/>
          <w:szCs w:val="18"/>
          <w:color w:val="auto"/>
        </w:rPr>
        <w:t>up until December 2026. Per Management, additional renewal options are not reasonably certain due to the forecasted development of the Subsidiary, which may lead it to relocate at the end of the current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-187325</wp:posOffset>
            </wp:positionV>
            <wp:extent cx="7016115" cy="35337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7016115" cy="3533775"/>
                    </a:xfrm>
                    <a:prstGeom prst="rect">
                      <a:avLst/>
                    </a:prstGeom>
                    <a:noFill/>
                  </pic:spPr>
                </pic:pic>
              </a:graphicData>
            </a:graphic>
          </wp:anchor>
        </w:drawing>
      </w:r>
    </w:p>
    <w:p>
      <w:pPr>
        <w:spacing w:after="0" w:line="1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April 2024, the Company entered a lease contract for a new Montpellier office. It has an initial six-year duration, with the option for the Company to terminate the lease at any time with a six-month notice period, and a tacit renewal option for an additional period of six years. Based on Management's estimate, the initial lease period of six years is considered reasonably certain and is therefore used for the measurement of the lease</w:t>
      </w:r>
    </w:p>
    <w:p>
      <w:pPr>
        <w:spacing w:after="0" w:line="1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2025, the Company renewed the lease contract with the CNRS (French National Centre for Scientific Research) research laboratories based in Montpellier until December 31, 2026. A lease liability was recognized as of 31 December 2025.</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the lease liabilities of the Paris headquarters and Boston offices represented 93%, 93% and 70% of the total lease liability, respectively.</w:t>
      </w:r>
    </w:p>
    <w:p>
      <w:pPr>
        <w:spacing w:after="0" w:line="149"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8"/>
          <w:szCs w:val="18"/>
          <w:color w:val="auto"/>
        </w:rPr>
        <w:t>Lease expenses related to contracts for which a lease liability and right of use asset is recognized under IFRS 16 were €548 thousand, €730 thousand and €808 thousand for the years ended December 31, 2023, 2024 and 2025, respectively. They were recognized for (i) €498 thousand, €788 thousand and €744 thousand as Depreciation expenses and (ii) €13 thousand, €61 thousand and €64 thousand as Interest expenses, for the years ended December 31, 2023, 2024 and 2025, respectively.</w:t>
      </w:r>
    </w:p>
    <w:p>
      <w:pPr>
        <w:spacing w:after="0" w:line="171" w:lineRule="exact"/>
        <w:rPr>
          <w:sz w:val="20"/>
          <w:szCs w:val="20"/>
          <w:color w:val="auto"/>
        </w:rPr>
      </w:pPr>
    </w:p>
    <w:p>
      <w:pPr>
        <w:jc w:val="both"/>
        <w:ind w:right="320"/>
        <w:spacing w:after="0" w:line="296" w:lineRule="auto"/>
        <w:rPr>
          <w:sz w:val="20"/>
          <w:szCs w:val="20"/>
          <w:color w:val="auto"/>
        </w:rPr>
      </w:pPr>
      <w:r>
        <w:rPr>
          <w:rFonts w:ascii="Times New Roman" w:cs="Times New Roman" w:eastAsia="Times New Roman" w:hAnsi="Times New Roman"/>
          <w:sz w:val="17"/>
          <w:szCs w:val="17"/>
          <w:color w:val="auto"/>
        </w:rPr>
        <w:t>Lease expenses related to short-term lease contracts and low value assets that are not included in the valuation of the lease liability amount to €334 thousand, €352 thousand and €349 thousand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899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7016115" cy="689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15.9. Royalty certificates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 2022, the Group completed a financing of €49,162 thousand, consisting of two transactions:</w:t>
      </w:r>
    </w:p>
    <w:p>
      <w:pPr>
        <w:spacing w:after="0" w:line="212" w:lineRule="exact"/>
        <w:rPr>
          <w:sz w:val="20"/>
          <w:szCs w:val="20"/>
          <w:color w:val="auto"/>
        </w:rPr>
      </w:pPr>
    </w:p>
    <w:p>
      <w:pPr>
        <w:ind w:left="660" w:right="520" w:hanging="332"/>
        <w:spacing w:after="0" w:line="242" w:lineRule="auto"/>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reserved capital increase of a gross amount of €46,231 thousand through the issuance of 5,530,000 new shares with a nominal value of €0.01 per share at a subscription price of €8.36 per share; and</w:t>
      </w:r>
    </w:p>
    <w:p>
      <w:pPr>
        <w:spacing w:after="0" w:line="22" w:lineRule="exact"/>
        <w:rPr>
          <w:rFonts w:ascii="Times New Roman" w:cs="Times New Roman" w:eastAsia="Times New Roman" w:hAnsi="Times New Roman"/>
          <w:sz w:val="22"/>
          <w:szCs w:val="22"/>
          <w:color w:val="auto"/>
        </w:rPr>
      </w:pPr>
    </w:p>
    <w:p>
      <w:pPr>
        <w:ind w:left="660" w:right="180" w:hanging="332"/>
        <w:spacing w:after="0" w:line="262" w:lineRule="auto"/>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issue of royalty certificates with a subscription price amounting to €2,931 thousand.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€172,000 thousand.</w:t>
      </w:r>
    </w:p>
    <w:p>
      <w:pPr>
        <w:spacing w:after="0" w:line="19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Related transaction costs amounted to €3,280 thousand and are recorded in equity, since entirely related to the reserved capital increase.</w:t>
      </w:r>
    </w:p>
    <w:p>
      <w:pPr>
        <w:spacing w:after="0" w:line="149"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 xml:space="preserve">In April 2023, the Group reassessed its estimate of the probability of future royalty cash flows related to the royalty certificates. </w:t>
      </w:r>
      <w:r>
        <w:rPr>
          <w:rFonts w:ascii="Times New Roman" w:cs="Times New Roman" w:eastAsia="Times New Roman" w:hAnsi="Times New Roman"/>
          <w:sz w:val="18"/>
          <w:szCs w:val="18"/>
          <w:color w:val="231F20"/>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change reflected the higher probability to reach the objectives of the development and commercialization plans following the recent changes in management and governance, as well as results from its Phase 2b open-label maintenance trial in UC, as released in April 2023. Subsequently, in June 2023 and December 2023, the Group revised </w:t>
      </w:r>
      <w:r>
        <w:rPr>
          <w:rFonts w:ascii="Times New Roman" w:cs="Times New Roman" w:eastAsia="Times New Roman" w:hAnsi="Times New Roman"/>
          <w:sz w:val="18"/>
          <w:szCs w:val="18"/>
          <w:color w:val="000000"/>
        </w:rPr>
        <w:t>the development and commercialization plans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obefazimod and reassessed its estimate of future royalty cash flows accordingly. These changes in estimates resulted in a remeasurement of the certificates’ amortized costs, using the original EIR of 34% calculated at the date of issuance, which led to an increase by</w:t>
      </w:r>
      <w:r>
        <w:rPr>
          <w:sz w:val="1"/>
          <w:szCs w:val="1"/>
          <w:color w:val="auto"/>
        </w:rPr>
        <w:drawing>
          <wp:inline distT="0" distB="0" distL="0" distR="0">
            <wp:extent cx="34290" cy="10477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€6,421 thousand </w:t>
      </w:r>
      <w:r>
        <w:rPr>
          <w:rFonts w:ascii="Times New Roman" w:cs="Times New Roman" w:eastAsia="Times New Roman" w:hAnsi="Times New Roman"/>
          <w:sz w:val="18"/>
          <w:szCs w:val="18"/>
          <w:color w:val="auto"/>
        </w:rPr>
        <w:t>of the royalty certificates liability. The expense was recorded within the interest expenses in the</w:t>
      </w:r>
      <w:r>
        <w:rPr>
          <w:rFonts w:ascii="Times New Roman" w:cs="Times New Roman" w:eastAsia="Times New Roman" w:hAnsi="Times New Roman"/>
          <w:sz w:val="18"/>
          <w:szCs w:val="18"/>
          <w:color w:val="auto"/>
          <w:highlight w:val="white"/>
        </w:rPr>
        <w:t xml:space="preserve"> Statements of Income (Loss).</w:t>
      </w:r>
    </w:p>
    <w:p>
      <w:pPr>
        <w:spacing w:after="0" w:line="5" w:lineRule="exact"/>
        <w:rPr>
          <w:sz w:val="20"/>
          <w:szCs w:val="20"/>
          <w:color w:val="auto"/>
        </w:rPr>
      </w:pPr>
    </w:p>
    <w:p>
      <w:pPr>
        <w:ind w:right="1140"/>
        <w:spacing w:after="0" w:line="258" w:lineRule="auto"/>
        <w:rPr>
          <w:sz w:val="20"/>
          <w:szCs w:val="20"/>
          <w:color w:val="auto"/>
        </w:rPr>
      </w:pPr>
      <w:r>
        <w:rPr>
          <w:rFonts w:ascii="Times New Roman" w:cs="Times New Roman" w:eastAsia="Times New Roman" w:hAnsi="Times New Roman"/>
          <w:sz w:val="18"/>
          <w:szCs w:val="18"/>
          <w:color w:val="auto"/>
        </w:rPr>
        <w:t>Consequently, the total interest expense (including the unwinding of discount) related to royalty certificates amounts to €8,942 thousand for the year ended December 31, 2023.</w:t>
      </w:r>
    </w:p>
    <w:p>
      <w:pPr>
        <w:spacing w:after="0" w:line="15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 xml:space="preserve">In December 2024, the Group </w:t>
      </w:r>
      <w:r>
        <w:rPr>
          <w:rFonts w:ascii="Times New Roman" w:cs="Times New Roman" w:eastAsia="Times New Roman" w:hAnsi="Times New Roman"/>
          <w:sz w:val="18"/>
          <w:szCs w:val="18"/>
          <w:color w:val="231F20"/>
        </w:rPr>
        <w:t>revised</w:t>
      </w:r>
      <w:r>
        <w:rPr>
          <w:rFonts w:ascii="Times New Roman" w:cs="Times New Roman" w:eastAsia="Times New Roman" w:hAnsi="Times New Roman"/>
          <w:sz w:val="18"/>
          <w:szCs w:val="18"/>
          <w:color w:val="auto"/>
        </w:rPr>
        <w:t xml:space="preserve"> the development and commercialization plans of obefazimod to take into account the progression in the ongoing clinical trials, reassessment of the commercial schedule and forecasts and reassessed its estimate of future royalty cash flows accordingly. </w:t>
      </w:r>
      <w:r>
        <w:rPr>
          <w:rFonts w:ascii="Times New Roman" w:cs="Times New Roman" w:eastAsia="Times New Roman" w:hAnsi="Times New Roman"/>
          <w:sz w:val="18"/>
          <w:szCs w:val="18"/>
          <w:color w:val="231F20"/>
        </w:rPr>
        <w:t>This</w:t>
      </w:r>
      <w:r>
        <w:rPr>
          <w:rFonts w:ascii="Times New Roman" w:cs="Times New Roman" w:eastAsia="Times New Roman" w:hAnsi="Times New Roman"/>
          <w:sz w:val="18"/>
          <w:szCs w:val="18"/>
          <w:color w:val="auto"/>
        </w:rPr>
        <w:t xml:space="preserve"> change in estimate resulted in a remeasurement of the certificates’ amortized costs, using the original EIR of 34% calculated at the date of issuance, which led to a decrease by €3,404 thousand of the royalty certificates liability. The expense was recorded within the interest expenses in the Statements of Income (Loss).</w:t>
      </w:r>
    </w:p>
    <w:p>
      <w:pPr>
        <w:spacing w:after="0" w:line="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Consequently, the total interest expense related to royalty certificates (including the effect of the unwinding of discount, amounting to €4,198 thousand) amounts to €794 thousand for the year ended December 31, 2024.</w:t>
      </w:r>
    </w:p>
    <w:p>
      <w:pPr>
        <w:spacing w:after="0" w:line="182"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During the third quarter of 2025, the Group revised the probability of success (“POS”) of the obefazimod clinical trials to take into account the Phase 3 results announced in July 2025 and reassessed its estimate of future royalty cash flows accordingly. This change in estimate resulted in a remeasurement of the certificates’ amortized costs, using the original EIR of 34% calculated at the date of issuance, which led to an increase by €11,286 thousand of the royalty certificates liability. The expense was recorded within the financial expenses in the Statements of Income (Loss).</w:t>
      </w:r>
    </w:p>
    <w:p>
      <w:pPr>
        <w:spacing w:after="0" w:line="171"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As of December 31, 2025, using the same future royalty cash flows assumptions with an increase of +5 points of POS and +5% of peak penetration (best case scenario) would result in an increase in the royalty certificates carrying value by respectively €</w:t>
      </w:r>
    </w:p>
    <w:p>
      <w:pPr>
        <w:spacing w:after="0" w:line="1"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+809 thousand and €+2,616 thousand. Using the same assumptions with a decrease of (5) points in POS and (5)% in peak penetration (worst case scenario) would result in a decrease in the royalty certificates carrying value by respectively €(1,712) thousand and €(4,154) thousand.</w:t>
      </w:r>
    </w:p>
    <w:p>
      <w:pPr>
        <w:sectPr>
          <w:pgSz w:w="11900" w:h="16838" w:orient="portrait"/>
          <w:cols w:equalWidth="0" w:num="1">
            <w:col w:w="9720"/>
          </w:cols>
          <w:pgMar w:left="1080" w:top="108" w:right="1099" w:bottom="0" w:gutter="0" w:footer="0" w:header="0"/>
        </w:sectPr>
      </w:pPr>
    </w:p>
    <w:bookmarkStart w:id="192" w:name="page193"/>
    <w:bookmarkEnd w:id="192"/>
    <w:p>
      <w:pPr>
        <w:ind w:left="34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-126365</wp:posOffset>
            </wp:positionV>
            <wp:extent cx="7016115" cy="21621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7016115" cy="2162175"/>
                    </a:xfrm>
                    <a:prstGeom prst="rect">
                      <a:avLst/>
                    </a:prstGeom>
                    <a:noFill/>
                  </pic:spPr>
                </pic:pic>
              </a:graphicData>
            </a:graphic>
          </wp:anchor>
        </w:drawing>
      </w:r>
    </w:p>
    <w:p>
      <w:pPr>
        <w:spacing w:after="0" w:line="221"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royalty certificates amounts to </w:t>
      </w:r>
      <w:r>
        <w:rPr>
          <w:rFonts w:ascii="Times New Roman" w:cs="Times New Roman" w:eastAsia="Times New Roman" w:hAnsi="Times New Roman"/>
          <w:sz w:val="18"/>
          <w:szCs w:val="18"/>
          <w:color w:val="auto"/>
          <w:highlight w:val="white"/>
        </w:rPr>
        <w:t>€12,395 thousand as</w:t>
      </w:r>
      <w:r>
        <w:rPr>
          <w:rFonts w:ascii="Times New Roman" w:cs="Times New Roman" w:eastAsia="Times New Roman" w:hAnsi="Times New Roman"/>
          <w:sz w:val="18"/>
          <w:szCs w:val="18"/>
          <w:color w:val="auto"/>
        </w:rPr>
        <w:t xml:space="preserve"> of December 31, 2023, €7,313 thousand as of December 31, 2024 and €102,001 thousands as of December 31, 2025.</w:t>
      </w:r>
    </w:p>
    <w:p>
      <w:pPr>
        <w:spacing w:after="0" w:line="149" w:lineRule="exact"/>
        <w:rPr>
          <w:sz w:val="20"/>
          <w:szCs w:val="20"/>
          <w:color w:val="auto"/>
        </w:rPr>
      </w:pPr>
    </w:p>
    <w:p>
      <w:pPr>
        <w:ind w:left="340" w:right="240"/>
        <w:spacing w:after="0" w:line="245" w:lineRule="auto"/>
        <w:rPr>
          <w:sz w:val="20"/>
          <w:szCs w:val="20"/>
          <w:color w:val="auto"/>
        </w:rPr>
      </w:pPr>
      <w:r>
        <w:rPr>
          <w:rFonts w:ascii="Times New Roman" w:cs="Times New Roman" w:eastAsia="Times New Roman" w:hAnsi="Times New Roman"/>
          <w:sz w:val="18"/>
          <w:szCs w:val="18"/>
          <w:color w:val="auto"/>
        </w:rPr>
        <w:t>The fair value of the royalty certificates is based on the net present value of royalties, which depends on assumptions made by the Group with regards to the probability of success of its studies (“POS”), the commercialization budget of obefazimod (“peak penetration”) and the discount rate. In addition, as of December 31 2023 and 2024, royalty projections have been adjusted to reflect the significant difference between the Group’s value derived from management projections and the Group’s market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238125</wp:posOffset>
            </wp:positionV>
            <wp:extent cx="7016115" cy="82715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7016115" cy="827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As of December 31, 2025, following the increase in the Group's share price and the business plan update, such adjustment was no longer required. Management ensured that the discount rate of 7.5% used at that date is reasonable based on the specific risk profile of the royalties certificates.</w:t>
      </w:r>
    </w:p>
    <w:p>
      <w:pPr>
        <w:spacing w:after="0" w:line="156" w:lineRule="exact"/>
        <w:rPr>
          <w:sz w:val="20"/>
          <w:szCs w:val="20"/>
          <w:color w:val="auto"/>
        </w:rPr>
      </w:pPr>
    </w:p>
    <w:p>
      <w:pPr>
        <w:ind w:left="340" w:right="40"/>
        <w:spacing w:after="0" w:line="247" w:lineRule="auto"/>
        <w:rPr>
          <w:sz w:val="20"/>
          <w:szCs w:val="20"/>
          <w:color w:val="auto"/>
        </w:rPr>
      </w:pPr>
      <w:r>
        <w:rPr>
          <w:rFonts w:ascii="Times New Roman" w:cs="Times New Roman" w:eastAsia="Times New Roman" w:hAnsi="Times New Roman"/>
          <w:sz w:val="18"/>
          <w:szCs w:val="18"/>
          <w:color w:val="auto"/>
        </w:rPr>
        <w:t xml:space="preserve">The decrease in fair value of the royalty certificates over the year ended December 31, 2024 is mainly driven by the decrease in the Group's share price over the period, while the increase over the year ended December 31, 2025 is primarily explained by (i) the revised POS, reflecting the results of the Phase 3 trials, which resulted in the increase in the Group's share price during the second half of 2025, and (ii) a decrease in the discount rate consistent with the increase in the Group's market capitalization (see Note 3.3 </w:t>
      </w:r>
      <w:r>
        <w:rPr>
          <w:rFonts w:ascii="Times New Roman" w:cs="Times New Roman" w:eastAsia="Times New Roman" w:hAnsi="Times New Roman"/>
          <w:sz w:val="18"/>
          <w:szCs w:val="18"/>
          <w:b w:val="1"/>
          <w:bCs w:val="1"/>
          <w:color w:val="auto"/>
        </w:rPr>
        <w:t>-</w:t>
      </w:r>
    </w:p>
    <w:p>
      <w:pPr>
        <w:spacing w:after="0" w:line="3" w:lineRule="exact"/>
        <w:rPr>
          <w:sz w:val="20"/>
          <w:szCs w:val="20"/>
          <w:color w:val="auto"/>
        </w:rPr>
      </w:pPr>
    </w:p>
    <w:p>
      <w:pPr>
        <w:ind w:left="340" w:right="200"/>
        <w:spacing w:after="0" w:line="245" w:lineRule="auto"/>
        <w:rPr>
          <w:sz w:val="20"/>
          <w:szCs w:val="20"/>
          <w:color w:val="auto"/>
        </w:rPr>
      </w:pPr>
      <w:r>
        <w:rPr>
          <w:rFonts w:ascii="Times New Roman" w:cs="Times New Roman" w:eastAsia="Times New Roman" w:hAnsi="Times New Roman"/>
          <w:sz w:val="18"/>
          <w:szCs w:val="18"/>
          <w:i w:val="1"/>
          <w:iCs w:val="1"/>
          <w:color w:val="auto"/>
        </w:rPr>
        <w:t>Publication of positive Phase 3 results from both ABTECT 8-week induction trials investigating obefazimod, in moderate to severely active UC – July 2025)</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340" w:right="460"/>
        <w:spacing w:after="0" w:line="246" w:lineRule="auto"/>
        <w:rPr>
          <w:sz w:val="20"/>
          <w:szCs w:val="20"/>
          <w:color w:val="auto"/>
        </w:rPr>
      </w:pPr>
      <w:r>
        <w:rPr>
          <w:rFonts w:ascii="Times New Roman" w:cs="Times New Roman" w:eastAsia="Times New Roman" w:hAnsi="Times New Roman"/>
          <w:sz w:val="18"/>
          <w:szCs w:val="18"/>
          <w:color w:val="auto"/>
        </w:rPr>
        <w:t>As of December 31, 2023, using the same assumptions with an increase of +5 points of POS, +5% of peak penetration (best case scenario), +1% WACC and €+1 share price would result in a change in the royalty certificates fair value by respectively €</w:t>
      </w:r>
    </w:p>
    <w:p>
      <w:pPr>
        <w:spacing w:after="0" w:line="1" w:lineRule="exact"/>
        <w:rPr>
          <w:sz w:val="20"/>
          <w:szCs w:val="20"/>
          <w:color w:val="auto"/>
        </w:rPr>
      </w:pPr>
    </w:p>
    <w:p>
      <w:pPr>
        <w:jc w:val="both"/>
        <w:ind w:left="340" w:right="140"/>
        <w:spacing w:after="0" w:line="239" w:lineRule="auto"/>
        <w:rPr>
          <w:sz w:val="20"/>
          <w:szCs w:val="20"/>
          <w:color w:val="auto"/>
        </w:rPr>
      </w:pPr>
      <w:r>
        <w:rPr>
          <w:rFonts w:ascii="Times New Roman" w:cs="Times New Roman" w:eastAsia="Times New Roman" w:hAnsi="Times New Roman"/>
          <w:sz w:val="18"/>
          <w:szCs w:val="18"/>
          <w:color w:val="auto"/>
        </w:rPr>
        <w:t>+1104 thousand, €+1757 thousand, €(577) thousand and €+1325 thousand. Using the same assumptions with a decrease of (5) points of POS, (5)% of peak penetration (worst case scenario) and (1)% WACC and €(1) share price would result in a change in the royalty certificates fair value by respectively €(1,104) thousand, €(2,311) thousand, €+612 thousand and €(1,325) thousand.</w:t>
      </w:r>
    </w:p>
    <w:p>
      <w:pPr>
        <w:spacing w:after="0" w:line="172" w:lineRule="exact"/>
        <w:rPr>
          <w:sz w:val="20"/>
          <w:szCs w:val="20"/>
          <w:color w:val="auto"/>
        </w:rPr>
      </w:pPr>
    </w:p>
    <w:p>
      <w:pPr>
        <w:ind w:left="340" w:right="460"/>
        <w:spacing w:after="0" w:line="246" w:lineRule="auto"/>
        <w:rPr>
          <w:sz w:val="20"/>
          <w:szCs w:val="20"/>
          <w:color w:val="auto"/>
        </w:rPr>
      </w:pPr>
      <w:r>
        <w:rPr>
          <w:rFonts w:ascii="Times New Roman" w:cs="Times New Roman" w:eastAsia="Times New Roman" w:hAnsi="Times New Roman"/>
          <w:sz w:val="18"/>
          <w:szCs w:val="18"/>
          <w:color w:val="auto"/>
        </w:rPr>
        <w:t>As of December 31, 2024, using the same assumptions with an increase of +5 points of POS, +5% of peak penetration (best case scenario), +1% WACC and €+1 share price would result in a change in the royalty certificates fair value by respectively €</w:t>
      </w:r>
    </w:p>
    <w:p>
      <w:pPr>
        <w:spacing w:after="0" w:line="1" w:lineRule="exact"/>
        <w:rPr>
          <w:sz w:val="20"/>
          <w:szCs w:val="20"/>
          <w:color w:val="auto"/>
        </w:rPr>
      </w:pPr>
    </w:p>
    <w:p>
      <w:pPr>
        <w:jc w:val="both"/>
        <w:ind w:left="340" w:right="140"/>
        <w:spacing w:after="0" w:line="239" w:lineRule="auto"/>
        <w:rPr>
          <w:sz w:val="20"/>
          <w:szCs w:val="20"/>
          <w:color w:val="auto"/>
        </w:rPr>
      </w:pPr>
      <w:r>
        <w:rPr>
          <w:rFonts w:ascii="Times New Roman" w:cs="Times New Roman" w:eastAsia="Times New Roman" w:hAnsi="Times New Roman"/>
          <w:sz w:val="18"/>
          <w:szCs w:val="18"/>
          <w:color w:val="auto"/>
        </w:rPr>
        <w:t>+572 thousand, €+1,735 thousand, €(314) thousand and €+1,160 thousand. Using the same assumptions with a decrease of (5) points of POS, (5)% of peak penetration (worst case scenario) and (1)% WACC and €(1) share price would result in a change in the royalty certificates fair value by respectively €(572) thousand, €(2,527) thousand, €+332 thousand and €(1,160) thousand.</w:t>
      </w:r>
    </w:p>
    <w:p>
      <w:pPr>
        <w:spacing w:after="0" w:line="172" w:lineRule="exact"/>
        <w:rPr>
          <w:sz w:val="20"/>
          <w:szCs w:val="20"/>
          <w:color w:val="auto"/>
        </w:rPr>
      </w:pPr>
    </w:p>
    <w:p>
      <w:pPr>
        <w:ind w:left="340" w:right="460"/>
        <w:spacing w:after="0" w:line="252" w:lineRule="auto"/>
        <w:rPr>
          <w:sz w:val="20"/>
          <w:szCs w:val="20"/>
          <w:color w:val="auto"/>
        </w:rPr>
      </w:pPr>
      <w:r>
        <w:rPr>
          <w:rFonts w:ascii="Times New Roman" w:cs="Times New Roman" w:eastAsia="Times New Roman" w:hAnsi="Times New Roman"/>
          <w:sz w:val="17"/>
          <w:szCs w:val="17"/>
          <w:color w:val="auto"/>
        </w:rPr>
        <w:t>As of December 31, 2025, using the same assumptions with an increase of +5 points of POS, +5% of peak penetration (best case scenario) and +1% WACC would result in a change in the royalty certificates fair value by respectively €+5810 thousand, €</w:t>
      </w:r>
    </w:p>
    <w:p>
      <w:pPr>
        <w:spacing w:after="0" w:line="1" w:lineRule="exact"/>
        <w:rPr>
          <w:sz w:val="20"/>
          <w:szCs w:val="20"/>
          <w:color w:val="auto"/>
        </w:rPr>
      </w:pPr>
    </w:p>
    <w:p>
      <w:pPr>
        <w:ind w:left="340"/>
        <w:spacing w:after="0" w:line="239" w:lineRule="auto"/>
        <w:rPr>
          <w:sz w:val="20"/>
          <w:szCs w:val="20"/>
          <w:color w:val="auto"/>
        </w:rPr>
      </w:pPr>
      <w:r>
        <w:rPr>
          <w:rFonts w:ascii="Times New Roman" w:cs="Times New Roman" w:eastAsia="Times New Roman" w:hAnsi="Times New Roman"/>
          <w:sz w:val="18"/>
          <w:szCs w:val="18"/>
          <w:color w:val="auto"/>
        </w:rPr>
        <w:t>+2830 thousand and €(4,940) thousand. Using the same assumptions with a decrease of (5) points of POS, (5)% of peak penetration (worst case scenario) and (1)% WACC would result in a change in the royalty certificates fair value by respectively €(5,810) thousand, €(5,590) thousand and €+5,251 thousand.</w:t>
      </w: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Note 15.10. Change in financial liabilities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financial liabilities, excluding derivative instruments, are presented below as of December 31, 2023, 2024 and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w w:val="98"/>
              </w:rPr>
              <w:t>(Amounts in thousands of euros)</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Kreos/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40" w:type="dxa"/>
            <w:vAlign w:val="bottom"/>
            <w:vMerge w:val="continue"/>
          </w:tcPr>
          <w:p>
            <w:pPr>
              <w:spacing w:after="0"/>
              <w:rPr>
                <w:sz w:val="12"/>
                <w:szCs w:val="12"/>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Kreos 1 &amp; 2</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3"/>
                <w:szCs w:val="13"/>
                <w:b w:val="1"/>
                <w:bCs w:val="1"/>
                <w:color w:val="auto"/>
                <w:w w:val="95"/>
              </w:rPr>
              <w:t>Claret</w:t>
            </w:r>
          </w:p>
        </w:tc>
        <w:tc>
          <w:tcPr>
            <w:tcW w:w="8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Kreos &amp;</w:t>
            </w:r>
          </w:p>
        </w:tc>
        <w:tc>
          <w:tcPr>
            <w:tcW w:w="8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3"/>
                <w:szCs w:val="13"/>
                <w:b w:val="1"/>
                <w:bCs w:val="1"/>
                <w:color w:val="auto"/>
                <w:w w:val="93"/>
              </w:rPr>
              <w:t>Heights</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Conditional</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Lease</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Royalty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(excluding</w:t>
            </w:r>
          </w:p>
        </w:tc>
        <w:tc>
          <w:tcPr>
            <w:tcW w:w="840" w:type="dxa"/>
            <w:vAlign w:val="bottom"/>
            <w:gridSpan w:val="2"/>
            <w:vMerge w:val="continue"/>
          </w:tcPr>
          <w:p>
            <w:pPr>
              <w:spacing w:after="0"/>
              <w:rPr>
                <w:sz w:val="12"/>
                <w:szCs w:val="12"/>
                <w:color w:val="auto"/>
              </w:rPr>
            </w:pPr>
          </w:p>
        </w:tc>
        <w:tc>
          <w:tcPr>
            <w:tcW w:w="840" w:type="dxa"/>
            <w:vAlign w:val="bottom"/>
            <w:gridSpan w:val="2"/>
          </w:tcPr>
          <w:p>
            <w:pPr>
              <w:ind w:left="200"/>
              <w:spacing w:after="0" w:line="146" w:lineRule="exact"/>
              <w:rPr>
                <w:sz w:val="20"/>
                <w:szCs w:val="20"/>
                <w:color w:val="auto"/>
              </w:rPr>
            </w:pPr>
            <w:r>
              <w:rPr>
                <w:rFonts w:ascii="Times New Roman" w:cs="Times New Roman" w:eastAsia="Times New Roman" w:hAnsi="Times New Roman"/>
                <w:sz w:val="13"/>
                <w:szCs w:val="13"/>
                <w:b w:val="1"/>
                <w:bCs w:val="1"/>
                <w:color w:val="auto"/>
              </w:rPr>
              <w:t>Oceane</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Claret bond</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82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3"/>
                <w:szCs w:val="13"/>
                <w:b w:val="1"/>
                <w:bCs w:val="1"/>
                <w:color w:val="auto"/>
              </w:rPr>
              <w:t>PGE</w:t>
            </w:r>
          </w:p>
        </w:tc>
        <w:tc>
          <w:tcPr>
            <w:tcW w:w="84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3"/>
                <w:szCs w:val="13"/>
                <w:b w:val="1"/>
                <w:bCs w:val="1"/>
                <w:color w:val="auto"/>
                <w:w w:val="94"/>
              </w:rPr>
              <w:t>advances</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instruments)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bond loans</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2"/>
              </w:rPr>
              <w:t>BPI</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liabilities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certificates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(OCABSA)</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12,982</w:t>
            </w:r>
          </w:p>
        </w:tc>
        <w:tc>
          <w:tcPr>
            <w:tcW w:w="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19,957</w:t>
            </w:r>
          </w:p>
        </w:tc>
        <w:tc>
          <w:tcPr>
            <w:tcW w:w="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4,838</w:t>
            </w:r>
          </w:p>
        </w:tc>
        <w:tc>
          <w:tcPr>
            <w:tcW w:w="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6,783</w:t>
            </w:r>
          </w:p>
        </w:tc>
        <w:tc>
          <w:tcPr>
            <w:tcW w:w="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1,384</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3,287</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49,231</w:t>
            </w:r>
          </w:p>
        </w:tc>
        <w:tc>
          <w:tcPr>
            <w:tcW w:w="0" w:type="dxa"/>
            <w:vAlign w:val="bottom"/>
          </w:tcPr>
          <w:p>
            <w:pPr>
              <w:spacing w:after="0"/>
              <w:rPr>
                <w:sz w:val="1"/>
                <w:szCs w:val="1"/>
                <w:color w:val="auto"/>
              </w:rPr>
            </w:pPr>
          </w:p>
        </w:tc>
      </w:tr>
      <w:tr>
        <w:trPr>
          <w:trHeight w:val="96"/>
        </w:trPr>
        <w:tc>
          <w:tcPr>
            <w:tcW w:w="1740" w:type="dxa"/>
            <w:vAlign w:val="bottom"/>
            <w:vMerge w:val="restart"/>
            <w:shd w:val="clear" w:color="auto" w:fill="CCEEFF"/>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8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Proceeds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40" w:type="dxa"/>
            <w:vAlign w:val="bottom"/>
            <w:vMerge w:val="continue"/>
          </w:tcPr>
          <w:p>
            <w:pPr>
              <w:spacing w:after="0"/>
              <w:rPr>
                <w:sz w:val="14"/>
                <w:szCs w:val="1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23,119</w:t>
            </w:r>
          </w:p>
        </w:tc>
        <w:tc>
          <w:tcPr>
            <w:tcW w:w="6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6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58,119</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Repayments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11"/>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paid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6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classification of embedded</w:t>
            </w: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derivatives as separate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derivative financial</w:t>
            </w: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instruments</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(gain)/</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loss on recognition or</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193"/>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derecognition</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 interest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760</w:t>
            </w:r>
          </w:p>
        </w:tc>
        <w:tc>
          <w:tcPr>
            <w:tcW w:w="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expense and other</w:t>
            </w:r>
          </w:p>
        </w:tc>
        <w:tc>
          <w:tcPr>
            <w:tcW w:w="8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recognition of earn-out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6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88"/>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liability</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740" w:top="133" w:right="1099" w:bottom="0" w:gutter="0" w:footer="0" w:header="0"/>
        </w:sectPr>
      </w:pPr>
    </w:p>
    <w:bookmarkStart w:id="193" w:name="page194"/>
    <w:bookmarkEnd w:id="193"/>
    <w:p>
      <w:pPr>
        <w:jc w:val="center"/>
        <w:ind w:right="-35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905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7016115" cy="790575"/>
                    </a:xfrm>
                    <a:prstGeom prst="rect">
                      <a:avLst/>
                    </a:prstGeom>
                    <a:noFill/>
                  </pic:spPr>
                </pic:pic>
              </a:graphicData>
            </a:graphic>
          </wp:anchor>
        </w:drawing>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245745</wp:posOffset>
            </wp:positionV>
            <wp:extent cx="7016115" cy="90735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10060"/>
          </w:cols>
          <w:pgMar w:left="740" w:top="931" w:right="1099" w:bottom="7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w w:val="98"/>
              </w:rPr>
              <w:t>(Amounts in thousands of euros)</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Kreos/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40" w:type="dxa"/>
            <w:vAlign w:val="bottom"/>
            <w:vMerge w:val="continue"/>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Kreos 1 &amp; 2</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3"/>
                <w:szCs w:val="13"/>
                <w:b w:val="1"/>
                <w:bCs w:val="1"/>
                <w:color w:val="auto"/>
                <w:w w:val="95"/>
              </w:rPr>
              <w:t>Claret</w:t>
            </w:r>
          </w:p>
        </w:tc>
        <w:tc>
          <w:tcPr>
            <w:tcW w:w="8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Kreos &amp;</w:t>
            </w:r>
          </w:p>
        </w:tc>
        <w:tc>
          <w:tcPr>
            <w:tcW w:w="8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3"/>
                <w:szCs w:val="13"/>
                <w:b w:val="1"/>
                <w:bCs w:val="1"/>
                <w:color w:val="auto"/>
                <w:w w:val="93"/>
              </w:rPr>
              <w:t>Heights</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Conditional</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Lease</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Royalty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(excluding</w:t>
            </w:r>
          </w:p>
        </w:tc>
        <w:tc>
          <w:tcPr>
            <w:tcW w:w="840" w:type="dxa"/>
            <w:vAlign w:val="bottom"/>
            <w:gridSpan w:val="2"/>
            <w:vMerge w:val="continue"/>
          </w:tcPr>
          <w:p>
            <w:pPr>
              <w:spacing w:after="0"/>
              <w:rPr>
                <w:sz w:val="12"/>
                <w:szCs w:val="12"/>
                <w:color w:val="auto"/>
              </w:rPr>
            </w:pPr>
          </w:p>
        </w:tc>
        <w:tc>
          <w:tcPr>
            <w:tcW w:w="840" w:type="dxa"/>
            <w:vAlign w:val="bottom"/>
            <w:gridSpan w:val="2"/>
          </w:tcPr>
          <w:p>
            <w:pPr>
              <w:ind w:left="200"/>
              <w:spacing w:after="0" w:line="146" w:lineRule="exact"/>
              <w:rPr>
                <w:sz w:val="20"/>
                <w:szCs w:val="20"/>
                <w:color w:val="auto"/>
              </w:rPr>
            </w:pPr>
            <w:r>
              <w:rPr>
                <w:rFonts w:ascii="Times New Roman" w:cs="Times New Roman" w:eastAsia="Times New Roman" w:hAnsi="Times New Roman"/>
                <w:sz w:val="13"/>
                <w:szCs w:val="13"/>
                <w:b w:val="1"/>
                <w:bCs w:val="1"/>
                <w:color w:val="auto"/>
              </w:rPr>
              <w:t>Oceane</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Claret bond</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82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3"/>
                <w:szCs w:val="13"/>
                <w:b w:val="1"/>
                <w:bCs w:val="1"/>
                <w:color w:val="auto"/>
              </w:rPr>
              <w:t>PGE</w:t>
            </w:r>
          </w:p>
        </w:tc>
        <w:tc>
          <w:tcPr>
            <w:tcW w:w="84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3"/>
                <w:szCs w:val="13"/>
                <w:b w:val="1"/>
                <w:bCs w:val="1"/>
                <w:color w:val="auto"/>
                <w:w w:val="94"/>
              </w:rPr>
              <w:t>advances</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tcPr>
          <w:p>
            <w:pPr>
              <w:jc w:val="right"/>
              <w:ind w:right="188"/>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instruments)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bond loans</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2"/>
              </w:rPr>
              <w:t>BPI</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liabilities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certificates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(OCABSA)</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w:t>
            </w: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amortized cost</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other</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6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fair value remeasurement</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 cash changes:</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additional leases</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21,643</w:t>
            </w:r>
          </w:p>
        </w:tc>
        <w:tc>
          <w:tcPr>
            <w:tcW w:w="6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29,605</w:t>
            </w:r>
          </w:p>
        </w:tc>
        <w:tc>
          <w:tcPr>
            <w:tcW w:w="6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3,678</w:t>
            </w:r>
          </w:p>
        </w:tc>
        <w:tc>
          <w:tcPr>
            <w:tcW w:w="4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6,771</w:t>
            </w:r>
          </w:p>
        </w:tc>
        <w:tc>
          <w:tcPr>
            <w:tcW w:w="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540</w:t>
            </w:r>
          </w:p>
        </w:tc>
        <w:tc>
          <w:tcPr>
            <w:tcW w:w="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12,229</w:t>
            </w:r>
          </w:p>
        </w:tc>
        <w:tc>
          <w:tcPr>
            <w:tcW w:w="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74,466</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740" w:type="dxa"/>
            <w:vAlign w:val="bottom"/>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Proceeds</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47,444</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47,444</w:t>
            </w:r>
          </w:p>
        </w:tc>
        <w:tc>
          <w:tcPr>
            <w:tcW w:w="0" w:type="dxa"/>
            <w:vAlign w:val="bottom"/>
          </w:tcPr>
          <w:p>
            <w:pPr>
              <w:spacing w:after="0"/>
              <w:rPr>
                <w:sz w:val="1"/>
                <w:szCs w:val="1"/>
                <w:color w:val="auto"/>
              </w:rPr>
            </w:pPr>
          </w:p>
        </w:tc>
      </w:tr>
      <w:tr>
        <w:trPr>
          <w:trHeight w:val="211"/>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Repayments</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0" w:type="dxa"/>
            <w:vAlign w:val="bottom"/>
          </w:tcPr>
          <w:p>
            <w:pPr>
              <w:spacing w:after="0"/>
              <w:rPr>
                <w:sz w:val="1"/>
                <w:szCs w:val="1"/>
                <w:color w:val="auto"/>
              </w:rPr>
            </w:pPr>
          </w:p>
        </w:tc>
      </w:tr>
      <w:tr>
        <w:trPr>
          <w:trHeight w:val="221"/>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6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classification of embedded</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 (gain)/</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loss on recognition or</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interest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6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5"/>
                <w:szCs w:val="15"/>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15,834</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expense and other</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amortized cost</w:t>
            </w: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remeasurement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other</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6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fair value remeasurement</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 :</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subsidies</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 cash changes:</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6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additional leases</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Non cash changes : Effect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09"/>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of the change in foreign</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23,370</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46,401</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21,574</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2,488</w:t>
            </w:r>
          </w:p>
        </w:tc>
        <w:tc>
          <w:tcPr>
            <w:tcW w:w="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13,023</w:t>
            </w:r>
          </w:p>
        </w:tc>
        <w:tc>
          <w:tcPr>
            <w:tcW w:w="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109,218</w:t>
            </w:r>
          </w:p>
        </w:tc>
        <w:tc>
          <w:tcPr>
            <w:tcW w:w="0" w:type="dxa"/>
            <w:vAlign w:val="bottom"/>
          </w:tcPr>
          <w:p>
            <w:pPr>
              <w:spacing w:after="0"/>
              <w:rPr>
                <w:sz w:val="1"/>
                <w:szCs w:val="1"/>
                <w:color w:val="auto"/>
              </w:rPr>
            </w:pPr>
          </w:p>
        </w:tc>
      </w:tr>
      <w:tr>
        <w:trPr>
          <w:trHeight w:val="96"/>
        </w:trPr>
        <w:tc>
          <w:tcPr>
            <w:tcW w:w="1740" w:type="dxa"/>
            <w:vAlign w:val="bottom"/>
            <w:vMerge w:val="restart"/>
            <w:shd w:val="clear" w:color="auto" w:fill="CCEEFF"/>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4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Proceeds</w:t>
            </w: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40" w:type="dxa"/>
            <w:vAlign w:val="bottom"/>
            <w:tcBorders>
              <w:top w:val="single" w:sz="8" w:color="CCEEFF"/>
            </w:tcBorders>
            <w:vMerge w:val="continue"/>
          </w:tcPr>
          <w:p>
            <w:pPr>
              <w:spacing w:after="0"/>
              <w:rPr>
                <w:sz w:val="14"/>
                <w:szCs w:val="14"/>
                <w:color w:val="auto"/>
              </w:rPr>
            </w:pPr>
          </w:p>
        </w:tc>
        <w:tc>
          <w:tcPr>
            <w:tcW w:w="8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Repayments</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(53,920)</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(59,532)</w:t>
            </w:r>
          </w:p>
        </w:tc>
        <w:tc>
          <w:tcPr>
            <w:tcW w:w="0" w:type="dxa"/>
            <w:vAlign w:val="bottom"/>
          </w:tcPr>
          <w:p>
            <w:pPr>
              <w:spacing w:after="0"/>
              <w:rPr>
                <w:sz w:val="1"/>
                <w:szCs w:val="1"/>
                <w:color w:val="auto"/>
              </w:rPr>
            </w:pPr>
          </w:p>
        </w:tc>
      </w:tr>
      <w:tr>
        <w:trPr>
          <w:trHeight w:val="211"/>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 (gain)/</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loss on recognition or</w:t>
            </w: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derecognition</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interest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7,472</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17,200</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expense and other</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11,286</w:t>
            </w:r>
          </w:p>
        </w:tc>
        <w:tc>
          <w:tcPr>
            <w:tcW w:w="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11,278</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amortized cost</w:t>
            </w: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remeasurement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Non-cash changes: other</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36,002</w:t>
            </w:r>
          </w:p>
        </w:tc>
        <w:tc>
          <w:tcPr>
            <w:tcW w:w="6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36,002</w:t>
            </w:r>
          </w:p>
        </w:tc>
        <w:tc>
          <w:tcPr>
            <w:tcW w:w="0" w:type="dxa"/>
            <w:vAlign w:val="bottom"/>
          </w:tcPr>
          <w:p>
            <w:pPr>
              <w:spacing w:after="0"/>
              <w:rPr>
                <w:sz w:val="1"/>
                <w:szCs w:val="1"/>
                <w:color w:val="auto"/>
              </w:rPr>
            </w:pPr>
          </w:p>
        </w:tc>
      </w:tr>
      <w:tr>
        <w:trPr>
          <w:trHeight w:val="107"/>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fair value remeasurement</w:t>
            </w: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Non-cash changes:</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(24,354)</w:t>
            </w:r>
          </w:p>
        </w:tc>
        <w:tc>
          <w:tcPr>
            <w:tcW w:w="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(53,921)</w:t>
            </w:r>
          </w:p>
        </w:tc>
        <w:tc>
          <w:tcPr>
            <w:tcW w:w="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(78,275)</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conversion into shares</w:t>
            </w: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 cash changes:</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60" w:type="dxa"/>
            <w:vAlign w:val="bottom"/>
          </w:tcPr>
          <w:p>
            <w:pPr>
              <w:spacing w:after="0"/>
              <w:rPr>
                <w:sz w:val="16"/>
                <w:szCs w:val="16"/>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94"/>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additional leases</w:t>
            </w: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 cash changes : Effect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of the change in foreign</w:t>
            </w: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currency exchange rates</w:t>
            </w: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1,856</w:t>
            </w:r>
          </w:p>
        </w:tc>
        <w:tc>
          <w:tcPr>
            <w:tcW w:w="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30,237</w:t>
            </w:r>
          </w:p>
        </w:tc>
        <w:tc>
          <w:tcPr>
            <w:tcW w:w="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740" w:type="dxa"/>
            <w:vAlign w:val="bottom"/>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740" w:top="931" w:right="1099" w:bottom="7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245745</wp:posOffset>
            </wp:positionV>
            <wp:extent cx="7016115" cy="4876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7016115" cy="487680"/>
                    </a:xfrm>
                    <a:prstGeom prst="rect">
                      <a:avLst/>
                    </a:prstGeom>
                    <a:noFill/>
                  </pic:spPr>
                </pic:pic>
              </a:graphicData>
            </a:graphic>
          </wp:anchor>
        </w:drawing>
      </w:r>
    </w:p>
    <w:p>
      <w:pPr>
        <w:sectPr>
          <w:pgSz w:w="11900" w:h="16838" w:orient="portrait"/>
          <w:cols w:equalWidth="0" w:num="1">
            <w:col w:w="10060"/>
          </w:cols>
          <w:pgMar w:left="740" w:top="931" w:right="1099" w:bottom="729" w:gutter="0" w:footer="0" w:header="0"/>
          <w:type w:val="continuous"/>
        </w:sectPr>
      </w:pPr>
    </w:p>
    <w:bookmarkStart w:id="194" w:name="page195"/>
    <w:bookmarkEnd w:id="194"/>
    <w:p>
      <w:pPr>
        <w:ind w:right="60"/>
        <w:spacing w:after="0" w:line="245"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5744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7016115" cy="8574405"/>
                    </a:xfrm>
                    <a:prstGeom prst="rect">
                      <a:avLst/>
                    </a:prstGeom>
                    <a:noFill/>
                  </pic:spPr>
                </pic:pic>
              </a:graphicData>
            </a:graphic>
          </wp:anchor>
        </w:drawing>
        <w:t>For the year ended December 31, 2023, proceeds from the issuance of the Kreos / Claret OCABSA are presented net of transaction costs, amounting to €1,881 thousand. Net proceeds from convertible loan notes of €55,841 disclosed in the Consolidated Statements of Cash Flows also include transaction fees of (i) €750 thousands related to the Kreos / Claret B and C tranches and recorded in prepaid expenses (see Note 10) and (ii) €1,528 thousand related to the Heights convertible notes.</w:t>
      </w:r>
    </w:p>
    <w:p>
      <w:pPr>
        <w:spacing w:after="0" w:line="16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highlight w:val="white"/>
        </w:rPr>
        <w:t xml:space="preserve">For the year ended December 31, 2023, repayments of the OCEANE are presented net of the repurchase of the conversion option, valued </w:t>
      </w:r>
      <w:r>
        <w:rPr>
          <w:rFonts w:ascii="Times New Roman" w:cs="Times New Roman" w:eastAsia="Times New Roman" w:hAnsi="Times New Roman"/>
          <w:sz w:val="18"/>
          <w:szCs w:val="18"/>
          <w:color w:val="auto"/>
        </w:rPr>
        <w:t>at €1,762 thousand on the date of repayment, which is presented in Note 15.11. The aggregate repayment amounts to</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€25,000 thousand.</w:t>
      </w:r>
    </w:p>
    <w:p>
      <w:pPr>
        <w:spacing w:after="0" w:line="15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For the year ended December 31, 2024, proceeds from the issuance of the Kreos / Claret tranches B and C bond loans are presented net of transaction costs and deposits (corresponding to the prepayments of half of the last debt installments on issuance date) included in the debt discount using the EIR method, and amounting to €1,475 thousand and €1,081 thousand respectively. Net proceeds from non-convertible bond loans of €48,544 thousand disclosed in the Unaudited Condensed Consolidated Statements of Cash Flows do not include transaction fees of (i) €500 thousand related to the Kreos / Claret tranche A-B warrants classified as prepaid expenses as of December 31, 2023.</w:t>
      </w:r>
    </w:p>
    <w:p>
      <w:pPr>
        <w:spacing w:after="0" w:line="1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 ended December 31,2025, repayments of the Kreos / Claret tranches B and C bond loans include end-of loan exit fees and future interests discounted at a 4% rate, as per the terms of the prepayment option (see Note 15.1).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15.11. Change in derivative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derivative instruments, are presented below as of December 31, 2023, 2024 and 2025 :</w:t>
      </w:r>
    </w:p>
    <w:p>
      <w:pPr>
        <w:spacing w:after="0" w:line="273"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17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(amounts in thousands of</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680"/>
              <w:spacing w:after="0"/>
              <w:rPr>
                <w:sz w:val="20"/>
                <w:szCs w:val="20"/>
                <w:color w:val="auto"/>
              </w:rPr>
            </w:pPr>
            <w:r>
              <w:rPr>
                <w:rFonts w:ascii="Times New Roman" w:cs="Times New Roman" w:eastAsia="Times New Roman" w:hAnsi="Times New Roman"/>
                <w:sz w:val="14"/>
                <w:szCs w:val="14"/>
                <w:i w:val="1"/>
                <w:iCs w:val="1"/>
                <w:color w:val="auto"/>
              </w:rPr>
              <w:t>euros)</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OCEANE</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Kreos/Claret</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Kreos A BSA</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Kreos B BSA</w:t>
            </w:r>
          </w:p>
        </w:tc>
        <w:tc>
          <w:tcPr>
            <w:tcW w:w="1300" w:type="dxa"/>
            <w:vAlign w:val="bottom"/>
            <w:gridSpan w:val="2"/>
            <w:vMerge w:val="continue"/>
          </w:tcPr>
          <w:p>
            <w:pPr>
              <w:spacing w:after="0"/>
              <w:rPr>
                <w:sz w:val="8"/>
                <w:szCs w:val="8"/>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Kreos/Claret BSA</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Minimal Return</w:t>
            </w:r>
          </w:p>
        </w:tc>
        <w:tc>
          <w:tcPr>
            <w:tcW w:w="12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2"/>
        </w:trPr>
        <w:tc>
          <w:tcPr>
            <w:tcW w:w="17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 option</w:t>
            </w:r>
          </w:p>
        </w:tc>
        <w:tc>
          <w:tcPr>
            <w:tcW w:w="142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Indemnifications</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275</w:t>
            </w:r>
          </w:p>
        </w:tc>
        <w:tc>
          <w:tcPr>
            <w:tcW w:w="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w:t>
            </w:r>
          </w:p>
        </w:tc>
        <w:tc>
          <w:tcPr>
            <w:tcW w:w="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4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566</w:t>
            </w:r>
          </w:p>
        </w:tc>
        <w:tc>
          <w:tcPr>
            <w:tcW w:w="0" w:type="dxa"/>
            <w:vAlign w:val="bottom"/>
          </w:tcPr>
          <w:p>
            <w:pPr>
              <w:spacing w:after="0"/>
              <w:rPr>
                <w:sz w:val="1"/>
                <w:szCs w:val="1"/>
                <w:color w:val="auto"/>
              </w:rPr>
            </w:pPr>
          </w:p>
        </w:tc>
      </w:tr>
      <w:tr>
        <w:trPr>
          <w:trHeight w:val="109"/>
        </w:trPr>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26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720" w:type="dxa"/>
            <w:vAlign w:val="bottom"/>
            <w:tcBorders>
              <w:bottom w:val="single" w:sz="8" w:color="CCEEFF"/>
            </w:tcBorders>
            <w:vMerge w:val="continue"/>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 Issuance</w:t>
            </w: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20" w:type="dxa"/>
            <w:vAlign w:val="bottom"/>
            <w:vMerge w:val="continue"/>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Increase in fair value</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986</w:t>
            </w: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1,620</w:t>
            </w: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0" w:type="dxa"/>
            <w:vAlign w:val="bottom"/>
          </w:tcPr>
          <w:p>
            <w:pPr>
              <w:spacing w:after="0"/>
              <w:rPr>
                <w:sz w:val="1"/>
                <w:szCs w:val="1"/>
                <w:color w:val="auto"/>
              </w:rPr>
            </w:pPr>
          </w:p>
        </w:tc>
      </w:tr>
      <w:tr>
        <w:trPr>
          <w:trHeight w:val="211"/>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Decrease in fair value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Repurchases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0" w:type="dxa"/>
            <w:vAlign w:val="bottom"/>
          </w:tcPr>
          <w:p>
            <w:pPr>
              <w:spacing w:after="0"/>
              <w:rPr>
                <w:sz w:val="1"/>
                <w:szCs w:val="1"/>
                <w:color w:val="auto"/>
              </w:rPr>
            </w:pPr>
          </w:p>
        </w:tc>
      </w:tr>
      <w:tr>
        <w:trPr>
          <w:trHeight w:val="211"/>
        </w:trPr>
        <w:tc>
          <w:tcPr>
            <w:tcW w:w="1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Exercises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63"/>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2,579</w:t>
            </w:r>
          </w:p>
        </w:tc>
        <w:tc>
          <w:tcPr>
            <w:tcW w:w="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2,579</w:t>
            </w:r>
          </w:p>
        </w:tc>
        <w:tc>
          <w:tcPr>
            <w:tcW w:w="0" w:type="dxa"/>
            <w:vAlign w:val="bottom"/>
          </w:tcPr>
          <w:p>
            <w:pPr>
              <w:spacing w:after="0"/>
              <w:rPr>
                <w:sz w:val="1"/>
                <w:szCs w:val="1"/>
                <w:color w:val="auto"/>
              </w:rPr>
            </w:pPr>
          </w:p>
        </w:tc>
      </w:tr>
      <w:tr>
        <w:trPr>
          <w:trHeight w:val="109"/>
        </w:trPr>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2"/>
            <w:vMerge w:val="continue"/>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720" w:type="dxa"/>
            <w:vAlign w:val="bottom"/>
            <w:tcBorders>
              <w:bottom w:val="single" w:sz="8" w:color="CCEEFF"/>
            </w:tcBorders>
            <w:vMerge w:val="continue"/>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 Issuance</w:t>
            </w:r>
          </w:p>
        </w:tc>
        <w:tc>
          <w:tcPr>
            <w:tcW w:w="130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20" w:type="dxa"/>
            <w:vAlign w:val="bottom"/>
            <w:tcBorders>
              <w:top w:val="single" w:sz="8" w:color="CCEEFF"/>
            </w:tcBorders>
            <w:vMerge w:val="continue"/>
          </w:tcPr>
          <w:p>
            <w:pPr>
              <w:spacing w:after="0"/>
              <w:rPr>
                <w:sz w:val="14"/>
                <w:szCs w:val="14"/>
                <w:color w:val="auto"/>
              </w:rPr>
            </w:pP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Increase in fair value</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189"/>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Decrease in fair value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72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w:t>
            </w:r>
          </w:p>
        </w:tc>
        <w:tc>
          <w:tcPr>
            <w:tcW w:w="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3,620</w:t>
            </w:r>
          </w:p>
        </w:tc>
        <w:tc>
          <w:tcPr>
            <w:tcW w:w="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4,786</w:t>
            </w:r>
          </w:p>
        </w:tc>
        <w:tc>
          <w:tcPr>
            <w:tcW w:w="0" w:type="dxa"/>
            <w:vAlign w:val="bottom"/>
          </w:tcPr>
          <w:p>
            <w:pPr>
              <w:spacing w:after="0"/>
              <w:rPr>
                <w:sz w:val="1"/>
                <w:szCs w:val="1"/>
                <w:color w:val="auto"/>
              </w:rPr>
            </w:pPr>
          </w:p>
        </w:tc>
      </w:tr>
      <w:tr>
        <w:trPr>
          <w:trHeight w:val="109"/>
        </w:trPr>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2"/>
            <w:vMerge w:val="continue"/>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720" w:type="dxa"/>
            <w:vAlign w:val="bottom"/>
            <w:tcBorders>
              <w:bottom w:val="single" w:sz="8" w:color="CCEEFF"/>
            </w:tcBorders>
            <w:vMerge w:val="continue"/>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 Increase in fair value</w:t>
            </w:r>
          </w:p>
        </w:tc>
        <w:tc>
          <w:tcPr>
            <w:tcW w:w="130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20" w:type="dxa"/>
            <w:vAlign w:val="bottom"/>
            <w:tcBorders>
              <w:top w:val="single" w:sz="8" w:color="CCEEFF"/>
            </w:tcBorders>
            <w:vMerge w:val="continue"/>
          </w:tcPr>
          <w:p>
            <w:pPr>
              <w:spacing w:after="0"/>
              <w:rPr>
                <w:sz w:val="14"/>
                <w:szCs w:val="14"/>
                <w:color w:val="auto"/>
              </w:rPr>
            </w:pP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Decrease in fair value</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0" w:type="dxa"/>
            <w:vAlign w:val="bottom"/>
          </w:tcPr>
          <w:p>
            <w:pPr>
              <w:spacing w:after="0"/>
              <w:rPr>
                <w:sz w:val="1"/>
                <w:szCs w:val="1"/>
                <w:color w:val="auto"/>
              </w:rPr>
            </w:pPr>
          </w:p>
        </w:tc>
      </w:tr>
      <w:tr>
        <w:trPr>
          <w:trHeight w:val="211"/>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Repurchases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221"/>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Exercises</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0" w:type="dxa"/>
            <w:vAlign w:val="bottom"/>
          </w:tcPr>
          <w:p>
            <w:pPr>
              <w:spacing w:after="0"/>
              <w:rPr>
                <w:sz w:val="1"/>
                <w:szCs w:val="1"/>
                <w:color w:val="auto"/>
              </w:rPr>
            </w:pPr>
          </w:p>
        </w:tc>
      </w:tr>
      <w:tr>
        <w:trPr>
          <w:trHeight w:val="158"/>
        </w:trPr>
        <w:tc>
          <w:tcPr>
            <w:tcW w:w="172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20" w:type="dxa"/>
            <w:vAlign w:val="bottom"/>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related to these instruments' accounting treatments and terms and conditions are set forth in Notes 15.1 to 15.5.</w:t>
      </w:r>
    </w:p>
    <w:p>
      <w:pPr>
        <w:spacing w:after="0" w:line="16"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8"/>
          <w:szCs w:val="18"/>
          <w:color w:val="auto"/>
        </w:rPr>
        <w:t>The repurchases of the Kreos A&amp;B BSA (2023) and Kreos BSA (2025) were carried as part of the implementation of the cashless exercises of these share warrants and were therefore not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8592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7016115"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15.12. Breakdown of financial liabilities by maturity</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are the remaining contractual maturities of financial liabilities as of December 31, 2023, 2024 and 2025. The amounts are gross and undiscounted, and include contractual interest payments.</w:t>
      </w:r>
    </w:p>
    <w:p>
      <w:pPr>
        <w:sectPr>
          <w:pgSz w:w="11900" w:h="16838" w:orient="portrait"/>
          <w:cols w:equalWidth="0" w:num="1">
            <w:col w:w="9780"/>
          </w:cols>
          <w:pgMar w:left="1080" w:top="607" w:right="1039" w:bottom="0" w:gutter="0" w:footer="0" w:header="0"/>
        </w:sectPr>
      </w:pPr>
    </w:p>
    <w:p>
      <w:pPr>
        <w:spacing w:after="0" w:line="395" w:lineRule="exact"/>
        <w:rPr>
          <w:sz w:val="20"/>
          <w:szCs w:val="20"/>
          <w:color w:val="auto"/>
        </w:rPr>
      </w:pPr>
    </w:p>
    <w:p>
      <w:pPr>
        <w:ind w:left="60"/>
        <w:spacing w:after="0"/>
        <w:tabs>
          <w:tab w:leader="none" w:pos="8880" w:val="left"/>
        </w:tabs>
        <w:rPr>
          <w:sz w:val="20"/>
          <w:szCs w:val="20"/>
          <w:color w:val="auto"/>
        </w:rPr>
      </w:pPr>
      <w:r>
        <w:rPr>
          <w:rFonts w:ascii="Times New Roman" w:cs="Times New Roman" w:eastAsia="Times New Roman" w:hAnsi="Times New Roman"/>
          <w:sz w:val="14"/>
          <w:szCs w:val="14"/>
          <w:b w:val="1"/>
          <w:bCs w:val="1"/>
          <w:color w:val="auto"/>
        </w:rPr>
        <w:t>CURRENT AND NON-CURRENT</w:t>
      </w:r>
      <w:r>
        <w:rPr>
          <w:sz w:val="20"/>
          <w:szCs w:val="20"/>
          <w:color w:val="auto"/>
        </w:rPr>
        <w:tab/>
      </w:r>
      <w:r>
        <w:rPr>
          <w:rFonts w:ascii="Times New Roman" w:cs="Times New Roman" w:eastAsia="Times New Roman" w:hAnsi="Times New Roman"/>
          <w:sz w:val="21"/>
          <w:szCs w:val="21"/>
          <w:b w:val="1"/>
          <w:bCs w:val="1"/>
          <w:color w:val="auto"/>
          <w:vertAlign w:val="subscript"/>
        </w:rPr>
        <w:t>LONGER</w:t>
      </w:r>
    </w:p>
    <w:p>
      <w:pPr>
        <w:sectPr>
          <w:pgSz w:w="11900" w:h="16838" w:orient="portrait"/>
          <w:cols w:equalWidth="0" w:num="1">
            <w:col w:w="9780"/>
          </w:cols>
          <w:pgMar w:left="1080" w:top="607" w:right="1039" w:bottom="0" w:gutter="0" w:footer="0" w:header="0"/>
          <w:type w:val="continuous"/>
        </w:sectPr>
      </w:pPr>
    </w:p>
    <w:bookmarkStart w:id="195" w:name="page196"/>
    <w:bookmarkEnd w:id="195"/>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(amounts in thousands of euros)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Heights convertible notes</w:t>
      </w:r>
    </w:p>
    <w:p>
      <w:pPr>
        <w:spacing w:after="0" w:line="42" w:lineRule="exact"/>
        <w:rPr>
          <w:sz w:val="20"/>
          <w:szCs w:val="20"/>
          <w:color w:val="auto"/>
        </w:rPr>
      </w:pPr>
    </w:p>
    <w:p>
      <w:pPr>
        <w:ind w:left="60"/>
        <w:spacing w:after="0" w:line="302" w:lineRule="auto"/>
        <w:rPr>
          <w:sz w:val="20"/>
          <w:szCs w:val="20"/>
          <w:color w:val="auto"/>
        </w:rPr>
      </w:pPr>
      <w:r>
        <w:rPr>
          <w:rFonts w:ascii="Times New Roman" w:cs="Times New Roman" w:eastAsia="Times New Roman" w:hAnsi="Times New Roman"/>
          <w:sz w:val="14"/>
          <w:szCs w:val="14"/>
          <w:color w:val="auto"/>
        </w:rPr>
        <w:t>Kreos/Claret convertible notes (OCABSA) PGE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FROM 1 TO 2</w:t>
            </w: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FROM 2 TO 5</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THAN 5</w:t>
            </w:r>
          </w:p>
        </w:tc>
        <w:tc>
          <w:tcPr>
            <w:tcW w:w="0" w:type="dxa"/>
            <w:vAlign w:val="bottom"/>
          </w:tcPr>
          <w:p>
            <w:pPr>
              <w:spacing w:after="0"/>
              <w:rPr>
                <w:sz w:val="1"/>
                <w:szCs w:val="1"/>
                <w:color w:val="auto"/>
              </w:rPr>
            </w:pPr>
          </w:p>
        </w:tc>
      </w:tr>
      <w:tr>
        <w:trPr>
          <w:trHeight w:val="122"/>
        </w:trPr>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320" w:type="dxa"/>
            <w:vAlign w:val="bottom"/>
            <w:gridSpan w:val="2"/>
          </w:tcPr>
          <w:p>
            <w:pPr>
              <w:jc w:val="right"/>
              <w:ind w:right="269"/>
              <w:spacing w:after="0" w:line="122"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80" w:type="dxa"/>
            <w:vAlign w:val="bottom"/>
          </w:tcPr>
          <w:p>
            <w:pPr>
              <w:jc w:val="right"/>
              <w:ind w:right="329"/>
              <w:spacing w:after="0" w:line="113" w:lineRule="exact"/>
              <w:rPr>
                <w:sz w:val="20"/>
                <w:szCs w:val="20"/>
                <w:color w:val="auto"/>
              </w:rPr>
            </w:pPr>
            <w:r>
              <w:rPr>
                <w:rFonts w:ascii="Times New Roman" w:cs="Times New Roman" w:eastAsia="Times New Roman" w:hAnsi="Times New Roman"/>
                <w:sz w:val="13"/>
                <w:szCs w:val="13"/>
                <w:b w:val="1"/>
                <w:bCs w:val="1"/>
                <w:color w:val="auto"/>
              </w:rPr>
              <w:t>YEAR</w:t>
            </w:r>
          </w:p>
        </w:tc>
        <w:tc>
          <w:tcPr>
            <w:tcW w:w="1140" w:type="dxa"/>
            <w:vAlign w:val="bottom"/>
          </w:tcPr>
          <w:p>
            <w:pPr>
              <w:jc w:val="right"/>
              <w:ind w:right="269"/>
              <w:spacing w:after="0" w:line="113" w:lineRule="exact"/>
              <w:rPr>
                <w:sz w:val="20"/>
                <w:szCs w:val="20"/>
                <w:color w:val="auto"/>
              </w:rPr>
            </w:pPr>
            <w:r>
              <w:rPr>
                <w:rFonts w:ascii="Times New Roman" w:cs="Times New Roman" w:eastAsia="Times New Roman" w:hAnsi="Times New Roman"/>
                <w:sz w:val="13"/>
                <w:szCs w:val="13"/>
                <w:b w:val="1"/>
                <w:bCs w:val="1"/>
                <w:color w:val="auto"/>
              </w:rPr>
              <w:t>YEARS</w:t>
            </w:r>
          </w:p>
        </w:tc>
        <w:tc>
          <w:tcPr>
            <w:tcW w:w="12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29,605</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36,750</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10,522</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9,997</w:t>
            </w: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16,231</w:t>
            </w:r>
          </w:p>
        </w:tc>
        <w:tc>
          <w:tcPr>
            <w:tcW w:w="98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21,643</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30,903</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2,250</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2,250</w:t>
            </w: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26,403</w:t>
            </w:r>
          </w:p>
        </w:tc>
        <w:tc>
          <w:tcPr>
            <w:tcW w:w="98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7"/>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3,880</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1,293</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1,293</w:t>
            </w: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1,293</w:t>
            </w:r>
          </w:p>
        </w:tc>
        <w:tc>
          <w:tcPr>
            <w:tcW w:w="98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-615315</wp:posOffset>
            </wp:positionV>
            <wp:extent cx="7016115" cy="72028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7016115" cy="72028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40" w:space="400"/>
            <w:col w:w="6840"/>
          </w:cols>
          <w:pgMar w:left="1080" w:top="102" w:right="1039" w:bottom="1440" w:gutter="0" w:footer="0" w:header="0"/>
        </w:sectPr>
      </w:pPr>
    </w:p>
    <w:tbl>
      <w:tblPr>
        <w:tblLayout w:type="fixed"/>
        <w:tblInd w:w="0" w:type="dxa"/>
        <w:tblCellMar>
          <w:top w:w="0" w:type="dxa"/>
          <w:left w:w="0" w:type="dxa"/>
          <w:bottom w:w="0" w:type="dxa"/>
          <w:right w:w="0" w:type="dxa"/>
        </w:tblCellMar>
      </w:tblPr>
      <w:tr>
        <w:trPr>
          <w:trHeight w:val="178"/>
        </w:trPr>
        <w:tc>
          <w:tcPr>
            <w:tcW w:w="270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Conditional advances Bpifrance</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40" w:type="dxa"/>
            <w:vAlign w:val="bottom"/>
            <w:tcBorders>
              <w:top w:val="single" w:sz="8" w:color="auto"/>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3,697</w:t>
            </w:r>
          </w:p>
        </w:tc>
        <w:tc>
          <w:tcPr>
            <w:tcW w:w="114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1,490</w:t>
            </w:r>
          </w:p>
        </w:tc>
        <w:tc>
          <w:tcPr>
            <w:tcW w:w="1140" w:type="dxa"/>
            <w:vAlign w:val="bottom"/>
            <w:tcBorders>
              <w:top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3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14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Derivative instruments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77,045</w:t>
            </w:r>
          </w:p>
        </w:tc>
        <w:tc>
          <w:tcPr>
            <w:tcW w:w="13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20,747</w:t>
            </w:r>
          </w:p>
        </w:tc>
        <w:tc>
          <w:tcPr>
            <w:tcW w:w="114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15,192</w:t>
            </w:r>
          </w:p>
        </w:tc>
        <w:tc>
          <w:tcPr>
            <w:tcW w:w="1140" w:type="dxa"/>
            <w:vAlign w:val="bottom"/>
            <w:tcBorders>
              <w:right w:val="single" w:sz="8" w:color="CCEC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45,561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40" w:type="dxa"/>
            <w:vAlign w:val="bottom"/>
            <w:tcBorders>
              <w:bottom w:val="single" w:sz="8" w:color="auto"/>
              <w:right w:val="single" w:sz="8" w:color="CCECFF"/>
            </w:tcBorders>
            <w:shd w:val="clear" w:color="auto" w:fill="CCEEFF"/>
          </w:tcPr>
          <w:p>
            <w:pPr>
              <w:spacing w:after="0"/>
              <w:rPr>
                <w:sz w:val="18"/>
                <w:szCs w:val="18"/>
                <w:color w:val="auto"/>
              </w:rPr>
            </w:pPr>
          </w:p>
        </w:tc>
        <w:tc>
          <w:tcPr>
            <w:tcW w:w="1140" w:type="dxa"/>
            <w:vAlign w:val="bottom"/>
            <w:tcBorders>
              <w:bottom w:val="single" w:sz="8" w:color="auto"/>
              <w:right w:val="single" w:sz="8" w:color="CCEC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7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(amounts in thousands of euros)</w:t>
            </w:r>
          </w:p>
        </w:tc>
        <w:tc>
          <w:tcPr>
            <w:tcW w:w="9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14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31, 2024</w:t>
            </w:r>
          </w:p>
        </w:tc>
        <w:tc>
          <w:tcPr>
            <w:tcW w:w="1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700" w:type="dxa"/>
            <w:vAlign w:val="bottom"/>
            <w:gridSpan w:val="3"/>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
        </w:trPr>
        <w:tc>
          <w:tcPr>
            <w:tcW w:w="270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CURRENT AND NON-CURRENT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LONGER</w:t>
            </w:r>
          </w:p>
        </w:tc>
        <w:tc>
          <w:tcPr>
            <w:tcW w:w="0" w:type="dxa"/>
            <w:vAlign w:val="bottom"/>
          </w:tcPr>
          <w:p>
            <w:pPr>
              <w:spacing w:after="0"/>
              <w:rPr>
                <w:sz w:val="1"/>
                <w:szCs w:val="1"/>
                <w:color w:val="auto"/>
              </w:rPr>
            </w:pPr>
          </w:p>
        </w:tc>
      </w:tr>
      <w:tr>
        <w:trPr>
          <w:trHeight w:val="205"/>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FROM 1 TO 2</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FROM 2 TO 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THAN 5</w:t>
            </w:r>
          </w:p>
        </w:tc>
        <w:tc>
          <w:tcPr>
            <w:tcW w:w="0" w:type="dxa"/>
            <w:vAlign w:val="bottom"/>
          </w:tcPr>
          <w:p>
            <w:pPr>
              <w:spacing w:after="0"/>
              <w:rPr>
                <w:sz w:val="1"/>
                <w:szCs w:val="1"/>
                <w:color w:val="auto"/>
              </w:rPr>
            </w:pPr>
          </w:p>
        </w:tc>
      </w:tr>
      <w:tr>
        <w:trPr>
          <w:trHeight w:val="187"/>
        </w:trPr>
        <w:tc>
          <w:tcPr>
            <w:tcW w:w="2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60" w:type="dxa"/>
            <w:vAlign w:val="bottom"/>
            <w:tcBorders>
              <w:bottom w:val="single" w:sz="8" w:color="auto"/>
            </w:tcBorders>
            <w:gridSpan w:val="2"/>
          </w:tcPr>
          <w:p>
            <w:pPr>
              <w:spacing w:after="0"/>
              <w:rPr>
                <w:sz w:val="16"/>
                <w:szCs w:val="16"/>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Heights convertible notes</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21,574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24,063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8,750</w:t>
            </w: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8,750</w:t>
            </w: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Kreos/Claret convertible notes</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23,370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30,653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2,250</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19,943</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8,460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4"/>
        </w:trPr>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(OCABSA)</w:t>
            </w:r>
          </w:p>
        </w:tc>
        <w:tc>
          <w:tcPr>
            <w:tcW w:w="10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70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Kreos/Claret bond loans</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46,401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58,080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24,016</w:t>
            </w: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25,715</w:t>
            </w: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8,348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PGE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2,586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1,293</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1,293</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Royalty certificates (1)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13,023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9"/>
                <w:szCs w:val="19"/>
                <w:color w:val="auto"/>
              </w:rPr>
            </w:pPr>
          </w:p>
        </w:tc>
        <w:tc>
          <w:tcPr>
            <w:tcW w:w="1200" w:type="dxa"/>
            <w:vAlign w:val="bottom"/>
            <w:tcBorders>
              <w:right w:val="single" w:sz="8" w:color="CCEC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993</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996</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4,786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tcBorders>
              <w:bottom w:val="single" w:sz="8" w:color="auto"/>
              <w:right w:val="single" w:sz="8" w:color="CCEC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C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1,166</w:t>
            </w:r>
          </w:p>
        </w:tc>
        <w:tc>
          <w:tcPr>
            <w:tcW w:w="1140" w:type="dxa"/>
            <w:vAlign w:val="bottom"/>
            <w:tcBorders>
              <w:bottom w:val="single" w:sz="8" w:color="auto"/>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114,004</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122,680</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38,468</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56,698</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27,507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27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(amounts in thousands of euros)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00" w:type="dxa"/>
            <w:vAlign w:val="bottom"/>
            <w:gridSpan w:val="3"/>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CURRENT AND NON-CURRENT</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LONGER</w:t>
            </w:r>
          </w:p>
        </w:tc>
        <w:tc>
          <w:tcPr>
            <w:tcW w:w="0" w:type="dxa"/>
            <w:vAlign w:val="bottom"/>
          </w:tcPr>
          <w:p>
            <w:pPr>
              <w:spacing w:after="0"/>
              <w:rPr>
                <w:sz w:val="1"/>
                <w:szCs w:val="1"/>
                <w:color w:val="auto"/>
              </w:rPr>
            </w:pPr>
          </w:p>
        </w:tc>
      </w:tr>
      <w:tr>
        <w:trPr>
          <w:trHeight w:val="40"/>
        </w:trPr>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11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FROM 1 TO 2</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FROM 2 TO 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THAN 5</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1"/>
        </w:trPr>
        <w:tc>
          <w:tcPr>
            <w:tcW w:w="2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right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right w:val="single" w:sz="8" w:color="CCECFF"/>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8"/>
                <w:szCs w:val="18"/>
                <w:color w:val="auto"/>
              </w:rPr>
            </w:pPr>
          </w:p>
        </w:tc>
        <w:tc>
          <w:tcPr>
            <w:tcW w:w="1200" w:type="dxa"/>
            <w:vAlign w:val="bottom"/>
            <w:tcBorders>
              <w:right w:val="single" w:sz="8" w:color="CCECFF"/>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CEC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CECFF"/>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right w:val="single" w:sz="8" w:color="CCEEFF"/>
            </w:tcBorders>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1,906</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right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1,340</w:t>
            </w:r>
          </w:p>
        </w:tc>
        <w:tc>
          <w:tcPr>
            <w:tcW w:w="1140" w:type="dxa"/>
            <w:vAlign w:val="bottom"/>
            <w:tcBorders>
              <w:bottom w:val="single" w:sz="8" w:color="CCEEFF"/>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1140" w:type="dxa"/>
            <w:vAlign w:val="bottom"/>
            <w:tcBorders>
              <w:bottom w:val="single" w:sz="8" w:color="CCEEFF"/>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40" w:type="dxa"/>
            <w:vAlign w:val="bottom"/>
            <w:tcBorders>
              <w:top w:val="single" w:sz="8" w:color="auto"/>
              <w:bottom w:val="single" w:sz="8" w:color="auto"/>
            </w:tcBorders>
            <w:gridSpan w:val="2"/>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32,093</w:t>
            </w:r>
          </w:p>
        </w:tc>
        <w:tc>
          <w:tcPr>
            <w:tcW w:w="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1,906</w:t>
            </w: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1,340</w:t>
            </w:r>
          </w:p>
        </w:tc>
        <w:tc>
          <w:tcPr>
            <w:tcW w:w="11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450</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contractual cash flows above do not include potential future royalty payments related to the royalty certificates, amounting to 2% of the future net sales of obefazimod (worldwide and for all indications). The amount of royalties that may be paid under the royalty certificates is capped at €172.0 million in the aggregate. Royalty payments are expected to take place before the expiry date of the certificates, which is 15 years after their issuance date (September 2, 2037), and would be included in the "from 2 to 5 years" and "longer than 5 years" maturity categories according to management's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2308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7016115" cy="3230880"/>
                    </a:xfrm>
                    <a:prstGeom prst="rect">
                      <a:avLst/>
                    </a:prstGeom>
                    <a:noFill/>
                  </pic:spPr>
                </pic:pic>
              </a:graphicData>
            </a:graphic>
          </wp:anchor>
        </w:drawing>
      </w:r>
    </w:p>
    <w:p>
      <w:pPr>
        <w:sectPr>
          <w:pgSz w:w="11900" w:h="16838" w:orient="portrait"/>
          <w:cols w:equalWidth="0" w:num="1">
            <w:col w:w="9780"/>
          </w:cols>
          <w:pgMar w:left="1080" w:top="102" w:right="1039" w:bottom="1440" w:gutter="0" w:footer="0" w:header="0"/>
          <w:type w:val="continuous"/>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8312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7016115" cy="583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46024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7016115" cy="4602480"/>
                    </a:xfrm>
                    <a:prstGeom prst="rect">
                      <a:avLst/>
                    </a:prstGeom>
                    <a:noFill/>
                  </pic:spPr>
                </pic:pic>
              </a:graphicData>
            </a:graphic>
          </wp:anchor>
        </w:drawing>
      </w:r>
    </w:p>
    <w:p>
      <w:pPr>
        <w:sectPr>
          <w:pgSz w:w="11900" w:h="16838" w:orient="portrait"/>
          <w:cols w:equalWidth="0" w:num="1">
            <w:col w:w="9379"/>
          </w:cols>
          <w:pgMar w:left="10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benefit obligations</w:t>
      </w:r>
    </w:p>
    <w:p>
      <w:pPr>
        <w:spacing w:after="0" w:line="148" w:lineRule="exact"/>
        <w:rPr>
          <w:sz w:val="20"/>
          <w:szCs w:val="20"/>
          <w:color w:val="auto"/>
        </w:rPr>
      </w:pPr>
    </w:p>
    <w:p>
      <w:pPr>
        <w:ind w:left="120" w:right="279"/>
        <w:spacing w:after="0" w:line="261" w:lineRule="auto"/>
        <w:rPr>
          <w:sz w:val="20"/>
          <w:szCs w:val="20"/>
          <w:color w:val="auto"/>
        </w:rPr>
      </w:pPr>
      <w:r>
        <w:rPr>
          <w:rFonts w:ascii="Times New Roman" w:cs="Times New Roman" w:eastAsia="Times New Roman" w:hAnsi="Times New Roman"/>
          <w:sz w:val="18"/>
          <w:szCs w:val="18"/>
          <w:color w:val="231F20"/>
        </w:rPr>
        <w:t>Retirement benefit obligations include the liability for the defined benefit plan, measured based on the provisions stipulated under the applicable collective agreements, i.e. the French pharmaceutical industry’s collective agreement. This commitment only applies to employees subject to French law. The main actuarial assumptions used to measure the retirement benefit obligations are as follows:</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2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ACTUARIAL ASSUMPTIONS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78"/>
        </w:trPr>
        <w:tc>
          <w:tcPr>
            <w:tcW w:w="2860" w:type="dxa"/>
            <w:vAlign w:val="bottom"/>
            <w:tcBorders>
              <w:bottom w:val="single" w:sz="8" w:color="CCEEFF"/>
            </w:tcBorders>
            <w:vMerge w:val="continue"/>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Retirement age</w:t>
            </w:r>
          </w:p>
        </w:tc>
        <w:tc>
          <w:tcPr>
            <w:tcW w:w="1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65 years for key management /</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65 years for key management /</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 years for key management /</w:t>
            </w:r>
          </w:p>
        </w:tc>
        <w:tc>
          <w:tcPr>
            <w:tcW w:w="0" w:type="dxa"/>
            <w:vAlign w:val="bottom"/>
          </w:tcPr>
          <w:p>
            <w:pPr>
              <w:spacing w:after="0"/>
              <w:rPr>
                <w:sz w:val="1"/>
                <w:szCs w:val="1"/>
                <w:color w:val="auto"/>
              </w:rPr>
            </w:pPr>
          </w:p>
        </w:tc>
      </w:tr>
      <w:tr>
        <w:trPr>
          <w:trHeight w:val="107"/>
        </w:trPr>
        <w:tc>
          <w:tcPr>
            <w:tcW w:w="2860" w:type="dxa"/>
            <w:vAlign w:val="bottom"/>
            <w:vMerge w:val="continue"/>
            <w:shd w:val="clear" w:color="auto" w:fill="CCEEFF"/>
          </w:tcPr>
          <w:p>
            <w:pPr>
              <w:spacing w:after="0"/>
              <w:rPr>
                <w:sz w:val="9"/>
                <w:szCs w:val="9"/>
                <w:color w:val="auto"/>
              </w:rPr>
            </w:pPr>
          </w:p>
        </w:tc>
        <w:tc>
          <w:tcPr>
            <w:tcW w:w="19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63 years for other employees</w:t>
            </w:r>
          </w:p>
        </w:tc>
        <w:tc>
          <w:tcPr>
            <w:tcW w:w="19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64 years for other employees</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 years for other employees</w:t>
            </w:r>
          </w:p>
        </w:tc>
        <w:tc>
          <w:tcPr>
            <w:tcW w:w="0" w:type="dxa"/>
            <w:vAlign w:val="bottom"/>
          </w:tcPr>
          <w:p>
            <w:pPr>
              <w:spacing w:after="0"/>
              <w:rPr>
                <w:sz w:val="1"/>
                <w:szCs w:val="1"/>
                <w:color w:val="auto"/>
              </w:rPr>
            </w:pPr>
          </w:p>
        </w:tc>
      </w:tr>
      <w:tr>
        <w:trPr>
          <w:trHeight w:val="81"/>
        </w:trPr>
        <w:tc>
          <w:tcPr>
            <w:tcW w:w="2860" w:type="dxa"/>
            <w:vAlign w:val="bottom"/>
            <w:shd w:val="clear" w:color="auto" w:fill="CCEEFF"/>
          </w:tcPr>
          <w:p>
            <w:pPr>
              <w:spacing w:after="0"/>
              <w:rPr>
                <w:sz w:val="7"/>
                <w:szCs w:val="7"/>
                <w:color w:val="auto"/>
              </w:rPr>
            </w:pPr>
          </w:p>
        </w:tc>
        <w:tc>
          <w:tcPr>
            <w:tcW w:w="1960" w:type="dxa"/>
            <w:vAlign w:val="bottom"/>
            <w:gridSpan w:val="2"/>
            <w:vMerge w:val="continue"/>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86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Collective agreement</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Pharmaceutical industry</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Pharmaceutical industry</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Pharmaceutical industry</w:t>
            </w: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Discount Rate (IBoxx Corporates AA)</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0.90%</w:t>
            </w:r>
          </w:p>
        </w:tc>
        <w:tc>
          <w:tcPr>
            <w:tcW w:w="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3.34%</w:t>
            </w:r>
          </w:p>
        </w:tc>
        <w:tc>
          <w:tcPr>
            <w:tcW w:w="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3.70%</w:t>
            </w:r>
          </w:p>
        </w:tc>
        <w:tc>
          <w:tcPr>
            <w:tcW w:w="0" w:type="dxa"/>
            <w:vAlign w:val="bottom"/>
          </w:tcPr>
          <w:p>
            <w:pPr>
              <w:spacing w:after="0"/>
              <w:rPr>
                <w:sz w:val="1"/>
                <w:szCs w:val="1"/>
                <w:color w:val="auto"/>
              </w:rPr>
            </w:pPr>
          </w:p>
        </w:tc>
      </w:tr>
      <w:tr>
        <w:trPr>
          <w:trHeight w:val="206"/>
        </w:trPr>
        <w:tc>
          <w:tcPr>
            <w:tcW w:w="2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Mortality rate table</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INSEE 2016-2018</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INSEE 2016-2018</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INSEE 2016-2018</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381"/>
        </w:trPr>
        <w:tc>
          <w:tcPr>
            <w:tcW w:w="28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Salary increase rate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3% for key management /</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3% for key management /</w:t>
            </w:r>
          </w:p>
        </w:tc>
        <w:tc>
          <w:tcPr>
            <w:tcW w:w="1900" w:type="dxa"/>
            <w:vAlign w:val="bottom"/>
            <w:vMerge w:val="restart"/>
            <w:shd w:val="clear" w:color="auto" w:fill="CCECFF"/>
          </w:tcPr>
          <w:p>
            <w:pPr>
              <w:jc w:val="right"/>
              <w:ind w:right="64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16"/>
        </w:trPr>
        <w:tc>
          <w:tcPr>
            <w:tcW w:w="2860" w:type="dxa"/>
            <w:vAlign w:val="bottom"/>
            <w:vMerge w:val="continue"/>
            <w:shd w:val="clear" w:color="auto" w:fill="CCEEFF"/>
          </w:tcPr>
          <w:p>
            <w:pPr>
              <w:spacing w:after="0"/>
              <w:rPr>
                <w:sz w:val="10"/>
                <w:szCs w:val="10"/>
                <w:color w:val="auto"/>
              </w:rPr>
            </w:pPr>
          </w:p>
        </w:tc>
        <w:tc>
          <w:tcPr>
            <w:tcW w:w="1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2.55% for other employees</w:t>
            </w:r>
          </w:p>
        </w:tc>
        <w:tc>
          <w:tcPr>
            <w:tcW w:w="1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2.55% for other employees</w:t>
            </w:r>
          </w:p>
        </w:tc>
        <w:tc>
          <w:tcPr>
            <w:tcW w:w="190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860" w:type="dxa"/>
            <w:vAlign w:val="bottom"/>
            <w:shd w:val="clear" w:color="auto" w:fill="CCEEFF"/>
          </w:tcPr>
          <w:p>
            <w:pPr>
              <w:spacing w:after="0"/>
              <w:rPr>
                <w:sz w:val="8"/>
                <w:szCs w:val="8"/>
                <w:color w:val="auto"/>
              </w:rPr>
            </w:pPr>
          </w:p>
        </w:tc>
        <w:tc>
          <w:tcPr>
            <w:tcW w:w="1940" w:type="dxa"/>
            <w:vAlign w:val="bottom"/>
            <w:vMerge w:val="continue"/>
            <w:shd w:val="clear" w:color="auto" w:fill="CCECFF"/>
          </w:tcPr>
          <w:p>
            <w:pPr>
              <w:spacing w:after="0"/>
              <w:rPr>
                <w:sz w:val="8"/>
                <w:szCs w:val="8"/>
                <w:color w:val="auto"/>
              </w:rPr>
            </w:pPr>
          </w:p>
        </w:tc>
        <w:tc>
          <w:tcPr>
            <w:tcW w:w="1940" w:type="dxa"/>
            <w:vAlign w:val="bottom"/>
            <w:vMerge w:val="continue"/>
            <w:shd w:val="clear" w:color="auto" w:fill="CCECFF"/>
          </w:tcPr>
          <w:p>
            <w:pPr>
              <w:spacing w:after="0"/>
              <w:rPr>
                <w:sz w:val="8"/>
                <w:szCs w:val="8"/>
                <w:color w:val="auto"/>
              </w:rPr>
            </w:pPr>
          </w:p>
        </w:tc>
        <w:tc>
          <w:tcPr>
            <w:tcW w:w="19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860" w:type="dxa"/>
            <w:vAlign w:val="bottom"/>
            <w:shd w:val="clear" w:color="auto" w:fill="CCEEFF"/>
          </w:tcPr>
          <w:p>
            <w:pPr>
              <w:spacing w:after="0"/>
              <w:rPr>
                <w:sz w:val="13"/>
                <w:szCs w:val="13"/>
                <w:color w:val="auto"/>
              </w:rPr>
            </w:pPr>
          </w:p>
        </w:tc>
        <w:tc>
          <w:tcPr>
            <w:tcW w:w="1940" w:type="dxa"/>
            <w:vAlign w:val="bottom"/>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c>
          <w:tcPr>
            <w:tcW w:w="19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86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Decreasing from 5.80% at</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Decreasing rates by age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Decreasing rates by age</w:t>
            </w:r>
          </w:p>
        </w:tc>
        <w:tc>
          <w:tcPr>
            <w:tcW w:w="0" w:type="dxa"/>
            <w:vAlign w:val="bottom"/>
          </w:tcPr>
          <w:p>
            <w:pPr>
              <w:spacing w:after="0"/>
              <w:rPr>
                <w:sz w:val="1"/>
                <w:szCs w:val="1"/>
                <w:color w:val="auto"/>
              </w:rPr>
            </w:pPr>
          </w:p>
        </w:tc>
      </w:tr>
      <w:tr>
        <w:trPr>
          <w:trHeight w:val="94"/>
        </w:trPr>
        <w:tc>
          <w:tcPr>
            <w:tcW w:w="28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and zero from age 55,</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and zero from age 55,</w:t>
            </w:r>
          </w:p>
        </w:tc>
        <w:tc>
          <w:tcPr>
            <w:tcW w:w="0" w:type="dxa"/>
            <w:vAlign w:val="bottom"/>
          </w:tcPr>
          <w:p>
            <w:pPr>
              <w:spacing w:after="0"/>
              <w:rPr>
                <w:sz w:val="1"/>
                <w:szCs w:val="1"/>
                <w:color w:val="auto"/>
              </w:rPr>
            </w:pPr>
          </w:p>
        </w:tc>
      </w:tr>
      <w:tr>
        <w:trPr>
          <w:trHeight w:val="108"/>
        </w:trPr>
        <w:tc>
          <w:tcPr>
            <w:tcW w:w="2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Turnover rate</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 years-old to 0.05% from</w:t>
            </w:r>
          </w:p>
        </w:tc>
        <w:tc>
          <w:tcPr>
            <w:tcW w:w="19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generating an average exit</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generating an average exit</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55 years-old</w:t>
            </w:r>
          </w:p>
        </w:tc>
        <w:tc>
          <w:tcPr>
            <w:tcW w:w="19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rate for 2025 of 2.05%</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rate for 2025 of 2.02%.</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8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 contribution rate</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79"/>
          </w:cols>
          <w:pgMar w:left="1080" w:top="1440" w:right="1440" w:bottom="0" w:gutter="0" w:footer="0" w:header="0"/>
          <w:type w:val="continuous"/>
        </w:sectPr>
      </w:pP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31F20"/>
        </w:rPr>
        <w:t>Changes in the projected benefit obligation for the periods presented were as follows:</w:t>
      </w:r>
    </w:p>
    <w:p>
      <w:pPr>
        <w:sectPr>
          <w:pgSz w:w="11900" w:h="16838" w:orient="portrait"/>
          <w:cols w:equalWidth="0" w:num="1">
            <w:col w:w="9379"/>
          </w:cols>
          <w:pgMar w:left="1080" w:top="1440" w:right="1440" w:bottom="0" w:gutter="0" w:footer="0" w:header="0"/>
          <w:type w:val="continuous"/>
        </w:sectPr>
      </w:pPr>
    </w:p>
    <w:bookmarkStart w:id="197" w:name="page198"/>
    <w:bookmarkEnd w:id="197"/>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4596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7016115" cy="44596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780" w:type="dxa"/>
            <w:vAlign w:val="bottom"/>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 of euros)</w:t>
            </w:r>
          </w:p>
        </w:tc>
        <w:tc>
          <w:tcPr>
            <w:tcW w:w="3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RETIREMENT BENEFIT OBLIGATIONS</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w:t>
            </w:r>
          </w:p>
        </w:tc>
        <w:tc>
          <w:tcPr>
            <w:tcW w:w="0" w:type="dxa"/>
            <w:vAlign w:val="bottom"/>
          </w:tcPr>
          <w:p>
            <w:pPr>
              <w:spacing w:after="0"/>
              <w:rPr>
                <w:sz w:val="1"/>
                <w:szCs w:val="1"/>
                <w:color w:val="auto"/>
              </w:rPr>
            </w:pPr>
          </w:p>
        </w:tc>
      </w:tr>
      <w:tr>
        <w:trPr>
          <w:trHeight w:val="109"/>
        </w:trPr>
        <w:tc>
          <w:tcPr>
            <w:tcW w:w="27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3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80" w:type="dxa"/>
            <w:vAlign w:val="bottom"/>
            <w:vMerge w:val="continue"/>
            <w:shd w:val="clear" w:color="auto" w:fill="CCEEFF"/>
          </w:tcPr>
          <w:p>
            <w:pPr>
              <w:spacing w:after="0"/>
              <w:rPr>
                <w:sz w:val="7"/>
                <w:szCs w:val="7"/>
                <w:color w:val="auto"/>
              </w:rPr>
            </w:pPr>
          </w:p>
        </w:tc>
        <w:tc>
          <w:tcPr>
            <w:tcW w:w="3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Service cost</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cost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Actuarial gains and losses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3"/>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w:t>
            </w:r>
          </w:p>
        </w:tc>
        <w:tc>
          <w:tcPr>
            <w:tcW w:w="0" w:type="dxa"/>
            <w:vAlign w:val="bottom"/>
          </w:tcPr>
          <w:p>
            <w:pPr>
              <w:spacing w:after="0"/>
              <w:rPr>
                <w:sz w:val="1"/>
                <w:szCs w:val="1"/>
                <w:color w:val="auto"/>
              </w:rPr>
            </w:pPr>
          </w:p>
        </w:tc>
      </w:tr>
      <w:tr>
        <w:trPr>
          <w:trHeight w:val="109"/>
        </w:trPr>
        <w:tc>
          <w:tcPr>
            <w:tcW w:w="27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780" w:type="dxa"/>
            <w:vAlign w:val="bottom"/>
            <w:tcBorders>
              <w:bottom w:val="single" w:sz="8" w:color="CCEEFF"/>
            </w:tcBorders>
            <w:vMerge w:val="continue"/>
            <w:shd w:val="clear" w:color="auto" w:fill="CCEEFF"/>
          </w:tcPr>
          <w:p>
            <w:pPr>
              <w:spacing w:after="0"/>
              <w:rPr>
                <w:sz w:val="7"/>
                <w:szCs w:val="7"/>
                <w:color w:val="auto"/>
              </w:rPr>
            </w:pPr>
          </w:p>
        </w:tc>
        <w:tc>
          <w:tcPr>
            <w:tcW w:w="3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Service cost</w:t>
            </w: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vMerge w:val="continue"/>
          </w:tcPr>
          <w:p>
            <w:pPr>
              <w:spacing w:after="0"/>
              <w:rPr>
                <w:sz w:val="14"/>
                <w:szCs w:val="14"/>
                <w:color w:val="auto"/>
              </w:rPr>
            </w:pPr>
          </w:p>
        </w:tc>
        <w:tc>
          <w:tcPr>
            <w:tcW w:w="3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cost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1"/>
        </w:trPr>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Benefits paid</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Actuarial gains and losses</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58"/>
        </w:trPr>
        <w:tc>
          <w:tcPr>
            <w:tcW w:w="278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3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756</w:t>
            </w:r>
          </w:p>
        </w:tc>
        <w:tc>
          <w:tcPr>
            <w:tcW w:w="0" w:type="dxa"/>
            <w:vAlign w:val="bottom"/>
          </w:tcPr>
          <w:p>
            <w:pPr>
              <w:spacing w:after="0"/>
              <w:rPr>
                <w:sz w:val="1"/>
                <w:szCs w:val="1"/>
                <w:color w:val="auto"/>
              </w:rPr>
            </w:pPr>
          </w:p>
        </w:tc>
      </w:tr>
      <w:tr>
        <w:trPr>
          <w:trHeight w:val="109"/>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80" w:type="dxa"/>
            <w:vAlign w:val="bottom"/>
            <w:vMerge w:val="continue"/>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 service cost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11"/>
        </w:trPr>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Past services cost</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21"/>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cost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9"/>
        </w:trPr>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Actuarial gains and losses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01"/>
        </w:trPr>
        <w:tc>
          <w:tcPr>
            <w:tcW w:w="2780" w:type="dxa"/>
            <w:vAlign w:val="bottom"/>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AS OF</w:t>
            </w: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627</w:t>
            </w:r>
          </w:p>
        </w:tc>
        <w:tc>
          <w:tcPr>
            <w:tcW w:w="0" w:type="dxa"/>
            <w:vAlign w:val="bottom"/>
          </w:tcPr>
          <w:p>
            <w:pPr>
              <w:spacing w:after="0"/>
              <w:rPr>
                <w:sz w:val="1"/>
                <w:szCs w:val="1"/>
                <w:color w:val="auto"/>
              </w:rPr>
            </w:pPr>
          </w:p>
        </w:tc>
      </w:tr>
      <w:tr>
        <w:trPr>
          <w:trHeight w:val="46"/>
        </w:trPr>
        <w:tc>
          <w:tcPr>
            <w:tcW w:w="2720" w:type="dxa"/>
            <w:vAlign w:val="bottom"/>
            <w:vMerge w:val="continue"/>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in the U.S. benefit from defined contribution plans (401(k)).</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Note 17. Payables and other current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17.1. Trade payables and other current liabilities</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Trade payables and other current liabilities break down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9740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7016115" cy="597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Borders>
              <w:top w:val="single" w:sz="8" w:color="CCEEFF"/>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TRADE PAYABLES AND OTHER CURRENT</w:t>
            </w:r>
          </w:p>
        </w:tc>
        <w:tc>
          <w:tcPr>
            <w:tcW w:w="1460" w:type="dxa"/>
            <w:vAlign w:val="bottom"/>
            <w:tcBorders>
              <w:top w:val="single" w:sz="8" w:color="auto"/>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20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1"/>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Trade payables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21,953</w:t>
            </w:r>
          </w:p>
        </w:tc>
        <w:tc>
          <w:tcPr>
            <w:tcW w:w="40" w:type="dxa"/>
            <w:vAlign w:val="bottom"/>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30,748</w:t>
            </w:r>
          </w:p>
        </w:tc>
        <w:tc>
          <w:tcPr>
            <w:tcW w:w="4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23,388</w:t>
            </w:r>
          </w:p>
        </w:tc>
      </w:tr>
      <w:tr>
        <w:trPr>
          <w:trHeight w:val="221"/>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invoices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25,268</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13,049</w:t>
            </w: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r>
      <w:tr>
        <w:trPr>
          <w:trHeight w:val="211"/>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9"/>
        </w:trPr>
        <w:tc>
          <w:tcPr>
            <w:tcW w:w="36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Trade payables and other current liabilities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47,221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43,824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37,552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discount was applied to payables and related accounts for which maturity does not exceed one year. As a result, their fair value approximates their carrying amount.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17.2. Tax and employee-related payables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Tax and employee-related payables are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4"/>
        </w:trPr>
        <w:tc>
          <w:tcPr>
            <w:tcW w:w="352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6"/>
        </w:trPr>
        <w:tc>
          <w:tcPr>
            <w:tcW w:w="352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TAX AND EMPLOYEE-RELATED PAYABLES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Employee-related payables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r>
      <w:tr>
        <w:trPr>
          <w:trHeight w:val="211"/>
        </w:trPr>
        <w:tc>
          <w:tcPr>
            <w:tcW w:w="3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Social security and other</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r>
      <w:tr>
        <w:trPr>
          <w:trHeight w:val="221"/>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tax and related payments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9"/>
        </w:trPr>
        <w:tc>
          <w:tcPr>
            <w:tcW w:w="3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TAX AND EMPLOYEE-RELATED PAYABLES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6,073</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4,709</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7,137</w:t>
            </w:r>
          </w:p>
        </w:tc>
      </w:tr>
      <w:tr>
        <w:trPr>
          <w:trHeight w:val="20"/>
        </w:trPr>
        <w:tc>
          <w:tcPr>
            <w:tcW w:w="3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40" w:right="20"/>
        <w:spacing w:after="0" w:line="266" w:lineRule="auto"/>
        <w:rPr>
          <w:sz w:val="20"/>
          <w:szCs w:val="20"/>
          <w:color w:val="auto"/>
        </w:rPr>
      </w:pPr>
      <w:r>
        <w:rPr>
          <w:rFonts w:ascii="Times New Roman" w:cs="Times New Roman" w:eastAsia="Times New Roman" w:hAnsi="Times New Roman"/>
          <w:sz w:val="18"/>
          <w:szCs w:val="18"/>
          <w:color w:val="auto"/>
        </w:rPr>
        <w:t>The increase in employee-related, social security and other payables over the year ended December 31, 2025 is mainly related to year-end bonus accruals.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Other operating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operating income is composed as below:</w:t>
      </w:r>
    </w:p>
    <w:p>
      <w:pPr>
        <w:spacing w:after="0" w:line="200" w:lineRule="exact"/>
        <w:rPr>
          <w:sz w:val="20"/>
          <w:szCs w:val="20"/>
          <w:color w:val="auto"/>
        </w:rPr>
      </w:pP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7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7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960" w:type="dxa"/>
            <w:vAlign w:val="bottom"/>
          </w:tcPr>
          <w:p>
            <w:pPr>
              <w:spacing w:after="0"/>
              <w:rPr>
                <w:sz w:val="16"/>
                <w:szCs w:val="16"/>
                <w:color w:val="auto"/>
              </w:rPr>
            </w:pPr>
          </w:p>
        </w:tc>
        <w:tc>
          <w:tcPr>
            <w:tcW w:w="17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ectPr>
          <w:pgSz w:w="11900" w:h="16881" w:orient="portrait"/>
          <w:cols w:equalWidth="0" w:num="1">
            <w:col w:w="9400"/>
          </w:cols>
          <w:pgMar w:left="1080" w:top="169" w:right="1419" w:bottom="0" w:gutter="0" w:footer="0" w:header="0"/>
        </w:sectPr>
      </w:pPr>
    </w:p>
    <w:bookmarkStart w:id="198" w:name="page199"/>
    <w:bookmarkEnd w:id="19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 rch tax credit ("CIR")</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4,493</w:t>
            </w:r>
          </w:p>
        </w:tc>
        <w:tc>
          <w:tcPr>
            <w:tcW w:w="147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6,651</w:t>
            </w:r>
          </w:p>
        </w:tc>
        <w:tc>
          <w:tcPr>
            <w:tcW w:w="147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r>
      <w:tr>
        <w:trPr>
          <w:trHeight w:val="72"/>
        </w:trPr>
        <w:tc>
          <w:tcPr>
            <w:tcW w:w="2420" w:type="dxa"/>
            <w:vAlign w:val="bottom"/>
          </w:tcPr>
          <w:p>
            <w:pPr>
              <w:ind w:left="300"/>
              <w:spacing w:after="0" w:line="72" w:lineRule="exact"/>
              <w:rPr>
                <w:sz w:val="20"/>
                <w:szCs w:val="20"/>
                <w:color w:val="auto"/>
              </w:rPr>
            </w:pPr>
            <w:r>
              <w:rPr>
                <w:rFonts w:ascii="Times New Roman" w:cs="Times New Roman" w:eastAsia="Times New Roman" w:hAnsi="Times New Roman"/>
                <w:sz w:val="8"/>
                <w:szCs w:val="8"/>
                <w:i w:val="1"/>
                <w:iCs w:val="1"/>
                <w:color w:val="auto"/>
              </w:rPr>
              <w:t>(amounts in thousands of euros)</w:t>
            </w:r>
          </w:p>
        </w:tc>
        <w:tc>
          <w:tcPr>
            <w:tcW w:w="1500" w:type="dxa"/>
            <w:vAlign w:val="bottom"/>
          </w:tcPr>
          <w:p>
            <w:pPr>
              <w:spacing w:after="0"/>
              <w:rPr>
                <w:sz w:val="6"/>
                <w:szCs w:val="6"/>
                <w:color w:val="auto"/>
              </w:rPr>
            </w:pPr>
          </w:p>
        </w:tc>
        <w:tc>
          <w:tcPr>
            <w:tcW w:w="1470" w:type="dxa"/>
            <w:vAlign w:val="bottom"/>
          </w:tcPr>
          <w:p>
            <w:pPr>
              <w:spacing w:after="0"/>
              <w:rPr>
                <w:sz w:val="6"/>
                <w:szCs w:val="6"/>
                <w:color w:val="auto"/>
              </w:rPr>
            </w:pPr>
          </w:p>
        </w:tc>
        <w:tc>
          <w:tcPr>
            <w:tcW w:w="1470" w:type="dxa"/>
            <w:vAlign w:val="bottom"/>
          </w:tcPr>
          <w:p>
            <w:pPr>
              <w:spacing w:after="0"/>
              <w:rPr>
                <w:sz w:val="6"/>
                <w:szCs w:val="6"/>
                <w:color w:val="auto"/>
              </w:rPr>
            </w:pPr>
          </w:p>
        </w:tc>
      </w:tr>
      <w:tr>
        <w:trPr>
          <w:trHeight w:val="188"/>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Subsidies</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47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4,140</w:t>
            </w:r>
          </w:p>
        </w:tc>
        <w:tc>
          <w:tcPr>
            <w:tcW w:w="147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Depositary service fees</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7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1,634</w:t>
            </w:r>
          </w:p>
        </w:tc>
        <w:tc>
          <w:tcPr>
            <w:tcW w:w="147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47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23</w:t>
            </w:r>
          </w:p>
        </w:tc>
        <w:tc>
          <w:tcPr>
            <w:tcW w:w="147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4,621</w:t>
            </w:r>
          </w:p>
        </w:tc>
        <w:tc>
          <w:tcPr>
            <w:tcW w:w="147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12,449</w:t>
            </w:r>
          </w:p>
        </w:tc>
        <w:tc>
          <w:tcPr>
            <w:tcW w:w="147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-661670</wp:posOffset>
            </wp:positionV>
            <wp:extent cx="7016115" cy="30880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7016115" cy="30880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is composed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tax credit (“CIR”)</w:t>
      </w:r>
    </w:p>
    <w:p>
      <w:pPr>
        <w:spacing w:after="0" w:line="20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 xml:space="preserve">The Group carries out research and development projects. As such, it has benefited from a research tax credit for the years ended December </w:t>
      </w:r>
      <w:r>
        <w:rPr>
          <w:rFonts w:ascii="Times New Roman" w:cs="Times New Roman" w:eastAsia="Times New Roman" w:hAnsi="Times New Roman"/>
          <w:sz w:val="18"/>
          <w:szCs w:val="18"/>
          <w:color w:val="auto"/>
          <w:highlight w:val="white"/>
        </w:rPr>
        <w:t>31, 2023, 2024 and 2025 for an</w:t>
      </w:r>
      <w:r>
        <w:rPr>
          <w:rFonts w:ascii="Times New Roman" w:cs="Times New Roman" w:eastAsia="Times New Roman" w:hAnsi="Times New Roman"/>
          <w:sz w:val="18"/>
          <w:szCs w:val="18"/>
          <w:color w:val="auto"/>
        </w:rPr>
        <w:t xml:space="preserve"> amount of €4,493 thousand, €5,668 thousand and €3,197 thousand, respectively (see Note 4.9).</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2024, the Group also received an additional tax credit payment related to the 2021 tax year for an amount of €984 thousand after a claim from the Group following a clarification of "public subsidy" definition.</w:t>
      </w:r>
    </w:p>
    <w:p>
      <w:pPr>
        <w:spacing w:after="0" w:line="2"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7"/>
          <w:szCs w:val="17"/>
          <w:color w:val="auto"/>
        </w:rPr>
        <w:t>The lower amount of CIR recognized in 2025 is mainly due to (i) the maximum amount of eligible outsourced research and development expenses being capped, (ii) a decrease in internal research and development costs, (iii) the reimbursement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73456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7016115" cy="734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CARENA and RNP-VIR conditional advances, deducted from the 2024 CIR calculation and (iv) a change in the CIR regulation related to eligible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Subsidies</w:t>
      </w:r>
    </w:p>
    <w:p>
      <w:pPr>
        <w:spacing w:after="0" w:line="20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Subsidies primarily relate to the Bpifrance RNP-VIR and CARENA conditional advances, the repayments of which were partly waived by Bpifrance in June 2024, for €1,872 thousand and €2,251 thousand respectively (see Notes 3.3 and 15.7).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Depositary services fees</w:t>
      </w:r>
    </w:p>
    <w:p>
      <w:pPr>
        <w:spacing w:after="0" w:line="20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For the years ended December 31, 2024 and 2025, this line item includes issuance, cancellation and depositary service fees collected from ADS holders by Citibank, who is acting as the Group's exclusive depositary for its publicly listed ADSs. As part of the depositary agreement between Citibank and the Group, the latter is entitled to receive a portion of the aforementioned fees collected by Citibank. The amounts recognized for the years ended December 31, 2024 and 2025 reflect the large amounts of ADS transactions following, respectively, (i) the Group's Initial Public Offering on the Nasdaq Global Market in October 2023 and (ii) the announcement of Phase 3 results and the Group's Offering in July 2025.</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Operating expenses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19.1. Sales and marketing</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ind w:left="11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SALES AND MARKETING</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sales and marketing expenses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69"/>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Sales &amp; Marketing</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6,431</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5,954</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5,194</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consist primarily of personnel expenses, including salaries, benefits, and share-based compensation</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expenses, for employees engaged in sales and marketing activities, as well as consulting costs associated with market research in preparation for the Group's potential future sales and commercialization efforts in the U.S.</w:t>
      </w:r>
    </w:p>
    <w:p>
      <w:pPr>
        <w:spacing w:after="0" w:line="1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decrease for the year ended was primarily driven by the reduction in the headcount of the Group's sales and marketing department part way through 2024.</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increase in personnel costs for the year ended December 31, 2025 is primarily driven by taxes and social contributions related to AGAs (see Note 14), while the decrease in consulting and professional fees is mainly explained by one-time costs that were incurred in 2024 for the Group's corporate re-branding, including its new website.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19.2. Research and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break down as follows:</w:t>
      </w:r>
    </w:p>
    <w:p>
      <w:pPr>
        <w:sectPr>
          <w:pgSz w:w="11900" w:h="16838" w:orient="portrait"/>
          <w:cols w:equalWidth="0" w:num="1">
            <w:col w:w="9720"/>
          </w:cols>
          <w:pgMar w:left="1080" w:top="114" w:right="1099" w:bottom="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7164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7016115" cy="171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87172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7016115" cy="8717280"/>
                    </a:xfrm>
                    <a:prstGeom prst="rect">
                      <a:avLst/>
                    </a:prstGeom>
                    <a:noFill/>
                  </pic:spPr>
                </pic:pic>
              </a:graphicData>
            </a:graphic>
          </wp:anchor>
        </w:drawing>
      </w:r>
    </w:p>
    <w:p>
      <w:pPr>
        <w:sectPr>
          <w:pgSz w:w="11900" w:h="16838" w:orient="portrait"/>
          <w:cols w:equalWidth="0" w:num="1">
            <w:col w:w="9720"/>
          </w:cols>
          <w:pgMar w:left="1080" w:top="1440" w:right="1099" w:bottom="5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ind w:left="11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410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410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4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Sub-contracting, studies and research</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85,726</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110,993</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112,033</w:t>
            </w:r>
          </w:p>
        </w:tc>
      </w:tr>
      <w:tr>
        <w:trPr>
          <w:trHeight w:val="211"/>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49,616</w:t>
            </w:r>
          </w:p>
        </w:tc>
      </w:tr>
      <w:tr>
        <w:trPr>
          <w:trHeight w:val="221"/>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w:t>
            </w:r>
          </w:p>
        </w:tc>
      </w:tr>
      <w:tr>
        <w:trPr>
          <w:trHeight w:val="211"/>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Intellectual property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21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r>
      <w:tr>
        <w:trPr>
          <w:trHeight w:val="174"/>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103,176</w:t>
            </w:r>
          </w:p>
        </w:tc>
        <w:tc>
          <w:tcPr>
            <w:tcW w:w="6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146,532</w:t>
            </w:r>
          </w:p>
        </w:tc>
        <w:tc>
          <w:tcPr>
            <w:tcW w:w="6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177,761</w:t>
            </w:r>
          </w:p>
        </w:tc>
      </w:tr>
      <w:tr>
        <w:trPr>
          <w:trHeight w:val="20"/>
        </w:trPr>
        <w:tc>
          <w:tcPr>
            <w:tcW w:w="4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the following items:</w:t>
      </w:r>
    </w:p>
    <w:p>
      <w:pPr>
        <w:spacing w:after="0" w:line="77" w:lineRule="exact"/>
        <w:rPr>
          <w:sz w:val="20"/>
          <w:szCs w:val="20"/>
          <w:color w:val="auto"/>
        </w:rPr>
      </w:pPr>
    </w:p>
    <w:p>
      <w:pPr>
        <w:ind w:left="1000" w:right="380" w:hanging="336"/>
        <w:spacing w:after="0" w:line="250"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share-based compensation expenses, for employees engaged in research and development activities;</w:t>
      </w:r>
    </w:p>
    <w:p>
      <w:pPr>
        <w:spacing w:after="0" w:line="41" w:lineRule="exact"/>
        <w:rPr>
          <w:rFonts w:ascii="Times New Roman" w:cs="Times New Roman" w:eastAsia="Times New Roman" w:hAnsi="Times New Roman"/>
          <w:sz w:val="18"/>
          <w:szCs w:val="18"/>
          <w:color w:val="auto"/>
        </w:rPr>
      </w:pPr>
    </w:p>
    <w:p>
      <w:pPr>
        <w:ind w:left="1000" w:right="120" w:hanging="336"/>
        <w:spacing w:after="0" w:line="231"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Sub-contracting, collaboration and consultant expenses that primarily include the cost of third-party contractors such as CROs who conduct our non-clinical studies and clinical trials, and research related to proprietary platforms, as well as investigative sites and consultants that conduct our preclinical studies and clinical trials;</w:t>
      </w:r>
    </w:p>
    <w:p>
      <w:pPr>
        <w:spacing w:after="0" w:line="50" w:lineRule="exact"/>
        <w:rPr>
          <w:rFonts w:ascii="Times New Roman" w:cs="Times New Roman" w:eastAsia="Times New Roman" w:hAnsi="Times New Roman"/>
          <w:sz w:val="18"/>
          <w:szCs w:val="18"/>
          <w:color w:val="auto"/>
        </w:rPr>
      </w:pPr>
    </w:p>
    <w:p>
      <w:pPr>
        <w:ind w:left="1000" w:right="320" w:hanging="336"/>
        <w:spacing w:after="0" w:line="263" w:lineRule="auto"/>
        <w:tabs>
          <w:tab w:leader="none" w:pos="10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contract manufacturing organizations (“CMOs”), including manufacturing scale-up expenses and the cost of acquiring and manufacturing preclinical study and clinical trial materials;</w:t>
      </w:r>
    </w:p>
    <w:p>
      <w:pPr>
        <w:spacing w:after="0" w:line="44" w:lineRule="exact"/>
        <w:rPr>
          <w:rFonts w:ascii="Times New Roman" w:cs="Times New Roman" w:eastAsia="Times New Roman" w:hAnsi="Times New Roman"/>
          <w:sz w:val="17"/>
          <w:szCs w:val="17"/>
          <w:color w:val="auto"/>
        </w:rPr>
      </w:pPr>
    </w:p>
    <w:p>
      <w:pPr>
        <w:ind w:left="1000" w:hanging="336"/>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preclinical studies and clinical trials;</w:t>
      </w:r>
    </w:p>
    <w:p>
      <w:pPr>
        <w:spacing w:after="0" w:line="76"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affairs;</w:t>
      </w:r>
    </w:p>
    <w:p>
      <w:pPr>
        <w:spacing w:after="0" w:line="76"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and maintenance; and</w:t>
      </w:r>
    </w:p>
    <w:p>
      <w:pPr>
        <w:spacing w:after="0" w:line="90" w:lineRule="exact"/>
        <w:rPr>
          <w:rFonts w:ascii="Times New Roman" w:cs="Times New Roman" w:eastAsia="Times New Roman" w:hAnsi="Times New Roman"/>
          <w:sz w:val="18"/>
          <w:szCs w:val="18"/>
          <w:color w:val="auto"/>
        </w:rPr>
      </w:pPr>
    </w:p>
    <w:p>
      <w:pPr>
        <w:ind w:left="1000" w:hanging="336"/>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the implementation of the quality assurance system.</w:t>
      </w:r>
    </w:p>
    <w:p>
      <w:pPr>
        <w:spacing w:after="0" w:line="3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The increase in research and development expenses for the years ended December 31, 2024 and 2025 is primarily due to (i) the increase in UC expenses (of respectively €32,030 thousand and €1,587 thousand), due to the progress of Phase 3 clinical trials for obefazimod in UC, (ii) the increase in CD expenses (of respectively €4,620 thousand and €10,200 thousand), due to the planning costs and progression of the Phase 2b CD trial, (iii) the increase in transversal activities of respectively €8,233 thousand and €12,987 thousand) related to (a) the overall expansion of the research and development headcount to support the Group's organizational growth and the issuance of new equity awards to officers and employees in research and development for the year ended December 31, 2024 and (b) increased chemistry, manufacturing and controls ("CMC") and supply chain costs related to the progression of clinical trials and anticipation of future commercial launch for the year ended December 31, 2025, and (iv) the development of new indications for obefazimod, including the combination therapy (increasing by €4,122 thousand for the year ended December 31, 2025).</w:t>
      </w:r>
    </w:p>
    <w:p>
      <w:pPr>
        <w:spacing w:after="0" w:line="1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These increases for the year ended December 31, 2025 also resulted from increasing personnel costs, mainly explained by the rise in employer tax and social contributions related to AGAs by €20,131 thousand, resulting predominantly from (i) the uptick in the Group's share price during the second half of 2025 (see Note 14), and to a lesser extent by (ii) the increase in the employer contribution rate on AGAs in France.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19.3. General and administrative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ind w:left="11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410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410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4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Personnel costs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13,105</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52,817</w:t>
            </w:r>
          </w:p>
        </w:tc>
      </w:tr>
      <w:tr>
        <w:trPr>
          <w:trHeight w:val="211"/>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Consulting and professional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9,984</w:t>
            </w:r>
          </w:p>
        </w:tc>
      </w:tr>
      <w:tr>
        <w:trPr>
          <w:trHeight w:val="21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r>
      <w:tr>
        <w:trPr>
          <w:trHeight w:val="201"/>
        </w:trPr>
        <w:tc>
          <w:tcPr>
            <w:tcW w:w="4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22,391</w:t>
            </w:r>
          </w:p>
        </w:tc>
        <w:tc>
          <w:tcPr>
            <w:tcW w:w="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32,946</w:t>
            </w:r>
          </w:p>
        </w:tc>
        <w:tc>
          <w:tcPr>
            <w:tcW w:w="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67,670</w:t>
            </w:r>
          </w:p>
        </w:tc>
      </w:tr>
    </w:tbl>
    <w:p>
      <w:pPr>
        <w:sectPr>
          <w:pgSz w:w="11900" w:h="16838" w:orient="portrait"/>
          <w:cols w:equalWidth="0" w:num="1">
            <w:col w:w="9720"/>
          </w:cols>
          <w:pgMar w:left="1080" w:top="1440" w:right="1099" w:bottom="514" w:gutter="0" w:footer="0" w:header="0"/>
          <w:type w:val="continuous"/>
        </w:sectPr>
      </w:pPr>
    </w:p>
    <w:bookmarkStart w:id="200" w:name="page201"/>
    <w:bookmarkEnd w:id="200"/>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448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7016115" cy="34480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90735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87" w:orient="portrait"/>
          <w:cols w:equalWidth="0" w:num="1">
            <w:col w:w="9700"/>
          </w:cols>
          <w:pgMar w:left="1080" w:top="229"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
        <w:spacing w:after="0" w:line="22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share-based compensation expenses, for personnel other than employees engaged in research and development activities. General and</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2"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2024 was primarily due to the increase in personnel costs, representing the full year impact of the build out of the Group's general and administrative organization (increased headcount and equity based compensation costs), which started in late 2023 to support the expansion of the Group, as well as increased legal and professional fees and other costs associated with operating as a dual-listed public company.</w:t>
      </w:r>
    </w:p>
    <w:p>
      <w:pPr>
        <w:spacing w:after="0" w:line="1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increase for the year ended December 31, 2025 was primarily due to an increase in personnel costs, mainly explained by the increase in employer tax and social contributions related to AGAs by €27,299 thousand, resulting predominantly from (i) the uptick in</w:t>
      </w:r>
    </w:p>
    <w:p>
      <w:pPr>
        <w:spacing w:after="0" w:line="1"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the Group's share price during the second half of 2025 (see Note 14), and to a lesser extent by (ii) the increase in the employer contribution rate on AGAs in France, as well as an increase in legal and professional fees associated with building the Group's infrastructure to support future growth in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principal audit fees paid to its joint statutory auditors PricewaterhouseCoopers Audit and Agili3f, are set forth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6"/>
        </w:trPr>
        <w:tc>
          <w:tcPr>
            <w:tcW w:w="4960" w:type="dxa"/>
            <w:vAlign w:val="bottom"/>
          </w:tcPr>
          <w:p>
            <w:pPr>
              <w:ind w:left="156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Audit fees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r>
      <w:tr>
        <w:trPr>
          <w:trHeight w:val="211"/>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Audit-related fees</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21"/>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Tax fees</w:t>
            </w: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1"/>
        </w:trPr>
        <w:tc>
          <w:tcPr>
            <w:tcW w:w="4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All other fees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48"/>
        </w:trPr>
        <w:tc>
          <w:tcPr>
            <w:tcW w:w="4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2,340</w:t>
            </w: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w:t>
            </w: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1,418</w:t>
            </w:r>
          </w:p>
        </w:tc>
      </w:tr>
      <w:tr>
        <w:trPr>
          <w:trHeight w:val="20"/>
        </w:trPr>
        <w:tc>
          <w:tcPr>
            <w:tcW w:w="49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Employees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The Group’s average workforce during the periods ended December 31, 2023, 2024 and 2025 was as follows:</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1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96"/>
        </w:trPr>
        <w:tc>
          <w:tcPr>
            <w:tcW w:w="1600" w:type="dxa"/>
            <w:vAlign w:val="bottom"/>
            <w:vMerge w:val="continue"/>
          </w:tcPr>
          <w:p>
            <w:pPr>
              <w:spacing w:after="0"/>
              <w:rPr>
                <w:sz w:val="8"/>
                <w:szCs w:val="8"/>
                <w:color w:val="auto"/>
              </w:rPr>
            </w:pPr>
          </w:p>
        </w:tc>
        <w:tc>
          <w:tcPr>
            <w:tcW w:w="1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94"/>
        </w:trPr>
        <w:tc>
          <w:tcPr>
            <w:tcW w:w="160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600" w:type="dxa"/>
            <w:vAlign w:val="bottom"/>
            <w:tcBorders>
              <w:bottom w:val="single" w:sz="8" w:color="CCEEFF"/>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France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1"/>
        </w:trPr>
        <w:tc>
          <w:tcPr>
            <w:tcW w:w="1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933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7016115" cy="933450"/>
                    </a:xfrm>
                    <a:prstGeom prst="rect">
                      <a:avLst/>
                    </a:prstGeom>
                    <a:noFill/>
                  </pic:spPr>
                </pic:pic>
              </a:graphicData>
            </a:graphic>
          </wp:anchor>
        </w:drawing>
      </w:r>
    </w:p>
    <w:p>
      <w:pPr>
        <w:sectPr>
          <w:pgSz w:w="11900" w:h="16887" w:orient="portrait"/>
          <w:cols w:equalWidth="0" w:num="1">
            <w:col w:w="9700"/>
          </w:cols>
          <w:pgMar w:left="1080" w:top="229" w:right="11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Financial gain (loss)</w:t>
      </w:r>
    </w:p>
    <w:p>
      <w:pPr>
        <w:sectPr>
          <w:pgSz w:w="11900" w:h="16887" w:orient="portrait"/>
          <w:cols w:equalWidth="0" w:num="1">
            <w:col w:w="9700"/>
          </w:cols>
          <w:pgMar w:left="1080" w:top="229" w:right="1119" w:bottom="0" w:gutter="0" w:footer="0" w:header="0"/>
          <w:type w:val="continuous"/>
        </w:sectPr>
      </w:pPr>
    </w:p>
    <w:bookmarkStart w:id="201" w:name="page202"/>
    <w:bookmarkEnd w:id="201"/>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1286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7016115" cy="812863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231F20"/>
        </w:rPr>
        <w:t>The financial loss breaks down as follows:</w:t>
      </w: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020" w:type="dxa"/>
            <w:vAlign w:val="bottom"/>
          </w:tcPr>
          <w:p>
            <w:pPr>
              <w:ind w:left="1600"/>
              <w:spacing w:after="0"/>
              <w:rPr>
                <w:sz w:val="20"/>
                <w:szCs w:val="20"/>
                <w:color w:val="auto"/>
              </w:rPr>
            </w:pPr>
            <w:r>
              <w:rPr>
                <w:rFonts w:ascii="Times New Roman" w:cs="Times New Roman" w:eastAsia="Times New Roman" w:hAnsi="Times New Roman"/>
                <w:sz w:val="14"/>
                <w:szCs w:val="14"/>
                <w:i w:val="1"/>
                <w:iCs w:val="1"/>
                <w:color w:val="auto"/>
              </w:rPr>
              <w:t>(amounts in thousands of euros)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bond loans</w:t>
            </w:r>
          </w:p>
        </w:tc>
        <w:tc>
          <w:tcPr>
            <w:tcW w:w="14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(760)</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on convertible loan notes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(3,935)</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conditional advances and PGE</w:t>
            </w:r>
          </w:p>
        </w:tc>
        <w:tc>
          <w:tcPr>
            <w:tcW w:w="14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on royalty certificates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(17,213)</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4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 decrease in derivatives fair value</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(3,046)</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 decrease in other liabilities / (assets) at fair value through profit and loss</w:t>
            </w:r>
          </w:p>
        </w:tc>
        <w:tc>
          <w:tcPr>
            <w:tcW w:w="142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(36,015)</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derecognition of financial liabilities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(3,431)</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Transaction costs</w:t>
            </w:r>
          </w:p>
        </w:tc>
        <w:tc>
          <w:tcPr>
            <w:tcW w:w="14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(1,924)</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 exchange losses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(5,573)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(13,444)</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financial expense</w:t>
            </w:r>
          </w:p>
        </w:tc>
        <w:tc>
          <w:tcPr>
            <w:tcW w:w="142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(27,875)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(16,991)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(111,743)</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income</w:t>
            </w:r>
          </w:p>
        </w:tc>
        <w:tc>
          <w:tcPr>
            <w:tcW w:w="14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2,418</w:t>
            </w:r>
          </w:p>
        </w:tc>
        <w:tc>
          <w:tcPr>
            <w:tcW w:w="14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 decrease in derivatives fair value</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1,006</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1,413</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 decrease in other liabilities / (assets) at fair value through profit and loss</w:t>
            </w:r>
          </w:p>
        </w:tc>
        <w:tc>
          <w:tcPr>
            <w:tcW w:w="14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3,198</w:t>
            </w:r>
          </w:p>
        </w:tc>
        <w:tc>
          <w:tcPr>
            <w:tcW w:w="14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of unwinding the discount related to advances made to CROs</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710</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Day-one gain on recognition of financial liabilities</w:t>
            </w:r>
          </w:p>
        </w:tc>
        <w:tc>
          <w:tcPr>
            <w:tcW w:w="14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140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0" w:type="dxa"/>
            <w:vAlign w:val="bottom"/>
          </w:tcPr>
          <w:p>
            <w:pPr>
              <w:spacing w:after="0"/>
              <w:rPr>
                <w:sz w:val="1"/>
                <w:szCs w:val="1"/>
                <w:color w:val="auto"/>
              </w:rPr>
            </w:pPr>
          </w:p>
        </w:tc>
      </w:tr>
      <w:tr>
        <w:trPr>
          <w:trHeight w:val="211"/>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on derecognition of financial liabilities</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 gains</w:t>
            </w:r>
          </w:p>
        </w:tc>
        <w:tc>
          <w:tcPr>
            <w:tcW w:w="142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CCEC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financial income</w:t>
            </w: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42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7,511</w:t>
            </w:r>
          </w:p>
        </w:tc>
        <w:tc>
          <w:tcPr>
            <w:tcW w:w="140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13,732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27,545</w:t>
            </w:r>
          </w:p>
        </w:tc>
        <w:tc>
          <w:tcPr>
            <w:tcW w:w="0" w:type="dxa"/>
            <w:vAlign w:val="bottom"/>
          </w:tcPr>
          <w:p>
            <w:pPr>
              <w:spacing w:after="0"/>
              <w:rPr>
                <w:sz w:val="1"/>
                <w:szCs w:val="1"/>
                <w:color w:val="auto"/>
              </w:rPr>
            </w:pPr>
          </w:p>
        </w:tc>
      </w:tr>
      <w:tr>
        <w:trPr>
          <w:trHeight w:val="169"/>
        </w:trPr>
        <w:tc>
          <w:tcPr>
            <w:tcW w:w="5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gain (loss)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(20,364)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(3,258)</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(84,198)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Financial expenses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on bond loans consists of interests from the Kreos 1 and 2 bond loans redeemed in August 2023 (see Notes 15.3 and 15.4) and from Kreos / Claret B and C tranches (non-convertible bonds), drawn down in March and June 2024, respectively and redeemed in December 2025 (see Note 15.1).</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Interests on convertible loan notes corresponds to interests from the OCEANE bond loans (see Note 15.5) converted in August 2023 as well as from the Kreos / Claret OCABSA (tranche A) and the Height notes converted in August 2025 (see Notes 15.1 and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2305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7016115" cy="230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Interests on royalty certificates are detailed in Note 15.9. They include the impacts of the remeasurements of the royalty certificates following changes in the Group's estimates of future cash flows during the years ended December 31, 2023, 2024 and 2025 (see Note 15.9).</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Increases and decreases in the fair value of derivatives are detailed in Notes 15.1, 15.3, 15.5 and 15.11. As of December 31, 2025, the €29,935 thousand expense relates to the increase in the fair value of the Kreos / Claret BSA following the increase in the Group's share price in the third quarter of 2025.</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Increases in other liabilities at FVTPL relate to the convertible Heights notes for the years ended December 31, 2024 and 2025 (see Note 15.2). The notes were converted by the noteholders in July 2025.</w:t>
      </w:r>
    </w:p>
    <w:p>
      <w:pPr>
        <w:sectPr>
          <w:pgSz w:w="11900" w:h="16954" w:orient="portrait"/>
          <w:cols w:equalWidth="0" w:num="1">
            <w:col w:w="9720"/>
          </w:cols>
          <w:pgMar w:left="1080" w:top="256" w:right="1099" w:bottom="0" w:gutter="0" w:footer="0" w:header="0"/>
        </w:sectPr>
      </w:pPr>
    </w:p>
    <w:bookmarkStart w:id="202" w:name="page203"/>
    <w:bookmarkEnd w:id="202"/>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757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7016115" cy="6757035"/>
                    </a:xfrm>
                    <a:prstGeom prst="rect">
                      <a:avLst/>
                    </a:prstGeom>
                    <a:noFill/>
                  </pic:spPr>
                </pic:pic>
              </a:graphicData>
            </a:graphic>
          </wp:anchor>
        </w:drawing>
      </w: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Losses on the derecognition of financial liabilities are detailed in Notes 15.1 to 15.5, and relate to the August 2023 refinancing for the year ended December 31, 2023 and to the redemption of the Kreos / Claret B and C tranches for the year ended December 31, 2025.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Transaction costs for the year ended December 31, 2023 mainly related to the Heights notes, and transaction costs for the year ended December 31, 2024 mainly related to the amortization of the prepaid expenses related to the transaction costs of the Kreos / Claret tranche C bond loans (see Note 15.1).</w:t>
      </w:r>
    </w:p>
    <w:p>
      <w:pPr>
        <w:spacing w:after="0" w:line="176" w:lineRule="exact"/>
        <w:rPr>
          <w:sz w:val="20"/>
          <w:szCs w:val="20"/>
          <w:color w:val="auto"/>
        </w:rPr>
      </w:pPr>
    </w:p>
    <w:p>
      <w:pPr>
        <w:jc w:val="both"/>
        <w:ind w:right="260"/>
        <w:spacing w:after="0" w:line="242" w:lineRule="auto"/>
        <w:rPr>
          <w:sz w:val="20"/>
          <w:szCs w:val="20"/>
          <w:color w:val="auto"/>
        </w:rPr>
      </w:pPr>
      <w:r>
        <w:rPr>
          <w:rFonts w:ascii="Times New Roman" w:cs="Times New Roman" w:eastAsia="Times New Roman" w:hAnsi="Times New Roman"/>
          <w:sz w:val="18"/>
          <w:szCs w:val="18"/>
          <w:color w:val="auto"/>
        </w:rPr>
        <w:t>Foreign exchange losses for the year ended December 31, 2023 mainly relate to the translation of cash and cash equivalents held in U.S. dollars into the Company's functional currency as of December 31, 2023 (see Note 11), resulting in a loss of €3,196 thousand, and to a €1,488 thousand loss resulting from foreign exchange transactions.</w:t>
      </w:r>
    </w:p>
    <w:p>
      <w:pPr>
        <w:spacing w:after="0" w:line="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Foreign exchange losses for the year ended December 31, 2025 relate to the translation of cash and cash equivalents held in U.S. dollars into the Company's functional currency as of December 31, 2025, resulting in a net financial loss of €8,639 thousand, and to other realized and unrealized losses on foreign exchange transactions (see Note 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Financial income</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Interest income mainly relates to the invested proceeds from (i) the Group's initial public offering on the Nasdaq Global Market and the concurrent European Private Placement from October 2023, (ii) the Kreos / Claret and Heights Financings and (iii) the Group's public Offering from July 2025.</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231F20"/>
        </w:rPr>
        <w:t>Increases and decreases in the fair value of derivatives are detailed in Notes 15.1, 15.3, 15.5 and 15.11. The €3,620 thousand income for the year ended December 31, 2025 related to the extinguishment of the Kreos / Claret MRI following the conversion of the Kreos Tranche A and the exercises of the Kreos / Claret BSA in August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liabilities at FVTPL relates to the Height notes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assets at FVTPL for the year ended December 31, 2025 relates to the revaluation of cash equivalents measured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FVTPL.</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day-one gain on recognition of financial liabilities relates to the Heights notes. The amount recorded for the year ended December 31, 2025 includes the amortization of the outstanding day-one gain upon the conversion of the notes (see Note 15.2).</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Foreign exchange gains for the year ended December 31, 2024 mainly relate to the translation of cash and cash equivalents held in U.S. dollars into the Group's presentation currency as of December 31, 2024 (see Note 11), resulting in a gain of €2,035 thousand, and to a €714 thousand gain resulting from foreign exchange transactions.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gains for the year ended December 31, 2025 mainly relate to the €10,663 thousand gain resulting from the favorable change in the euro to U.S. dollar exchange rate between the closing of the Group's July 2025 Offering (date of recognition of the share capital increase) and the date of receipt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36766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7016115" cy="367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Income tax</w:t>
      </w:r>
    </w:p>
    <w:p>
      <w:pPr>
        <w:spacing w:after="0" w:line="14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income tax rate applicable to the Company is the French corporate income tax rate, i.e. 25% for the years ended December 31, 2023, 2024 and 2025.</w:t>
      </w:r>
    </w:p>
    <w:p>
      <w:pPr>
        <w:spacing w:after="0" w:line="14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The income tax rates applicable to the U.S. Subsidiary are the federal income tax rate of 21% and the State income tax rates of 4.35%, 5.36% and 8.06% i.e. a total of 25.35%, 26.36% and 29.06% for the years ended December 31, 2023, 2024 and 2025 respectively.</w:t>
      </w:r>
    </w:p>
    <w:p>
      <w:pPr>
        <w:sectPr>
          <w:pgSz w:w="11900" w:h="16854" w:orient="portrait"/>
          <w:cols w:equalWidth="0" w:num="1">
            <w:col w:w="9700"/>
          </w:cols>
          <w:pgMar w:left="1080" w:top="337" w:right="11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Loss before tax</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Statutory French tax rate</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Nominal income tax using statutory French tax rate</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Tax effect of:</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Tax rates in foreign jurisdictions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payment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CIR</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Transaction costs related to capital increase</w:t>
      </w:r>
    </w:p>
    <w:p>
      <w:pPr>
        <w:spacing w:after="0" w:line="28" w:lineRule="exact"/>
        <w:rPr>
          <w:sz w:val="20"/>
          <w:szCs w:val="20"/>
          <w:color w:val="auto"/>
        </w:rPr>
      </w:pPr>
    </w:p>
    <w:p>
      <w:pPr>
        <w:ind w:left="60" w:right="600"/>
        <w:spacing w:after="0" w:line="291" w:lineRule="auto"/>
        <w:rPr>
          <w:sz w:val="20"/>
          <w:szCs w:val="20"/>
          <w:color w:val="auto"/>
        </w:rPr>
      </w:pPr>
      <w:r>
        <w:rPr>
          <w:rFonts w:ascii="Times New Roman" w:cs="Times New Roman" w:eastAsia="Times New Roman" w:hAnsi="Times New Roman"/>
          <w:sz w:val="14"/>
          <w:szCs w:val="14"/>
          <w:color w:val="auto"/>
        </w:rPr>
        <w:t>Decrease / (increase) in derivatives and other liabilities measured at FVTPL</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Non-recognition of deferred tax assets related to tax losses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8"/>
              </w:rPr>
              <w:t>(147,740)</w:t>
            </w:r>
          </w:p>
        </w:tc>
        <w:tc>
          <w:tcPr>
            <w:tcW w:w="18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(176,242)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(330,254)</w:t>
            </w:r>
          </w:p>
        </w:tc>
      </w:tr>
      <w:tr>
        <w:trPr>
          <w:trHeight w:val="216"/>
        </w:trPr>
        <w:tc>
          <w:tcPr>
            <w:tcW w:w="120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25%</w:t>
            </w:r>
          </w:p>
        </w:tc>
        <w:tc>
          <w:tcPr>
            <w:tcW w:w="1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25%</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r>
      <w:tr>
        <w:trPr>
          <w:trHeight w:val="216"/>
        </w:trPr>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36,935</w:t>
            </w:r>
          </w:p>
        </w:tc>
        <w:tc>
          <w:tcPr>
            <w:tcW w:w="18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44,061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82,563</w:t>
            </w:r>
          </w:p>
        </w:tc>
      </w:tr>
      <w:tr>
        <w:trPr>
          <w:trHeight w:val="445"/>
        </w:trPr>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16"/>
        </w:trPr>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(2,045)</w:t>
            </w:r>
          </w:p>
        </w:tc>
        <w:tc>
          <w:tcPr>
            <w:tcW w:w="18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(5,056)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w:t>
            </w:r>
          </w:p>
        </w:tc>
      </w:tr>
      <w:tr>
        <w:trPr>
          <w:trHeight w:val="216"/>
        </w:trPr>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1,123</w:t>
            </w:r>
          </w:p>
        </w:tc>
        <w:tc>
          <w:tcPr>
            <w:tcW w:w="18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1,663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216"/>
        </w:trPr>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3,073</w:t>
            </w:r>
          </w:p>
        </w:tc>
        <w:tc>
          <w:tcPr>
            <w:tcW w:w="18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(112)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284"/>
        </w:trPr>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748</w:t>
            </w:r>
          </w:p>
        </w:tc>
        <w:tc>
          <w:tcPr>
            <w:tcW w:w="18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(207)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(17,087)</w:t>
            </w:r>
          </w:p>
        </w:tc>
      </w:tr>
      <w:tr>
        <w:trPr>
          <w:trHeight w:val="378"/>
        </w:trPr>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(39,612)</w:t>
            </w:r>
          </w:p>
        </w:tc>
        <w:tc>
          <w:tcPr>
            <w:tcW w:w="18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(40,399)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(61,320)</w:t>
            </w:r>
          </w:p>
        </w:tc>
      </w:tr>
    </w:tbl>
    <w:p>
      <w:pPr>
        <w:sectPr>
          <w:pgSz w:w="11900" w:h="16854" w:orient="portrait"/>
          <w:cols w:equalWidth="0" w:num="2">
            <w:col w:w="4420" w:space="720"/>
            <w:col w:w="4560"/>
          </w:cols>
          <w:pgMar w:left="1080" w:top="337" w:right="1119" w:bottom="0" w:gutter="0" w:footer="0" w:header="0"/>
          <w:type w:val="continuous"/>
        </w:sectPr>
      </w:pPr>
    </w:p>
    <w:bookmarkStart w:id="203" w:name="page204"/>
    <w:bookmarkEnd w:id="203"/>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temporary differences</w:t>
            </w:r>
          </w:p>
        </w:tc>
        <w:tc>
          <w:tcPr>
            <w:tcW w:w="20" w:type="dxa"/>
            <w:vAlign w:val="bottom"/>
          </w:tcPr>
          <w:p>
            <w:pPr>
              <w:spacing w:after="0"/>
              <w:rPr>
                <w:sz w:val="13"/>
                <w:szCs w:val="13"/>
                <w:color w:val="auto"/>
              </w:rPr>
            </w:pPr>
          </w:p>
        </w:tc>
        <w:tc>
          <w:tcPr>
            <w:tcW w:w="18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YEAR ENDED  </w:t>
            </w:r>
            <w:r>
              <w:rPr>
                <w:rFonts w:ascii="Times New Roman" w:cs="Times New Roman" w:eastAsia="Times New Roman" w:hAnsi="Times New Roman"/>
                <w:sz w:val="14"/>
                <w:szCs w:val="14"/>
                <w:color w:val="auto"/>
              </w:rPr>
              <w:t>(222)</w:t>
            </w:r>
          </w:p>
        </w:tc>
        <w:tc>
          <w:tcPr>
            <w:tcW w:w="40" w:type="dxa"/>
            <w:vAlign w:val="bottom"/>
          </w:tcPr>
          <w:p>
            <w:pPr>
              <w:spacing w:after="0"/>
              <w:rPr>
                <w:sz w:val="13"/>
                <w:szCs w:val="13"/>
                <w:color w:val="auto"/>
              </w:rPr>
            </w:pPr>
          </w:p>
        </w:tc>
        <w:tc>
          <w:tcPr>
            <w:tcW w:w="18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YEAR ENDED   </w:t>
            </w:r>
            <w:r>
              <w:rPr>
                <w:rFonts w:ascii="Times New Roman" w:cs="Times New Roman" w:eastAsia="Times New Roman" w:hAnsi="Times New Roman"/>
                <w:sz w:val="14"/>
                <w:szCs w:val="14"/>
                <w:color w:val="auto"/>
              </w:rPr>
              <w:t>49</w:t>
            </w:r>
          </w:p>
        </w:tc>
        <w:tc>
          <w:tcPr>
            <w:tcW w:w="2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 ENDED  </w:t>
            </w: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37"/>
        </w:trPr>
        <w:tc>
          <w:tcPr>
            <w:tcW w:w="39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Effective income</w:t>
            </w:r>
            <w:r>
              <w:rPr>
                <w:rFonts w:ascii="Times New Roman" w:cs="Times New Roman" w:eastAsia="Times New Roman" w:hAnsi="Times New Roman"/>
                <w:sz w:val="14"/>
                <w:szCs w:val="14"/>
                <w:i w:val="1"/>
                <w:iCs w:val="1"/>
                <w:color w:val="auto"/>
              </w:rPr>
              <w:t>(Inthousands</w:t>
            </w:r>
            <w:r>
              <w:rPr>
                <w:rFonts w:ascii="Times New Roman" w:cs="Times New Roman" w:eastAsia="Times New Roman" w:hAnsi="Times New Roman"/>
                <w:sz w:val="14"/>
                <w:szCs w:val="14"/>
                <w:b w:val="1"/>
                <w:bCs w:val="1"/>
                <w:color w:val="auto"/>
              </w:rPr>
              <w:t>tax(loss)</w:t>
            </w:r>
            <w:r>
              <w:rPr>
                <w:rFonts w:ascii="Times New Roman" w:cs="Times New Roman" w:eastAsia="Times New Roman" w:hAnsi="Times New Roman"/>
                <w:sz w:val="14"/>
                <w:szCs w:val="14"/>
                <w:i w:val="1"/>
                <w:iCs w:val="1"/>
                <w:color w:val="auto"/>
              </w:rPr>
              <w:t>of euros, except percentage)</w:t>
            </w:r>
          </w:p>
        </w:tc>
        <w:tc>
          <w:tcPr>
            <w:tcW w:w="20" w:type="dxa"/>
            <w:vAlign w:val="bottom"/>
          </w:tcPr>
          <w:p>
            <w:pPr>
              <w:spacing w:after="0"/>
              <w:rPr>
                <w:sz w:val="12"/>
                <w:szCs w:val="12"/>
                <w:color w:val="auto"/>
              </w:rPr>
            </w:pPr>
          </w:p>
        </w:tc>
        <w:tc>
          <w:tcPr>
            <w:tcW w:w="1560" w:type="dxa"/>
            <w:vAlign w:val="bottom"/>
          </w:tcPr>
          <w:p>
            <w:pPr>
              <w:ind w:left="20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56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81"/>
        </w:trPr>
        <w:tc>
          <w:tcPr>
            <w:tcW w:w="39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60" w:type="dxa"/>
            <w:vAlign w:val="bottom"/>
            <w:gridSpan w:val="3"/>
            <w:vMerge w:val="continue"/>
          </w:tcPr>
          <w:p>
            <w:pPr>
              <w:spacing w:after="0"/>
              <w:rPr>
                <w:sz w:val="7"/>
                <w:szCs w:val="7"/>
                <w:color w:val="auto"/>
              </w:rPr>
            </w:pPr>
          </w:p>
        </w:tc>
        <w:tc>
          <w:tcPr>
            <w:tcW w:w="180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(5,848)</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920" w:type="dxa"/>
            <w:vAlign w:val="bottom"/>
          </w:tcPr>
          <w:p>
            <w:pPr>
              <w:ind w:left="1300"/>
              <w:spacing w:after="0"/>
              <w:rPr>
                <w:sz w:val="20"/>
                <w:szCs w:val="20"/>
                <w:color w:val="auto"/>
              </w:rPr>
            </w:pPr>
            <w:r>
              <w:rPr>
                <w:rFonts w:ascii="Times New Roman" w:cs="Times New Roman" w:eastAsia="Times New Roman" w:hAnsi="Times New Roman"/>
                <w:sz w:val="14"/>
                <w:szCs w:val="14"/>
                <w:i w:val="1"/>
                <w:iCs w:val="1"/>
                <w:color w:val="auto"/>
              </w:rPr>
              <w:t>(In thousands of euros)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DEFERRED TAX ASSETS AND LIABILITIES BY</w:t>
            </w:r>
          </w:p>
        </w:tc>
        <w:tc>
          <w:tcPr>
            <w:tcW w:w="20" w:type="dxa"/>
            <w:vAlign w:val="bottom"/>
          </w:tcPr>
          <w:p>
            <w:pPr>
              <w:spacing w:after="0"/>
              <w:rPr>
                <w:sz w:val="21"/>
                <w:szCs w:val="21"/>
                <w:color w:val="auto"/>
              </w:rPr>
            </w:pPr>
          </w:p>
        </w:tc>
        <w:tc>
          <w:tcPr>
            <w:tcW w:w="15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NATURE</w:t>
            </w:r>
          </w:p>
        </w:tc>
        <w:tc>
          <w:tcPr>
            <w:tcW w:w="2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6"/>
                <w:szCs w:val="16"/>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50"/>
        </w:trPr>
        <w:tc>
          <w:tcPr>
            <w:tcW w:w="39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Retirement benefit obligation</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6"/>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Leases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Provisions for AGA taxes</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0" w:type="dxa"/>
            <w:vAlign w:val="bottom"/>
          </w:tcPr>
          <w:p>
            <w:pPr>
              <w:spacing w:after="0"/>
              <w:rPr>
                <w:sz w:val="1"/>
                <w:szCs w:val="1"/>
                <w:color w:val="auto"/>
              </w:rPr>
            </w:pPr>
          </w:p>
        </w:tc>
      </w:tr>
      <w:tr>
        <w:trPr>
          <w:trHeight w:val="216"/>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 losses carryforward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114,946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152,372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228,239</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Other items</w:t>
            </w: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155,715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241,894</w:t>
            </w:r>
          </w:p>
        </w:tc>
        <w:tc>
          <w:tcPr>
            <w:tcW w:w="0" w:type="dxa"/>
            <w:vAlign w:val="bottom"/>
          </w:tcPr>
          <w:p>
            <w:pPr>
              <w:spacing w:after="0"/>
              <w:rPr>
                <w:sz w:val="1"/>
                <w:szCs w:val="1"/>
                <w:color w:val="auto"/>
              </w:rPr>
            </w:pPr>
          </w:p>
        </w:tc>
      </w:tr>
      <w:tr>
        <w:trPr>
          <w:trHeight w:val="176"/>
        </w:trPr>
        <w:tc>
          <w:tcPr>
            <w:tcW w:w="39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Subsidies</w:t>
            </w:r>
          </w:p>
        </w:tc>
        <w:tc>
          <w:tcPr>
            <w:tcW w:w="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16"/>
        </w:trPr>
        <w:tc>
          <w:tcPr>
            <w:tcW w:w="3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Royalty certificates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17,208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Other items</w:t>
            </w:r>
          </w:p>
        </w:tc>
        <w:tc>
          <w:tcPr>
            <w:tcW w:w="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17,616</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Deferred tax assets, net</w:t>
            </w: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115,562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154,131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224,279</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Unrecognized deferred tax assets</w:t>
            </w:r>
          </w:p>
        </w:tc>
        <w:tc>
          <w:tcPr>
            <w:tcW w:w="1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(115,562)</w:t>
            </w:r>
          </w:p>
        </w:tc>
        <w:tc>
          <w:tcPr>
            <w:tcW w:w="20" w:type="dxa"/>
            <w:vAlign w:val="bottom"/>
            <w:shd w:val="clear" w:color="auto" w:fill="CCEEFF"/>
          </w:tcPr>
          <w:p>
            <w:pPr>
              <w:spacing w:after="0"/>
              <w:rPr>
                <w:sz w:val="16"/>
                <w:szCs w:val="16"/>
                <w:color w:val="auto"/>
              </w:rPr>
            </w:pPr>
          </w:p>
        </w:tc>
        <w:tc>
          <w:tcPr>
            <w:tcW w:w="1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(154,131)</w:t>
            </w:r>
          </w:p>
        </w:tc>
        <w:tc>
          <w:tcPr>
            <w:tcW w:w="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(230,127)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deferred taxes, net recognized in the statement of</w:t>
            </w: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(5,848)</w:t>
            </w:r>
          </w:p>
        </w:tc>
        <w:tc>
          <w:tcPr>
            <w:tcW w:w="0" w:type="dxa"/>
            <w:vAlign w:val="bottom"/>
          </w:tcPr>
          <w:p>
            <w:pPr>
              <w:spacing w:after="0"/>
              <w:rPr>
                <w:sz w:val="1"/>
                <w:szCs w:val="1"/>
                <w:color w:val="auto"/>
              </w:rPr>
            </w:pPr>
          </w:p>
        </w:tc>
      </w:tr>
      <w:tr>
        <w:trPr>
          <w:trHeight w:val="96"/>
        </w:trPr>
        <w:tc>
          <w:tcPr>
            <w:tcW w:w="392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financial position</w:t>
            </w: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gridSpan w:val="3"/>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-3248025</wp:posOffset>
            </wp:positionV>
            <wp:extent cx="7016115" cy="53854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7016115" cy="5385435"/>
                    </a:xfrm>
                    <a:prstGeom prst="rect">
                      <a:avLst/>
                    </a:prstGeom>
                    <a:noFill/>
                  </pic:spPr>
                </pic:pic>
              </a:graphicData>
            </a:graphic>
          </wp:anchor>
        </w:drawing>
      </w:r>
    </w:p>
    <w:p>
      <w:pPr>
        <w:spacing w:after="0" w:line="23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Group incurred tax losses in the reporting periods ended December 31, 2023, 2024 and 2025. As the recoverability of these tax losses is not considered probable in subsequent periods due to the uncertainties inherent in the Group’s business, the Group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laws in France and in the U.S..</w:t>
      </w:r>
    </w:p>
    <w:p>
      <w:pPr>
        <w:spacing w:after="0" w:line="19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As of December 31, 2025, the €17,208 thousand deferred tax liability on royalty certificates results from the difference between (i) the amount already deducted from the Company's taxable income as of December 31, 2025 (based on the certificates' fair value minus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50482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7016115" cy="504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subscription price) and (ii) the amount of the related financial liability recognized in the Group's Statements of Financial Position at that date (measured at amortized cost using the original EIR).</w:t>
      </w:r>
    </w:p>
    <w:p>
      <w:pPr>
        <w:ind w:right="180"/>
        <w:spacing w:after="0" w:line="260" w:lineRule="auto"/>
        <w:rPr>
          <w:sz w:val="20"/>
          <w:szCs w:val="20"/>
          <w:color w:val="auto"/>
        </w:rPr>
      </w:pPr>
      <w:r>
        <w:rPr>
          <w:rFonts w:ascii="Times New Roman" w:cs="Times New Roman" w:eastAsia="Times New Roman" w:hAnsi="Times New Roman"/>
          <w:sz w:val="18"/>
          <w:szCs w:val="18"/>
          <w:color w:val="auto"/>
        </w:rPr>
        <w:t>As of December 31, 2024 and 2023, this difference resulted in a deferred tax asset of respectively €1,427 thousand (classified within the "Other financial liabilities" line item) and €0.</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the Group has assessed the expected reversal of temporary taxable and deductible differences existing at the reporting date. The timing of reversal of the taxable difference on royalty certificates was estimated under the same cash flow schedule and discount rate assumptions as the certificates' fair value as of December 31, 2025 (see Note 15.9).</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Based on this assessment, under the above recoverability assumption and after taking into account the limitations on the use of deductible tax losses carried forward in France, the Group determined that deferred tax assets amounting to €11,720 thousand should be recognized as the related deductible temporary differences and losses carried forward will reverse and be utilized against future taxable temporary differences in the same periods in this jurisdiction.</w:t>
      </w:r>
    </w:p>
    <w:p>
      <w:pPr>
        <w:spacing w:after="0" w:line="2"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As a result, the net deferred tax position of the Group as of December 31, 2025 is a deferred tax liability of €5,848 thousand, relating to royalty certificates.</w:t>
      </w:r>
    </w:p>
    <w:p>
      <w:pPr>
        <w:spacing w:after="0" w:line="1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accumulated tax loss carry </w:t>
      </w:r>
      <w:r>
        <w:rPr>
          <w:rFonts w:ascii="Times New Roman" w:cs="Times New Roman" w:eastAsia="Times New Roman" w:hAnsi="Times New Roman"/>
          <w:sz w:val="18"/>
          <w:szCs w:val="18"/>
          <w:color w:val="auto"/>
          <w:highlight w:val="white"/>
        </w:rPr>
        <w:t>forwards for the Company amount to</w:t>
      </w:r>
      <w:r>
        <w:rPr>
          <w:rFonts w:ascii="Times New Roman" w:cs="Times New Roman" w:eastAsia="Times New Roman" w:hAnsi="Times New Roman"/>
          <w:sz w:val="18"/>
          <w:szCs w:val="18"/>
          <w:color w:val="auto"/>
        </w:rPr>
        <w:t xml:space="preserve"> €459,752 thousand, €609,390 thousand </w:t>
      </w:r>
      <w:r>
        <w:rPr>
          <w:rFonts w:ascii="Times New Roman" w:cs="Times New Roman" w:eastAsia="Times New Roman" w:hAnsi="Times New Roman"/>
          <w:sz w:val="18"/>
          <w:szCs w:val="18"/>
          <w:color w:val="auto"/>
          <w:highlight w:val="white"/>
        </w:rPr>
        <w:t>and</w:t>
      </w:r>
      <w:r>
        <w:rPr>
          <w:rFonts w:ascii="Times New Roman" w:cs="Times New Roman" w:eastAsia="Times New Roman" w:hAnsi="Times New Roman"/>
          <w:sz w:val="18"/>
          <w:szCs w:val="18"/>
          <w:color w:val="auto"/>
        </w:rPr>
        <w:t xml:space="preserve"> €911,776 thousand as of December 31, 2023, 2024 and 2025, respectively. In France, unused tax losses do not have any expiration date; however, their annual utilization is limited to €1 million plus 50% of the taxable profit exceeding that amount.</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accumulated tax loss carry forwards for the U.S. Subsidiary consist of federal Net Operating Loss ("NOL") carry forwards and amount to €38 thousand, €112 thousand and €1,083 thousand as of December 31, 2023, 2024 and 2025, respectively. They do not have any expiration date.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Income (loss) per share</w:t>
      </w:r>
    </w:p>
    <w:p>
      <w:pPr>
        <w:spacing w:after="0" w:line="148"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231F20"/>
        </w:rPr>
        <w:t>Basic losses per share is calculated by dividing income (loss) attributable to equity holders of the Group by the weighted-average number of outstanding ordinary shares for the year.</w:t>
      </w:r>
    </w:p>
    <w:p>
      <w:pPr>
        <w:spacing w:after="0" w:line="14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231F20"/>
        </w:rPr>
        <w:t>Diluted losses per share are calculated by adjusting the weighted average number of ordinary outstanding shares to assume conversion of all dilutive potential ordinary shares.</w:t>
      </w:r>
    </w:p>
    <w:p>
      <w:pPr>
        <w:sectPr>
          <w:pgSz w:w="11900" w:h="16860" w:orient="portrait"/>
          <w:cols w:equalWidth="0" w:num="1">
            <w:col w:w="9720"/>
          </w:cols>
          <w:pgMar w:left="1080" w:top="87" w:right="1099" w:bottom="0" w:gutter="0" w:footer="0" w:header="0"/>
        </w:sectPr>
      </w:pPr>
    </w:p>
    <w:bookmarkStart w:id="204" w:name="page205"/>
    <w:bookmarkEnd w:id="204"/>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0138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7016115" cy="40138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720" w:type="dxa"/>
            <w:vAlign w:val="bottom"/>
          </w:tcPr>
          <w:p>
            <w:pPr>
              <w:ind w:left="400"/>
              <w:spacing w:after="0"/>
              <w:rPr>
                <w:sz w:val="20"/>
                <w:szCs w:val="20"/>
                <w:color w:val="auto"/>
              </w:rPr>
            </w:pPr>
            <w:r>
              <w:rPr>
                <w:rFonts w:ascii="Times New Roman" w:cs="Times New Roman" w:eastAsia="Times New Roman" w:hAnsi="Times New Roman"/>
                <w:sz w:val="14"/>
                <w:szCs w:val="14"/>
                <w:i w:val="1"/>
                <w:iCs w:val="1"/>
                <w:color w:val="auto"/>
              </w:rPr>
              <w:t>(amounts in thousands of euros, except share data)</w:t>
            </w: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 AND DILUTED LOSS PER SHARE</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7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Weighted average number of outstanding shares</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43,066,012</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63,046,350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69,527,315</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Net loss for the period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(147,740)</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(176,242)</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(336,102)</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Basic and diluted loss per share (€/share)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(3.43)</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40" w:right="120"/>
        <w:spacing w:after="0" w:line="242" w:lineRule="auto"/>
        <w:rPr>
          <w:sz w:val="20"/>
          <w:szCs w:val="20"/>
          <w:color w:val="auto"/>
        </w:rPr>
      </w:pPr>
      <w:r>
        <w:rPr>
          <w:rFonts w:ascii="Times New Roman" w:cs="Times New Roman" w:eastAsia="Times New Roman" w:hAnsi="Times New Roman"/>
          <w:sz w:val="18"/>
          <w:szCs w:val="18"/>
          <w:color w:val="auto"/>
        </w:rPr>
        <w:t>Potential dilutive instruments (BCEs, BSAs, AGAs, BSA Kreos 1, OCEANE, Kreos/Claret BSA, Kreos/Claret OCABSA and Height notes) have been excluded from the computation of diluted weighted-average shares outstanding because such instruments had an antidilutive impact due to the losses reported. As of December 31, 2023, 2024 and 2025, the number of potential dilutive instruments were 28,754,280, 29,570,132 and 8,857,084 respectively, giving rights to a maximum number of shares to be issued of 6,510,658, 6,760,392 and 8,857,084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64198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016115" cy="641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Related parties</w:t>
      </w:r>
    </w:p>
    <w:p>
      <w:pPr>
        <w:spacing w:after="0" w:line="148" w:lineRule="exact"/>
        <w:rPr>
          <w:sz w:val="20"/>
          <w:szCs w:val="20"/>
          <w:color w:val="auto"/>
        </w:rPr>
      </w:pPr>
    </w:p>
    <w:p>
      <w:pPr>
        <w:ind w:left="140" w:right="400"/>
        <w:spacing w:after="0" w:line="266" w:lineRule="auto"/>
        <w:rPr>
          <w:sz w:val="20"/>
          <w:szCs w:val="20"/>
          <w:color w:val="auto"/>
        </w:rPr>
      </w:pPr>
      <w:r>
        <w:rPr>
          <w:rFonts w:ascii="Times New Roman" w:cs="Times New Roman" w:eastAsia="Times New Roman" w:hAnsi="Times New Roman"/>
          <w:sz w:val="18"/>
          <w:szCs w:val="18"/>
          <w:color w:val="auto"/>
        </w:rPr>
        <w:t>The aggregate compensation of the members of the Group’s Board of Directors and to the Chief Executive Officer includes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ind w:left="1520"/>
              <w:spacing w:after="0"/>
              <w:rPr>
                <w:sz w:val="20"/>
                <w:szCs w:val="20"/>
                <w:color w:val="auto"/>
              </w:rPr>
            </w:pPr>
            <w:r>
              <w:rPr>
                <w:rFonts w:ascii="Times New Roman" w:cs="Times New Roman" w:eastAsia="Times New Roman" w:hAnsi="Times New Roman"/>
                <w:sz w:val="14"/>
                <w:szCs w:val="14"/>
                <w:i w:val="1"/>
                <w:iCs w:val="1"/>
                <w:color w:val="auto"/>
              </w:rPr>
              <w:t>(In thousands of euros)</w:t>
            </w:r>
          </w:p>
        </w:tc>
        <w:tc>
          <w:tcPr>
            <w:tcW w:w="1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Fixed compensation owed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11"/>
        </w:trPr>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Variable compensation owed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21"/>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Contributions in-kind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1"/>
        </w:trPr>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Employer contributions</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Attendance fees—board of directors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211"/>
        </w:trPr>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Share-based 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10,517</w:t>
            </w:r>
          </w:p>
        </w:tc>
        <w:tc>
          <w:tcPr>
            <w:tcW w:w="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Consulting fees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36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8,930</w:t>
            </w:r>
          </w:p>
        </w:tc>
        <w:tc>
          <w:tcPr>
            <w:tcW w:w="40" w:type="dxa"/>
            <w:vAlign w:val="bottom"/>
            <w:tcBorders>
              <w:top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11,657</w:t>
            </w:r>
          </w:p>
        </w:tc>
        <w:tc>
          <w:tcPr>
            <w:tcW w:w="40" w:type="dxa"/>
            <w:vAlign w:val="bottom"/>
            <w:tcBorders>
              <w:top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there was no liability related to post-employment defined benefit obligations for members of the Group’s Board of Directors and Chief Executive Officer. No other post-employment benefits are granted.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arrangements with our Directors and Executive Officers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Group entered into an intellectual property assignment agreement with CEO Hartmut Ehrlich on July 7, 2021. The purpose of this agreement is to transfer to the Group all the intellectual property rights held by Hartmut Ehrlich on certain patents of which he is a co-inventor. No compensation has been paid in respect of this transfer.</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8"/>
          <w:szCs w:val="18"/>
          <w:color w:val="auto"/>
        </w:rPr>
        <w:t>In connection with Dr. Hartmut Ehrlich’s retirement as CEO, the Group entered into a transition protocol with Dr. Ehrlich in April 2023. Pursuant to the transition protocol, Dr. Ehrlich remained a Group employee on a part-time basis until December 31, 2023 in a capacity as advisor to the new Chief Executive Officer against payment of a total compensation of €100 thousand, and a departure indemnity equal to €1,210 thousand was stated.</w:t>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The Group entered into a management contract with CEO Marc de Garidel on April 18, 2023. In 2023, 2024 and 2025 the Group also granted AGA plans to its CEO (see terms and conditions in Note 14).</w:t>
      </w:r>
    </w:p>
    <w:p>
      <w:pPr>
        <w:spacing w:after="0" w:line="1"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8"/>
          <w:szCs w:val="18"/>
          <w:color w:val="auto"/>
        </w:rPr>
        <w:t>The Group entered into a management contract with Chairman of the Board Sylvie Grégoire in July 2024. In 2024 and 2025, the Group also granted BSA plans to its Chairman of the Board (see terms and conditions in Note 14).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Off-balance sheet commitments given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25.1. Commitments under collaboration, research, service provision and licensing agreements granted by the Group</w:t>
      </w:r>
    </w:p>
    <w:p>
      <w:pPr>
        <w:spacing w:after="0" w:line="79"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18"/>
          <w:szCs w:val="18"/>
          <w:i w:val="1"/>
          <w:iCs w:val="1"/>
          <w:color w:val="auto"/>
        </w:rPr>
        <w:t>Collaboration, research and development, and licensing agreements, and licensing options related to the “Modulation of RNA biogenesis” platform.</w:t>
      </w:r>
    </w:p>
    <w:p>
      <w:pPr>
        <w:spacing w:after="0" w:line="34" w:lineRule="exact"/>
        <w:rPr>
          <w:sz w:val="20"/>
          <w:szCs w:val="20"/>
          <w:color w:val="auto"/>
        </w:rPr>
      </w:pPr>
    </w:p>
    <w:p>
      <w:pPr>
        <w:ind w:left="1000" w:hanging="336"/>
        <w:spacing w:after="0"/>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Exclusive licensing agreement with the CNRS, the University of Montpellier and the Institut Curie</w:t>
      </w:r>
    </w:p>
    <w:p>
      <w:pPr>
        <w:sectPr>
          <w:pgSz w:w="11900" w:h="16860" w:orient="portrait"/>
          <w:cols w:equalWidth="0" w:num="1">
            <w:col w:w="9680"/>
          </w:cols>
          <w:pgMar w:left="1080" w:top="317" w:right="1139" w:bottom="0" w:gutter="0" w:footer="0" w:header="0"/>
        </w:sectPr>
      </w:pPr>
    </w:p>
    <w:bookmarkStart w:id="205" w:name="page206"/>
    <w:bookmarkEnd w:id="205"/>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6422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016115" cy="2642235"/>
                    </a:xfrm>
                    <a:prstGeom prst="rect">
                      <a:avLst/>
                    </a:prstGeom>
                    <a:noFill/>
                  </pic:spPr>
                </pic:pic>
              </a:graphicData>
            </a:graphic>
          </wp:anchor>
        </w:drawing>
        <w:t>On December 4, 2008, the French National Centre for Scientific Research (CNRS), the University of Montpellier and</w:t>
      </w:r>
    </w:p>
    <w:p>
      <w:pPr>
        <w:spacing w:after="0" w:line="2" w:lineRule="exact"/>
        <w:rPr>
          <w:sz w:val="20"/>
          <w:szCs w:val="20"/>
          <w:color w:val="auto"/>
        </w:rPr>
      </w:pPr>
    </w:p>
    <w:p>
      <w:pPr>
        <w:ind w:left="1000" w:right="200"/>
        <w:spacing w:after="0" w:line="220" w:lineRule="auto"/>
        <w:rPr>
          <w:sz w:val="20"/>
          <w:szCs w:val="20"/>
          <w:color w:val="auto"/>
        </w:rPr>
      </w:pPr>
      <w:r>
        <w:rPr>
          <w:rFonts w:ascii="Times New Roman" w:cs="Times New Roman" w:eastAsia="Times New Roman" w:hAnsi="Times New Roman"/>
          <w:sz w:val="17"/>
          <w:szCs w:val="17"/>
          <w:color w:val="auto"/>
        </w:rPr>
        <w:t>the Institut Curie granted the Group four exclusive licenses. These licenses cover the use of their technology and products by the Group in the field of human and veterinary health relating to the use of synthetic products modifying mRNA splicing, for research, diagnosis, prevention and treatment of any possible indication. The licensing agreement</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includes low single-digit royalties based on future net sales to be paid by the Group.</w:t>
      </w:r>
    </w:p>
    <w:p>
      <w:pPr>
        <w:spacing w:after="0" w:line="53" w:lineRule="exact"/>
        <w:rPr>
          <w:sz w:val="20"/>
          <w:szCs w:val="20"/>
          <w:color w:val="auto"/>
        </w:rPr>
      </w:pPr>
    </w:p>
    <w:p>
      <w:pPr>
        <w:ind w:left="1000" w:right="80" w:hanging="336"/>
        <w:spacing w:after="0" w:line="239"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and development contract with license option with the CNRS, the University of Montpellier and Theradiag </w:t>
      </w:r>
      <w:r>
        <w:rPr>
          <w:rFonts w:ascii="Times New Roman" w:cs="Times New Roman" w:eastAsia="Times New Roman" w:hAnsi="Times New Roman"/>
          <w:sz w:val="18"/>
          <w:szCs w:val="18"/>
          <w:color w:val="auto"/>
        </w:rPr>
        <w:t>The CNRS, the University of Montpellier, the Group and Theradiag conducted since 2013 a collaborative project notably in the fields of HIV and HTLV-1 called CARENA, in connection with a funding obtained through Bpifrance. The overall project provided for co-ownership and cross-licenses on the project's results through various instruments. The Group met all obligations and the project was closed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779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016115" cy="779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i w:val="1"/>
          <w:iCs w:val="1"/>
          <w:color w:val="auto"/>
        </w:rPr>
        <w:t>Exclusive licensing contract with “The Scripps Research Institute, University of Chicago and Brigham Young University” with the “Immune Stimulation” platform (ABX196 product)</w:t>
      </w:r>
    </w:p>
    <w:p>
      <w:pPr>
        <w:spacing w:after="0" w:line="64"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7"/>
          <w:szCs w:val="17"/>
          <w:color w:val="auto"/>
        </w:rPr>
        <w:t>On 11 November 2006, The Scripps Research Institute (La Jolla, California, USA), in agreement with the University of Chicago (Chicago, Illinois, USA) and Brigham Young University (Provo, Utah, USA), granted the Group an exclusive license in the field of human and veterinary health on its technology and products relating to the use of iNKT agonists for research, diagnosis, prevention</w:t>
      </w:r>
    </w:p>
    <w:p>
      <w:pPr>
        <w:spacing w:after="0"/>
        <w:rPr>
          <w:sz w:val="20"/>
          <w:szCs w:val="20"/>
          <w:color w:val="auto"/>
        </w:rPr>
      </w:pPr>
      <w:r>
        <w:rPr>
          <w:rFonts w:ascii="Times New Roman" w:cs="Times New Roman" w:eastAsia="Times New Roman" w:hAnsi="Times New Roman"/>
          <w:sz w:val="18"/>
          <w:szCs w:val="18"/>
          <w:color w:val="auto"/>
        </w:rPr>
        <w:t>and treatment of all possible indications. In consideration for the licensing rights granted to it under the agreement, the Group had to:</w:t>
      </w:r>
    </w:p>
    <w:p>
      <w:pPr>
        <w:spacing w:after="0" w:line="57" w:lineRule="exact"/>
        <w:rPr>
          <w:sz w:val="20"/>
          <w:szCs w:val="20"/>
          <w:color w:val="auto"/>
        </w:rPr>
      </w:pPr>
    </w:p>
    <w:p>
      <w:pPr>
        <w:ind w:left="1000" w:hanging="336"/>
        <w:spacing w:after="0" w:line="224"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50" w:lineRule="exact"/>
        <w:rPr>
          <w:rFonts w:ascii="Times New Roman" w:cs="Times New Roman" w:eastAsia="Times New Roman" w:hAnsi="Times New Roman"/>
          <w:sz w:val="18"/>
          <w:szCs w:val="18"/>
          <w:color w:val="auto"/>
        </w:rPr>
      </w:pPr>
    </w:p>
    <w:p>
      <w:pPr>
        <w:ind w:left="1000" w:right="200" w:hanging="336"/>
        <w:spacing w:after="0" w:line="231"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Scripps Research Institute, University of Chicago and Brigham Young University an equitable interest in the Group (as of the date of these financial statements, these three academic institutions hold 0.41% of the Group’s undiluted capital).</w:t>
      </w:r>
    </w:p>
    <w:p>
      <w:pPr>
        <w:spacing w:after="0" w:line="158"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the Group made the decision to freeze the development program for ABX196 in the treatment of hepatocellular cancer. Subsequently, in 2024, the licensing contract was terminated.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25.2. Commitments under BPI conditional advances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Bpifrance CARENA contract</w:t>
      </w:r>
    </w:p>
    <w:p>
      <w:pPr>
        <w:spacing w:after="0" w:line="92" w:lineRule="exact"/>
        <w:rPr>
          <w:sz w:val="20"/>
          <w:szCs w:val="20"/>
          <w:color w:val="auto"/>
        </w:rPr>
      </w:pPr>
    </w:p>
    <w:p>
      <w:pPr>
        <w:jc w:val="both"/>
        <w:ind w:right="80"/>
        <w:spacing w:after="0" w:line="216" w:lineRule="auto"/>
        <w:rPr>
          <w:sz w:val="20"/>
          <w:szCs w:val="20"/>
          <w:color w:val="auto"/>
        </w:rPr>
      </w:pPr>
      <w:r>
        <w:rPr>
          <w:rFonts w:ascii="Times New Roman" w:cs="Times New Roman" w:eastAsia="Times New Roman" w:hAnsi="Times New Roman"/>
          <w:sz w:val="18"/>
          <w:szCs w:val="18"/>
          <w:color w:val="auto"/>
        </w:rPr>
        <w:t>As part of the development of therapeutic and diagnostic solutions targeting alternative splicing and RNA interference in the fields of virology (HIV-AIDS, HTLV-1) and metabolism (obesity), SPLICOS (absorbed by the Group on 31 October 2014) has entered into a Master Support Agreement with Bpifrance as well as a conditional advance contract in the name of the “CARENA” Strategic</w:t>
      </w:r>
    </w:p>
    <w:p>
      <w:pPr>
        <w:spacing w:after="0" w:line="1"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Industrial Innovation Project dated December 16, 2013. The Group, acting as project leader for the CARENA project, was associated as part of a consortium contract with Theradiag, a Group specializing in in vitro diagnostics and the development of theranostic tests for monitoring biotherapies, as well as at the CNRS and the University of Montpellier.</w:t>
      </w:r>
    </w:p>
    <w:p>
      <w:pPr>
        <w:spacing w:after="0" w:line="172"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7"/>
          <w:szCs w:val="17"/>
          <w:color w:val="auto"/>
        </w:rPr>
        <w:t>The CARENA project aimed to develop the anti-HIV-AIDS therapeutic program with the compound ABX464 up to the Phase 2b study, as well as a companion test set up by Theradiag simultaneously with the clinical development. Beyond the anti-HIV-AIDS program, the CARENA project could extend its pharmacological investigations to another retrovirus that could be combated by the</w:t>
      </w:r>
    </w:p>
    <w:p>
      <w:pPr>
        <w:spacing w:after="0"/>
        <w:rPr>
          <w:sz w:val="20"/>
          <w:szCs w:val="20"/>
          <w:color w:val="auto"/>
        </w:rPr>
      </w:pPr>
      <w:r>
        <w:rPr>
          <w:rFonts w:ascii="Times New Roman" w:cs="Times New Roman" w:eastAsia="Times New Roman" w:hAnsi="Times New Roman"/>
          <w:sz w:val="18"/>
          <w:szCs w:val="18"/>
          <w:color w:val="auto"/>
        </w:rPr>
        <w:t>same approach: HTLV-1.</w:t>
      </w:r>
    </w:p>
    <w:p>
      <w:pPr>
        <w:spacing w:after="0" w:line="1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Group is committed to reimbursing the received conditional advances up to €3,840 thousand. The Group will also have to pay an annuity of 50% of the proceeds from the sale of the intellectual property rights resulting from the project, as well as the sale of the prototypes, preproduction and models produced under the project; the sum due to Bpifrance under this provision will be deducted from the repayment of the conditional advances. In addition, if the advance is repaid under the conditions outlined above, the Group will pay to Bpifrance, over a period of five consecutive years after the date on which the repayment schedule ends and provided that the Group has reached cumulative pre-tax revenue greater than or equal to €50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19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June 2024, the Group and Bpifrance agreed to terminate the project due to technical failure. Termination became effective in December 2024 after the Group refunded €234 thousand corresponding to a portion of the funding received. The Group is therefore released of its obligations to pay an annuities on the proceeds from the sale of the intellectual property rights resulting from the project.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Bpifrance RNP-VIR contract</w:t>
      </w:r>
    </w:p>
    <w:p>
      <w:pPr>
        <w:spacing w:after="0" w:line="92"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In pursuit of the CARENA project, focused on the clinical development of a drug molecule and demonstrating the validity of an innovative therapeutic approach targeting viral RNPs, the Group has entered into a Master Support Agreement with Bpifrance as well as a beneficiary agreement with conditional advance for the “RNP-VIR” structuring research and development project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competitiveness dated December 16, 2016.</w:t>
      </w:r>
    </w:p>
    <w:p>
      <w:pPr>
        <w:sectPr>
          <w:pgSz w:w="11900" w:h="16838" w:orient="portrait"/>
          <w:cols w:equalWidth="0" w:num="1">
            <w:col w:w="9680"/>
          </w:cols>
          <w:pgMar w:left="1080" w:top="162" w:right="1139" w:bottom="0" w:gutter="0" w:footer="0" w:header="0"/>
        </w:sectPr>
      </w:pPr>
    </w:p>
    <w:bookmarkStart w:id="206" w:name="page207"/>
    <w:bookmarkEnd w:id="206"/>
    <w:p>
      <w:pPr>
        <w:ind w:right="320"/>
        <w:spacing w:after="0" w:line="189" w:lineRule="auto"/>
        <w:rPr>
          <w:sz w:val="20"/>
          <w:szCs w:val="20"/>
          <w:color w:val="auto"/>
        </w:rPr>
      </w:pPr>
      <w:r>
        <w:rPr>
          <w:rFonts w:ascii="Times New Roman" w:cs="Times New Roman" w:eastAsia="Times New Roman" w:hAnsi="Times New Roman"/>
          <w:sz w:val="16"/>
          <w:szCs w:val="16"/>
          <w:color w:val="auto"/>
        </w:rPr>
        <w:t>The RNP-VIR project aimed to further the discovery of new molecules for the treatment of multiple infectious diseases by the development of the antiviral technology platform. The Group, acting as project leader of the RNP-VIR project, was associated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-163195</wp:posOffset>
            </wp:positionV>
            <wp:extent cx="7016115" cy="12706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7016115" cy="1270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consortium contract with the CNRS and the University of Montpellier.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90735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The Group is committed to reimburse the received conditional advances up to €6,576 thousand. If applicable, the Group will also have to pay an annuity of 50% of the proceeds from the sale of the intellectual property rights resulting from the project, as well as the sale</w:t>
      </w:r>
    </w:p>
    <w:p>
      <w:pPr>
        <w:ind w:right="560"/>
        <w:spacing w:after="0" w:line="226" w:lineRule="auto"/>
        <w:rPr>
          <w:sz w:val="20"/>
          <w:szCs w:val="20"/>
          <w:color w:val="auto"/>
        </w:rPr>
      </w:pPr>
      <w:r>
        <w:rPr>
          <w:rFonts w:ascii="Times New Roman" w:cs="Times New Roman" w:eastAsia="Times New Roman" w:hAnsi="Times New Roman"/>
          <w:sz w:val="18"/>
          <w:szCs w:val="18"/>
          <w:color w:val="auto"/>
        </w:rPr>
        <w:t>of the prototypes, preproduction and models produced under the project. The sum due to Bpifrance under this provision will be deducted from the last payment (and if needed from the previous payments).</w:t>
      </w:r>
    </w:p>
    <w:p>
      <w:pPr>
        <w:spacing w:after="0" w:line="18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If the advance is repaid under the conditions outlined above, the Group will pay to Bpifrance, over a period of five consecutive years following the date on which the repayment schedule ends and provided that the Group has reached cumulative pre-tax revenue greater</w:t>
      </w:r>
    </w:p>
    <w:p>
      <w:pPr>
        <w:ind w:right="20"/>
        <w:spacing w:after="0" w:line="218" w:lineRule="auto"/>
        <w:rPr>
          <w:sz w:val="20"/>
          <w:szCs w:val="20"/>
          <w:color w:val="auto"/>
        </w:rPr>
      </w:pPr>
      <w:r>
        <w:rPr>
          <w:rFonts w:ascii="Times New Roman" w:cs="Times New Roman" w:eastAsia="Times New Roman" w:hAnsi="Times New Roman"/>
          <w:sz w:val="18"/>
          <w:szCs w:val="18"/>
          <w:color w:val="auto"/>
        </w:rPr>
        <w:t>than or equal to €25 million, an amount equal to 3% of the annual revenue generated from the sale of products developed as part of the project. The supplementary payments amount is capped at €5,500 thousand. The total period, including fixed payments and incentive payments, is limited to 15 years.</w:t>
      </w:r>
    </w:p>
    <w:p>
      <w:pPr>
        <w:spacing w:after="0" w:line="17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June 2024, the Group and Bpifrance agreed to terminate the project due to technical failure. Termination became effective in December 2024. The Group is therefore released of its obligations to pay an annuities on the proceeds from the sale of the intellectual property rights resulting from the project.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Bpifrance Ebola</w:t>
      </w:r>
    </w:p>
    <w:p>
      <w:pPr>
        <w:spacing w:after="0" w:line="79"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The Bpifrance and Occitanie Region joint support agreement granted on June 2, 2017 consists of conditional advances to the Group for a total amount of up to €390 thousand, based on the success of the program (respectively €130 thousand from the Languedoc</w:t>
      </w:r>
    </w:p>
    <w:p>
      <w:pPr>
        <w:ind w:right="40"/>
        <w:spacing w:after="0" w:line="218" w:lineRule="auto"/>
        <w:rPr>
          <w:sz w:val="20"/>
          <w:szCs w:val="20"/>
          <w:color w:val="auto"/>
        </w:rPr>
      </w:pPr>
      <w:r>
        <w:rPr>
          <w:rFonts w:ascii="Times New Roman" w:cs="Times New Roman" w:eastAsia="Times New Roman" w:hAnsi="Times New Roman"/>
          <w:sz w:val="18"/>
          <w:szCs w:val="18"/>
          <w:color w:val="auto"/>
        </w:rPr>
        <w:t>Roussillon Midi Pyrénées Region and €260 thousand from Bpifrance). In September 2019, the Group decided to terminate this program, due to the existence of a vaccine in the process of being licensed for this indication as well as changes in the macroeconomic climate for public funding.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reimbursement of the conditional advance was spread until June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25.3. Pledge assets to Kreos, Claret and Heights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KREOS 1 &amp; 2 bonds, Kreos benefits from first-rate collateral on the Group’s principal tangible and intangible assets,</w:t>
      </w:r>
    </w:p>
    <w:p>
      <w:pPr>
        <w:spacing w:after="0" w:line="2" w:lineRule="exact"/>
        <w:rPr>
          <w:sz w:val="20"/>
          <w:szCs w:val="20"/>
          <w:color w:val="auto"/>
        </w:rPr>
      </w:pPr>
    </w:p>
    <w:p>
      <w:pPr>
        <w:ind w:right="380"/>
        <w:spacing w:after="0" w:line="203" w:lineRule="auto"/>
        <w:rPr>
          <w:sz w:val="20"/>
          <w:szCs w:val="20"/>
          <w:color w:val="auto"/>
        </w:rPr>
      </w:pPr>
      <w:r>
        <w:rPr>
          <w:rFonts w:ascii="Times New Roman" w:cs="Times New Roman" w:eastAsia="Times New Roman" w:hAnsi="Times New Roman"/>
          <w:sz w:val="18"/>
          <w:szCs w:val="18"/>
          <w:color w:val="auto"/>
        </w:rPr>
        <w:t>including its commercial fund, intellectual property rights in its principal drug candidates, as well as a pledge of the Group’s bank accounts and claims.</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On August 21, 2023, the outstanding Kreos 1 &amp; 2 bond loans were repaid in full, using the proceeds from the new Kreos / Claret Financing (see Note 3.1).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Kreos / Claret Financing provides for certain restrictive covenants (subject to customary exceptions) which include, among other things, restrictions on the incurrence of indebtedness, cross-default, the distribution of dividends and the grant of security interests, and which would cause the bonds to become repayable on demand in case of breach. As of December 31, 2024, the Group complied with these restrictive covenants.</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As security for the Kreos / Claret Financing, the lenders benefit from the grant of first-ranking collateral on the Group’s principal tangible and intangible assets, including pledges over the Group’s business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as a going concern and intellectual property rights in the Group's lead drug candidate, as well as pledges over the Group’s bank accounts and receivables. Such securities apply to all tranches of the Kreos / Claret Financing.</w:t>
      </w:r>
    </w:p>
    <w:p>
      <w:pPr>
        <w:spacing w:after="0" w:line="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Following the conversion of Tranche A bonds in August and November 2025, the exercise of the Kreos / Claret BSA in August 2025 and the repayment of Tranches B and C bonds in December 2025, the Group no longer holds any debt related to the Kreos / Claret Financing and is therefore released from the aforementioned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Heights Financing is a senior, unsecured financing. The terms and conditions of the Heights convertible notes include a standard negative pledge providing that any security granted in favor of other borrowed debt or debt instruments should also be granted in favor of the Heights convertible notes on an equal basis (with the exception of the securities issued pursuant to the Kreos / Claret Financing, as detailed above).</w:t>
      </w:r>
    </w:p>
    <w:p>
      <w:pPr>
        <w:spacing w:after="0" w:line="2"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8"/>
          <w:szCs w:val="18"/>
          <w:color w:val="auto"/>
        </w:rPr>
        <w:t>Following the conversion of Tranche A in July 2025, the Group no longer holds any debt related to the Heights Financing and is therefore released from the aforementioned commitment.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25.4. Other commitments related to research and partnership arrangements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ordinary course of business, the Group regularly uses the services of subcontractors and enters into research and partnership</w:t>
      </w:r>
    </w:p>
    <w:p>
      <w:pPr>
        <w:spacing w:after="0" w:line="2" w:lineRule="exact"/>
        <w:rPr>
          <w:sz w:val="20"/>
          <w:szCs w:val="20"/>
          <w:color w:val="auto"/>
        </w:rPr>
      </w:pPr>
    </w:p>
    <w:p>
      <w:pPr>
        <w:ind w:right="140"/>
        <w:spacing w:after="0" w:line="203" w:lineRule="auto"/>
        <w:rPr>
          <w:sz w:val="20"/>
          <w:szCs w:val="20"/>
          <w:color w:val="auto"/>
        </w:rPr>
      </w:pPr>
      <w:r>
        <w:rPr>
          <w:rFonts w:ascii="Times New Roman" w:cs="Times New Roman" w:eastAsia="Times New Roman" w:hAnsi="Times New Roman"/>
          <w:sz w:val="18"/>
          <w:szCs w:val="18"/>
          <w:color w:val="auto"/>
        </w:rPr>
        <w:t>arrangements with various contract research organizations, or CROs, and with public- sector partners or subcontractors, who conduct clinical trials and studies in relation to the drug candidates.</w:t>
      </w:r>
    </w:p>
    <w:p>
      <w:pPr>
        <w:spacing w:after="0" w:line="1"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18"/>
          <w:szCs w:val="18"/>
          <w:color w:val="auto"/>
        </w:rPr>
        <w:t>At December 31, 2023, 2024, and 2025 the Group’s commitments amounted to €201,777 thousand, €234,908 thousand and 205,131 thousand. The cost of services performed by CROs is recognized as an operating expense as incurred.</w:t>
      </w:r>
    </w:p>
    <w:p>
      <w:pPr>
        <w:sectPr>
          <w:pgSz w:w="11900" w:h="16838" w:orient="portrait"/>
          <w:cols w:equalWidth="0" w:num="1">
            <w:col w:w="9720"/>
          </w:cols>
          <w:pgMar w:left="1080" w:top="108"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245745</wp:posOffset>
            </wp:positionV>
            <wp:extent cx="701611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016115" cy="7620"/>
                    </a:xfrm>
                    <a:prstGeom prst="rect">
                      <a:avLst/>
                    </a:prstGeom>
                    <a:noFill/>
                  </pic:spPr>
                </pic:pic>
              </a:graphicData>
            </a:graphic>
          </wp:anchor>
        </w:drawing>
      </w:r>
    </w:p>
    <w:p>
      <w:pPr>
        <w:sectPr>
          <w:pgSz w:w="11900" w:h="16838" w:orient="portrait"/>
          <w:cols w:equalWidth="0" w:num="1">
            <w:col w:w="9720"/>
          </w:cols>
          <w:pgMar w:left="1080" w:top="108" w:right="1099" w:bottom="0" w:gutter="0" w:footer="0" w:header="0"/>
          <w:type w:val="continuous"/>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054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7016115" cy="905446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25.5. Leases</w:t>
      </w:r>
    </w:p>
    <w:p>
      <w:pPr>
        <w:spacing w:after="0" w:line="2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Following the end (in December 31, 2021) of the Framework agreement with CNRS (French National Centre for Scientific Research) and the University of Montpellier for research collaboration to create a cooperative laboratory, a hosting agreement was signed in 2022 with CNRS, so that the Group can continue its research program at the CNRS center for the year 2023, and was subsequently renewed for 2024, 2025 and 2026. The lease fell under the IFRS 16 short-term lease exemption until the 2025 renewal. As of December 31, 2025 a right-of-use asset and a lease liability were recognized.</w:t>
      </w:r>
    </w:p>
    <w:p>
      <w:pPr>
        <w:spacing w:after="0" w:line="1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December 2022, following the end of the Research collaboration contract with the CNRS, the University of Montpellier and the Institut Curie, the Company and the Institut Curie concluded a new contract for a duration of one year, renewable by amendment, granting the Company access to some of the Institute’s equipment and consumables. The contract was subsequently renewed for 2024, 2025 and 2026, under similar conditions. Since the Group's right to use the equipment is non-exclusive, this agreement does not meet the definition of a lease under IFRS 16, and the related rental expenses are therefore recognized in operating expenses as incurred.</w:t>
      </w:r>
    </w:p>
    <w:p>
      <w:pPr>
        <w:spacing w:after="0" w:line="1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Group's commitments in relation to the above lease are not significant. Information on other ongoing leases recognized in the balance sheet are set forth in Note 15.8 and 15.12.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Off-balance sheet commitments received and contingent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amounts receivable by the Group after December 31, 2023 under the “RNP-VIR” and “CARENA” and innovation</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agreements entered into with Bpifrance, subject to the provision of evidence to support the forecast expenses and the achievement of scientific milestones, are €3,255 thousand and €1,853 thousand, respectively. In June 2024, the Group and Bpifrance agreed to terminate the two projects due to technical failures (see Note 15.7).</w:t>
      </w:r>
    </w:p>
    <w:p>
      <w:pPr>
        <w:spacing w:after="0" w:line="1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the Kreos / Claret Financing agreement, the Group has received loan commitments from Kreos and Claret for the tranches B and C, of €25,000 thousand in aggregate principal amount each (subject to the conditions set forth in Note 15.1.). The B and C tranches were drawn in March 2024 and June 2024, respectively. The Group redeemed all the tranches drawn as part of the Kreos / Claret Financing agreement during the year ended December 31, 2025.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Heights Financing agreement, the Group has received a loan commitment from Heights for the tranche B, of up to</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€40,000 thousand in aggregate principal amount (subject to the conditions set forth in Note 15.2.). On the limit date for the drawdown of the second tranche of the Heights Financing (i.e. August 4, 2024), the Group had not drawn down this tranche and has therefore forgone its right to do so in the future. Tranche A was converted by the noteholders in July 2025.</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Group has not received any significant off-balance sheet commitment and has no significant contingent asset as of December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Management and assessment of financial risks</w:t>
      </w:r>
    </w:p>
    <w:p>
      <w:pPr>
        <w:spacing w:after="0" w:line="229"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The principal financial instruments held by the Group are cash and cash equivalents. The purpose of holding these instruments is to finance the ongoing business activities of the Group. It is not the Group’s policy to invest in financial instruments for speculative purposes. The Group does not use derivative financial instruments for hedging purposes.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risks to which the Group is exposed to are liquidity risk, foreign currency exchange risk and credit risk.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0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Liquidity risk management aims to ensure that the Group disposes of sufficient liquidity and financial resources to be able to meet present and future obligations.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prepares short-term cash forecasts and annual operating cash flow forecasts as part of its budget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238125</wp:posOffset>
            </wp:positionV>
            <wp:extent cx="7016115" cy="13792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01611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Prudent liquidity risk management involves maintaining sufficient liquidity, having access to financial resources through appropriate credit facilities and being able to unwind market positions.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operations have consumed substantial amounts of cash since inception. Developing pharmaceutical drug candidates,</w:t>
      </w:r>
    </w:p>
    <w:p>
      <w:pPr>
        <w:sectPr>
          <w:pgSz w:w="11900" w:h="16838" w:orient="portrait"/>
          <w:cols w:equalWidth="0" w:num="1">
            <w:col w:w="9720"/>
          </w:cols>
          <w:pgMar w:left="1080" w:top="1440" w:right="1099" w:bottom="0" w:gutter="0" w:footer="0" w:header="0"/>
        </w:sectPr>
      </w:pPr>
    </w:p>
    <w:bookmarkStart w:id="208" w:name="page209"/>
    <w:bookmarkEnd w:id="208"/>
    <w:p>
      <w:pPr>
        <w:ind w:right="140"/>
        <w:spacing w:after="0" w:line="202" w:lineRule="auto"/>
        <w:rPr>
          <w:sz w:val="20"/>
          <w:szCs w:val="20"/>
          <w:color w:val="auto"/>
        </w:rPr>
      </w:pPr>
      <w:r>
        <w:rPr>
          <w:rFonts w:ascii="Times New Roman" w:cs="Times New Roman" w:eastAsia="Times New Roman" w:hAnsi="Times New Roman"/>
          <w:sz w:val="17"/>
          <w:szCs w:val="17"/>
          <w:color w:val="auto"/>
        </w:rPr>
        <w:t>including conducting clinical trials, is expensive, lengthy and risky, and the Group expects its research and development expenses to increase substantially in connection with its ongoing activities. Accordingly, the Group will continue to require substantial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-187960</wp:posOffset>
            </wp:positionV>
            <wp:extent cx="7016115" cy="76828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016115" cy="7682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capital to continue its clinical development activities and potentially engage in commercialization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Group's estimate of its cash runway as of the date of approval of these financial statements is set forth in Note 2 </w:t>
      </w:r>
      <w:r>
        <w:rPr>
          <w:rFonts w:ascii="Times New Roman" w:cs="Times New Roman" w:eastAsia="Times New Roman" w:hAnsi="Times New Roman"/>
          <w:sz w:val="18"/>
          <w:szCs w:val="18"/>
          <w:i w:val="1"/>
          <w:iCs w:val="1"/>
          <w:color w:val="auto"/>
        </w:rPr>
        <w:t>- Going concern.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of December 31, 2023, following the full repayment of the Kreos 1 bonds, all the Group’s non-derivative financial liabilities accounted for at amortized cost bore fixed interest rates. Therefore, the Group had limited exposure.</w:t>
      </w:r>
    </w:p>
    <w:p>
      <w:pPr>
        <w:spacing w:after="0" w:line="14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Over the year ended December 31, 2024, the Group had drawn down the second and third tranches of the Kreos / Claret Financing, bearing variable interest rates (consisting of a fixed margin of 7.5% + European Central Bank Base Rate (MRO), with a floor at 2.5% and a cap at 4%) and had therefore performed a reassessment of its exposure to interest rate risk. Due to the interest rate collar having a range of 150 bp, the Group concluded that it still had limited exposure.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Group had reimbursed all its interest-bearing liabilities.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investments are short-term, highly liquid, and predominantly classified within Cash &amp; cash equivalents.</w:t>
      </w:r>
    </w:p>
    <w:p>
      <w:pPr>
        <w:spacing w:after="0"/>
        <w:rPr>
          <w:sz w:val="20"/>
          <w:szCs w:val="20"/>
          <w:color w:val="auto"/>
        </w:rPr>
      </w:pPr>
      <w:r>
        <w:rPr>
          <w:rFonts w:ascii="Times New Roman" w:cs="Times New Roman" w:eastAsia="Times New Roman" w:hAnsi="Times New Roman"/>
          <w:sz w:val="18"/>
          <w:szCs w:val="18"/>
          <w:color w:val="auto"/>
        </w:rPr>
        <w:t>Accordingly, the Group has very limited exposure to interest rate risk.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7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Group is exposed to a risk of exchange rates fluctuations on commercial transactions performed in currencies different from the functional currency of the Group entity recording the transactions.</w:t>
      </w:r>
    </w:p>
    <w:p>
      <w:pPr>
        <w:spacing w:after="0" w:line="14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As of December 31, 2025, the monetary assets and liabilities denominated in U.S. dollars held by the Company amounted to respectively €327,222 thousand (of which cash and cash equivalents of €143,180 thousand and intercompany receivables of €194,712 thousand) and €24,368 thousand (of which intercompany payables of €22,726 thousand).</w:t>
      </w:r>
    </w:p>
    <w:p>
      <w:pPr>
        <w:spacing w:after="0" w:line="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 a result, a 10% adverse change in the euro closing exchange rate against the U.S. dollar would have resulted in a foreign exchange loss of €29,747 thousand, while a 10% favorable change would have resulted in a foreign exchange gain of €36,358 thousand.</w:t>
      </w:r>
    </w:p>
    <w:p>
      <w:pPr>
        <w:ind w:right="260"/>
        <w:spacing w:after="0" w:line="260" w:lineRule="auto"/>
        <w:rPr>
          <w:sz w:val="20"/>
          <w:szCs w:val="20"/>
          <w:color w:val="auto"/>
        </w:rPr>
      </w:pPr>
      <w:r>
        <w:rPr>
          <w:rFonts w:ascii="Times New Roman" w:cs="Times New Roman" w:eastAsia="Times New Roman" w:hAnsi="Times New Roman"/>
          <w:sz w:val="18"/>
          <w:szCs w:val="18"/>
          <w:color w:val="auto"/>
        </w:rPr>
        <w:t>The U.S. Subsidiary does not hold any monetary asset or liability denominated in currencies different from its functioning currency (the U.S. dollar).</w:t>
      </w:r>
    </w:p>
    <w:p>
      <w:pPr>
        <w:spacing w:after="0" w:line="18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At this stage, the Group has not adopted any recurring mechanism of hedging to protect its activity against currency fluctuations. From time to time, the Group may nevertheless subscribe currency term accounts in order to cover a commitment in currency as described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The Group may consider in the future using a suitable policy to hedge exchange risks in a more significant manner if needed.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 xml:space="preserve">The credit risk related to the Group’s cash and cash equivalents is not significant in light of the quality of the co-contracting financial institutions. As of December 31, 2025, substantially all of the Group’s cash and cash equivalents were maintained with five financial institutions in France and in the United States. While the Group’s deposit accounts are insured </w:t>
      </w:r>
      <w:r>
        <w:rPr>
          <w:rFonts w:ascii="Times New Roman" w:cs="Times New Roman" w:eastAsia="Times New Roman" w:hAnsi="Times New Roman"/>
          <w:sz w:val="18"/>
          <w:szCs w:val="18"/>
          <w:color w:val="auto"/>
          <w:highlight w:val="white"/>
        </w:rPr>
        <w:t>up to the legal limit, the maintained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balances may, at times, exceed this insured limit. As of December </w:t>
      </w:r>
      <w:r>
        <w:rPr>
          <w:rFonts w:ascii="Times New Roman" w:cs="Times New Roman" w:eastAsia="Times New Roman" w:hAnsi="Times New Roman"/>
          <w:sz w:val="18"/>
          <w:szCs w:val="18"/>
          <w:color w:val="auto"/>
        </w:rPr>
        <w:t>31, 2025, the Group maintained €92,482 thousand in bank deposit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accounts that are in excess of the legally insured limit in five legally insured financial institutions, in addition to €437,032 thousand invested in mutual funds and structured notes, all invested with well-established financial institutions. The Group has not experienced any losses in such accounts and does not believe that it is exposed to any significant credit risk related to these instruments.</w:t>
      </w:r>
    </w:p>
    <w:p>
      <w:pPr>
        <w:spacing w:after="0" w:line="169"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 xml:space="preserve">The credit risk related to the Group’s </w:t>
      </w:r>
      <w:r>
        <w:rPr>
          <w:rFonts w:ascii="Times New Roman" w:cs="Times New Roman" w:eastAsia="Times New Roman" w:hAnsi="Times New Roman"/>
          <w:sz w:val="18"/>
          <w:szCs w:val="18"/>
          <w:i w:val="1"/>
          <w:iCs w:val="1"/>
          <w:color w:val="auto"/>
        </w:rPr>
        <w:t>Other receivables and related accounts</w:t>
      </w:r>
      <w:r>
        <w:rPr>
          <w:rFonts w:ascii="Times New Roman" w:cs="Times New Roman" w:eastAsia="Times New Roman" w:hAnsi="Times New Roman"/>
          <w:sz w:val="18"/>
          <w:szCs w:val="18"/>
          <w:color w:val="auto"/>
        </w:rPr>
        <w:t xml:space="preserve"> is minimal. In particular, the credit risk related to advances made to CROs </w:t>
      </w:r>
      <w:r>
        <w:rPr>
          <w:rFonts w:ascii="Times New Roman" w:cs="Times New Roman" w:eastAsia="Times New Roman" w:hAnsi="Times New Roman"/>
          <w:sz w:val="18"/>
          <w:szCs w:val="18"/>
          <w:color w:val="auto"/>
          <w:highlight w:val="white"/>
        </w:rPr>
        <w:t>(see Note 9) is</w:t>
      </w:r>
      <w:r>
        <w:rPr>
          <w:rFonts w:ascii="Times New Roman" w:cs="Times New Roman" w:eastAsia="Times New Roman" w:hAnsi="Times New Roman"/>
          <w:sz w:val="18"/>
          <w:szCs w:val="18"/>
          <w:color w:val="auto"/>
        </w:rPr>
        <w:t xml:space="preserve"> deemed insignificant due to their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9720"/>
          </w:cols>
          <w:pgMar w:left="1080" w:top="108" w:right="1099" w:bottom="1440" w:gutter="0" w:footer="0" w:header="0"/>
        </w:sectPr>
      </w:pPr>
    </w:p>
    <w:bookmarkStart w:id="209" w:name="page210"/>
    <w:bookmarkEnd w:id="209"/>
    <w:p>
      <w:pPr>
        <w:ind w:left="4120"/>
        <w:spacing w:after="0"/>
        <w:rPr>
          <w:sz w:val="20"/>
          <w:szCs w:val="20"/>
          <w:color w:val="auto"/>
        </w:rPr>
      </w:pPr>
      <w:r>
        <w:rPr>
          <w:rFonts w:ascii="Times New Roman" w:cs="Times New Roman" w:eastAsia="Times New Roman" w:hAnsi="Times New Roman"/>
          <w:sz w:val="20"/>
          <w:szCs w:val="20"/>
          <w:b w:val="1"/>
          <w:bCs w:val="1"/>
          <w:color w:val="auto"/>
        </w:rPr>
        <w:t>ABIVAX</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A French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(limited company) with share capital of €633,832.93</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Registered office: 7-11 Boulevard Haussmann</w:t>
      </w:r>
    </w:p>
    <w:p>
      <w:pPr>
        <w:spacing w:after="0" w:line="1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75009 Paris</w:t>
      </w:r>
    </w:p>
    <w:p>
      <w:pPr>
        <w:spacing w:after="0" w:line="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color w:val="auto"/>
        </w:rPr>
        <w:t>Paris Trade and Companies Register No 799 363 718</w:t>
      </w:r>
    </w:p>
    <w:p>
      <w:pPr>
        <w:spacing w:after="0" w:line="200" w:lineRule="exact"/>
        <w:rPr>
          <w:sz w:val="20"/>
          <w:szCs w:val="20"/>
          <w:color w:val="auto"/>
        </w:rPr>
      </w:pPr>
    </w:p>
    <w:p>
      <w:pPr>
        <w:spacing w:after="0" w:line="2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b w:val="1"/>
          <w:bCs w:val="1"/>
          <w:color w:val="auto"/>
        </w:rPr>
        <w:t>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Updated on February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9"/>
          <w:szCs w:val="19"/>
          <w:color w:val="auto"/>
        </w:rPr>
        <w:t>Certified as true to the original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[Signature]</w:t>
      </w:r>
    </w:p>
    <w:p>
      <w:pPr>
        <w:spacing w:after="0" w:line="2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The Chief Executive Officer</w:t>
      </w:r>
    </w:p>
    <w:p>
      <w:pPr>
        <w:sectPr>
          <w:pgSz w:w="11900" w:h="16838" w:orient="portrait"/>
          <w:cols w:equalWidth="0" w:num="1">
            <w:col w:w="10120"/>
          </w:cols>
          <w:pgMar w:left="1440" w:top="1247"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0"/>
          <w:szCs w:val="20"/>
          <w:b w:val="1"/>
          <w:bCs w:val="1"/>
          <w:color w:val="auto"/>
        </w:rPr>
        <w:t>SECTION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LEGAL FORM – COMPANY NAME – OBJECTS – REGISTERED OFFICE – TERM OF INCORPORATION</w:t>
      </w: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Abivax (hereinafter,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is a French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(limited company) with a Board of Directors, which is governed by the laws and regulations in force and by these Articles.</w:t>
      </w:r>
    </w:p>
    <w:p>
      <w:pPr>
        <w:spacing w:after="0" w:line="200" w:lineRule="exact"/>
        <w:rPr>
          <w:sz w:val="20"/>
          <w:szCs w:val="20"/>
          <w:color w:val="auto"/>
        </w:rPr>
      </w:pPr>
    </w:p>
    <w:p>
      <w:pPr>
        <w:spacing w:after="0" w:line="217"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name of the Company is: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ABIVAX</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all instruments and documents issued by the Company and intended for third parties, the company name must always be preceded or followed immediately and clearly by the words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or the initials ‘SA’, the amount of share capital, the Company’s registration number and the Trade and Companies Register in which it is registered.</w:t>
      </w:r>
    </w:p>
    <w:p>
      <w:pPr>
        <w:spacing w:after="0" w:line="200" w:lineRule="exact"/>
        <w:rPr>
          <w:sz w:val="20"/>
          <w:szCs w:val="20"/>
          <w:color w:val="auto"/>
        </w:rPr>
      </w:pPr>
    </w:p>
    <w:p>
      <w:pPr>
        <w:spacing w:after="0" w:line="216"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registered office is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7-11 Boulevard Haussmann, 75009 Paris.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It may be transferred to any location within the same or a neighbouring county (</w:t>
      </w:r>
      <w:r>
        <w:rPr>
          <w:rFonts w:ascii="Times New Roman" w:cs="Times New Roman" w:eastAsia="Times New Roman" w:hAnsi="Times New Roman"/>
          <w:sz w:val="20"/>
          <w:szCs w:val="20"/>
          <w:i w:val="1"/>
          <w:iCs w:val="1"/>
          <w:color w:val="auto"/>
        </w:rPr>
        <w:t>département</w:t>
      </w:r>
      <w:r>
        <w:rPr>
          <w:rFonts w:ascii="Times New Roman" w:cs="Times New Roman" w:eastAsia="Times New Roman" w:hAnsi="Times New Roman"/>
          <w:sz w:val="20"/>
          <w:szCs w:val="20"/>
          <w:color w:val="auto"/>
        </w:rPr>
        <w:t>) by ordinary decision of the Board of Directors, subject to ratification of that decision by the shareholders at their next Ordinary General Meeting, and to any other location by decision taken by the shareholders at an Extraordinary General Meeting. If a transfer is decided by the Board of Directors, the Board is authorised to vary these Articles accordingly.</w:t>
      </w:r>
    </w:p>
    <w:p>
      <w:pPr>
        <w:spacing w:after="0" w:line="200" w:lineRule="exact"/>
        <w:rPr>
          <w:sz w:val="20"/>
          <w:szCs w:val="20"/>
          <w:color w:val="auto"/>
        </w:rPr>
      </w:pPr>
    </w:p>
    <w:p>
      <w:pPr>
        <w:spacing w:after="0" w:line="230"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objects, directly or indirectly, in France and other countries, is: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to engage in all research, development and marketing activities in relation to therapeutic and prophylactic vaccines and small</w:t>
      </w:r>
    </w:p>
    <w:p>
      <w:pPr>
        <w:ind w:left="660"/>
        <w:spacing w:after="0" w:line="204" w:lineRule="auto"/>
        <w:rPr>
          <w:sz w:val="20"/>
          <w:szCs w:val="20"/>
          <w:color w:val="auto"/>
        </w:rPr>
      </w:pPr>
      <w:r>
        <w:rPr>
          <w:rFonts w:ascii="Times New Roman" w:cs="Times New Roman" w:eastAsia="Times New Roman" w:hAnsi="Times New Roman"/>
          <w:sz w:val="20"/>
          <w:szCs w:val="20"/>
          <w:color w:val="auto"/>
        </w:rPr>
        <w:t>therapeutic molecules administered primarily to combat infection; to acquire, subscribe for, hold, manage and transfer, in any form whatsoever, all shares and all transferable securities in all existing or new French or foreign companies, and generally to manage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equity interests in the Company’s area of business;</w:t>
      </w:r>
    </w:p>
    <w:p>
      <w:pPr>
        <w:spacing w:after="0" w:line="167" w:lineRule="exact"/>
        <w:rPr>
          <w:sz w:val="20"/>
          <w:szCs w:val="20"/>
          <w:color w:val="auto"/>
        </w:rPr>
      </w:pPr>
    </w:p>
    <w:p>
      <w:pPr>
        <w:jc w:val="right"/>
        <w:ind w:left="460"/>
        <w:spacing w:after="0" w:line="227" w:lineRule="auto"/>
        <w:rPr>
          <w:sz w:val="20"/>
          <w:szCs w:val="20"/>
          <w:color w:val="auto"/>
        </w:rPr>
      </w:pPr>
      <w:r>
        <w:rPr>
          <w:rFonts w:ascii="Times New Roman" w:cs="Times New Roman" w:eastAsia="Times New Roman" w:hAnsi="Times New Roman"/>
          <w:sz w:val="19"/>
          <w:szCs w:val="19"/>
          <w:color w:val="auto"/>
        </w:rPr>
        <w:t>to take part, directly or indirectly, in all operations and transactions that relate to, or are likely to promote the achievement of, any of the above objects, through the creation of new companies, contributions or the subscription or purchase of securities or members’ rights,</w:t>
      </w:r>
    </w:p>
    <w:p>
      <w:pPr>
        <w:ind w:left="660"/>
        <w:spacing w:after="0"/>
        <w:rPr>
          <w:sz w:val="20"/>
          <w:szCs w:val="20"/>
          <w:color w:val="auto"/>
        </w:rPr>
      </w:pPr>
      <w:r>
        <w:rPr>
          <w:rFonts w:ascii="Times New Roman" w:cs="Times New Roman" w:eastAsia="Times New Roman" w:hAnsi="Times New Roman"/>
          <w:sz w:val="20"/>
          <w:szCs w:val="20"/>
          <w:color w:val="auto"/>
        </w:rPr>
        <w:t>mergers, business alliances, joint ventures or otherwise; and</w:t>
      </w:r>
    </w:p>
    <w:p>
      <w:pPr>
        <w:spacing w:after="0" w:line="167" w:lineRule="exact"/>
        <w:rPr>
          <w:sz w:val="20"/>
          <w:szCs w:val="20"/>
          <w:color w:val="auto"/>
        </w:rPr>
      </w:pPr>
    </w:p>
    <w:p>
      <w:pPr>
        <w:jc w:val="right"/>
        <w:ind w:left="460"/>
        <w:spacing w:after="0" w:line="215" w:lineRule="auto"/>
        <w:rPr>
          <w:sz w:val="20"/>
          <w:szCs w:val="20"/>
          <w:color w:val="auto"/>
        </w:rPr>
      </w:pPr>
      <w:r>
        <w:rPr>
          <w:rFonts w:ascii="Times New Roman" w:cs="Times New Roman" w:eastAsia="Times New Roman" w:hAnsi="Times New Roman"/>
          <w:sz w:val="20"/>
          <w:szCs w:val="20"/>
          <w:color w:val="auto"/>
        </w:rPr>
        <w:t>generally, to engage in all personal property, real estate, industrial, commercial and financial operations and transactions that relate directly or indirectly to this object or to any similar or related objects, or that may be useful for, or facilitate the achievement of,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object.</w:t>
      </w:r>
    </w:p>
    <w:p>
      <w:pPr>
        <w:spacing w:after="0" w:line="200" w:lineRule="exact"/>
        <w:rPr>
          <w:sz w:val="20"/>
          <w:szCs w:val="20"/>
          <w:color w:val="auto"/>
        </w:rPr>
      </w:pPr>
    </w:p>
    <w:p>
      <w:pPr>
        <w:spacing w:after="0" w:line="22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TERM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Company is incorporated for a term of ninety-nine (99) years from the date it is registered in the Trade and Companies Register, unless it is wound up early or its term of incorporation is extended.</w:t>
      </w:r>
    </w:p>
    <w:p>
      <w:pPr>
        <w:sectPr>
          <w:pgSz w:w="11900" w:h="16838" w:orient="portrait"/>
          <w:cols w:equalWidth="0" w:num="1">
            <w:col w:w="11240"/>
          </w:cols>
          <w:pgMar w:left="320" w:top="1139" w:right="339" w:bottom="7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i w:val="1"/>
          <w:iCs w:val="1"/>
          <w:color w:val="auto"/>
        </w:rPr>
        <w:t>Page 2</w:t>
      </w:r>
    </w:p>
    <w:p>
      <w:pPr>
        <w:sectPr>
          <w:pgSz w:w="11900" w:h="16838" w:orient="portrait"/>
          <w:cols w:equalWidth="0" w:num="1">
            <w:col w:w="11240"/>
          </w:cols>
          <w:pgMar w:left="320" w:top="1139" w:right="339" w:bottom="785" w:gutter="0" w:footer="0" w:header="0"/>
          <w:type w:val="continuous"/>
        </w:sectPr>
      </w:pPr>
    </w:p>
    <w:bookmarkStart w:id="211" w:name="page212"/>
    <w:bookmarkEnd w:id="211"/>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CAPITAL – SHARES</w:t>
      </w: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Contributions – Formation of share capital</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Upon the Company’s incorporation, by virtue of a legal document dated 4 December 2013, the Company received cash contributions totalling forty thousand euros (€40,000), corresponding to 40,000 ordinary shares.</w:t>
      </w:r>
    </w:p>
    <w:p>
      <w:pPr>
        <w:spacing w:after="0" w:line="146" w:lineRule="exact"/>
        <w:rPr>
          <w:sz w:val="20"/>
          <w:szCs w:val="20"/>
          <w:color w:val="auto"/>
        </w:rPr>
      </w:pPr>
    </w:p>
    <w:p>
      <w:pPr>
        <w:ind w:left="500" w:hanging="492"/>
        <w:spacing w:after="0"/>
        <w:tabs>
          <w:tab w:leader="none" w:pos="5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decisions taken by the shareholders at their Extraordinary General Meeting of 25 April 2014:</w:t>
      </w:r>
    </w:p>
    <w:p>
      <w:pPr>
        <w:spacing w:after="0" w:line="175" w:lineRule="exact"/>
        <w:rPr>
          <w:rFonts w:ascii="Times New Roman" w:cs="Times New Roman" w:eastAsia="Times New Roman" w:hAnsi="Times New Roman"/>
          <w:sz w:val="20"/>
          <w:szCs w:val="20"/>
          <w:color w:val="auto"/>
        </w:rPr>
      </w:pPr>
    </w:p>
    <w:p>
      <w:pPr>
        <w:ind w:left="1280" w:hanging="634"/>
        <w:spacing w:after="0"/>
        <w:tabs>
          <w:tab w:leader="none" w:pos="127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was increased as a result of a cash contribution of nine thousand two hundred and fifty-nine euros (€9,259), from €40,000 to €49,259, through the creation of 9,259 new ordinary shares;</w:t>
      </w:r>
    </w:p>
    <w:p>
      <w:pPr>
        <w:spacing w:after="0" w:line="147" w:lineRule="exact"/>
        <w:rPr>
          <w:rFonts w:ascii="Times New Roman" w:cs="Times New Roman" w:eastAsia="Times New Roman" w:hAnsi="Times New Roman"/>
          <w:sz w:val="20"/>
          <w:szCs w:val="20"/>
          <w:color w:val="auto"/>
        </w:rPr>
      </w:pPr>
    </w:p>
    <w:p>
      <w:pPr>
        <w:ind w:left="1280" w:right="20" w:hanging="634"/>
        <w:spacing w:after="0"/>
        <w:tabs>
          <w:tab w:leader="none" w:pos="1275"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was increased as a result of a cash contribution of thirteen thousand seven hundred and sixty euros (€13,760), from €49,259 to €63,019, through the creation of 13,760 new ordinary shares;</w:t>
      </w:r>
    </w:p>
    <w:p>
      <w:pPr>
        <w:spacing w:after="0" w:line="161" w:lineRule="exact"/>
        <w:rPr>
          <w:rFonts w:ascii="Times New Roman" w:cs="Times New Roman" w:eastAsia="Times New Roman" w:hAnsi="Times New Roman"/>
          <w:sz w:val="20"/>
          <w:szCs w:val="20"/>
          <w:color w:val="auto"/>
        </w:rPr>
      </w:pPr>
    </w:p>
    <w:p>
      <w:pPr>
        <w:ind w:left="1280" w:hanging="634"/>
        <w:spacing w:after="0" w:line="233" w:lineRule="auto"/>
        <w:tabs>
          <w:tab w:leader="none" w:pos="1276"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was increased as a result of a cash contribution of five hundred and seventy-six euros (€576), from €63,019 to €63,595, through the creation of 576 new ordinary shares; and</w:t>
      </w:r>
    </w:p>
    <w:p>
      <w:pPr>
        <w:spacing w:after="0" w:line="160" w:lineRule="exact"/>
        <w:rPr>
          <w:rFonts w:ascii="Times New Roman" w:cs="Times New Roman" w:eastAsia="Times New Roman" w:hAnsi="Times New Roman"/>
          <w:sz w:val="20"/>
          <w:szCs w:val="20"/>
          <w:color w:val="auto"/>
        </w:rPr>
      </w:pPr>
    </w:p>
    <w:p>
      <w:pPr>
        <w:ind w:left="1280" w:hanging="634"/>
        <w:spacing w:after="0"/>
        <w:tabs>
          <w:tab w:leader="none" w:pos="127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was increased as a result of a cash contribution of two thousand four hundred euros (€2,400), from €63,595 to €65,995 euros, through the creation of 2,400 new ordinary shares.</w:t>
      </w:r>
    </w:p>
    <w:p>
      <w:pPr>
        <w:spacing w:after="0" w:line="147" w:lineRule="exact"/>
        <w:rPr>
          <w:rFonts w:ascii="Times New Roman" w:cs="Times New Roman" w:eastAsia="Times New Roman" w:hAnsi="Times New Roman"/>
          <w:sz w:val="20"/>
          <w:szCs w:val="20"/>
          <w:color w:val="auto"/>
        </w:rPr>
      </w:pPr>
    </w:p>
    <w:p>
      <w:pPr>
        <w:jc w:val="both"/>
        <w:ind w:left="520" w:hanging="512"/>
        <w:spacing w:after="0" w:line="230" w:lineRule="auto"/>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decision taken by the Board of Directors on 21 May 2014, pursuant to the authority delegated to the Board by the shareholders at their Combined General Meeting of 11 March 2014, the share capital was increased by five hundred and fifty-five euros (€555), from €65,995 to €66,550, through the creation of 555 new ordinary shares.</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30" w:lineRule="auto"/>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decisions taken by the shareholders at their Extraordinary General Meeting of 30 July 2014, the share capital was increased in cash by three million two hundred and fifty thousand (3,250,000) euros, from sixty-six thousand five hundred and fifty (66,550) euros to sixty-nine thousand one hundred and fifty (69,150) euros, through the issue of 2,600 new ordinary shares.</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30" w:lineRule="auto"/>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decision taken by the shareholders at their Extraordinary General Meeting of 20 February 2015, the par value of the shares that made up the share capital of the Company was divided by 100, thus reducing the par value from one (1) euro to one (1) euro cent (€0.01).</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30" w:lineRule="auto"/>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28 ‘BCE-2014-5’ founders’ warrants on 24 April 2015, which was recorded by the Board of Directors in a decision of 3 June 2015, the share capital was increased by twenty-eight euros (€28), from sixty-nine thousand one hundred and fifty euros (€69,150) to sixty-nine thousand one hundred and seventy-eight euros (€69,178).</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22" w:lineRule="auto"/>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decision taken by the Board of Directors on 23 June 2015, pursuant to the authority delegated to the Board by the shareholders at their Combined General Meeting of 20 February 2015, the share capital was increased on 25 June 2015 by twenty-seven thousand and seventy euros and eighty-nine cents (€27,070.89), from sixty-nine thousand one hundred and seventy-eight euros (€69,178) to ninety-six thousand two hundred and forty-eight euros and eighty-nine cents (€96,248.89), through the issue of 2,707,089 new shares.</w:t>
      </w:r>
    </w:p>
    <w:p>
      <w:pPr>
        <w:spacing w:after="0" w:line="161" w:lineRule="exact"/>
        <w:rPr>
          <w:rFonts w:ascii="Times New Roman" w:cs="Times New Roman" w:eastAsia="Times New Roman" w:hAnsi="Times New Roman"/>
          <w:sz w:val="20"/>
          <w:szCs w:val="20"/>
          <w:color w:val="auto"/>
        </w:rPr>
      </w:pPr>
    </w:p>
    <w:p>
      <w:pPr>
        <w:ind w:left="520" w:hanging="512"/>
        <w:spacing w:after="0"/>
        <w:tabs>
          <w:tab w:leader="none" w:pos="50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64 ‘BSA-2014-3’ share warrants on 25 September 2015 and of 448 ‘BSA-2014-2’ share warrants on 26 September 2015, which was recorded by the Board of Directors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3</w:t>
      </w:r>
    </w:p>
    <w:p>
      <w:pPr>
        <w:sectPr>
          <w:pgSz w:w="11900" w:h="16838" w:orient="portrait"/>
          <w:cols w:equalWidth="0" w:num="1">
            <w:col w:w="11240"/>
          </w:cols>
          <w:pgMar w:left="320" w:top="1440" w:right="339" w:bottom="1440" w:gutter="0" w:footer="0" w:header="0"/>
        </w:sectPr>
      </w:pPr>
    </w:p>
    <w:bookmarkStart w:id="212" w:name="page213"/>
    <w:bookmarkEnd w:id="212"/>
    <w:p>
      <w:pPr>
        <w:ind w:left="520" w:right="20"/>
        <w:spacing w:after="0" w:line="227" w:lineRule="auto"/>
        <w:rPr>
          <w:sz w:val="20"/>
          <w:szCs w:val="20"/>
          <w:color w:val="auto"/>
        </w:rPr>
      </w:pPr>
      <w:r>
        <w:rPr>
          <w:rFonts w:ascii="Times New Roman" w:cs="Times New Roman" w:eastAsia="Times New Roman" w:hAnsi="Times New Roman"/>
          <w:sz w:val="19"/>
          <w:szCs w:val="19"/>
          <w:color w:val="auto"/>
        </w:rPr>
        <w:t>a decision of 4 December 2015, the share capital was increased by five hundred and twelve euros (€512), from ninety-six thousand two hundred and forty-eight euros and eighty-nine cents (€96,248.89) to ninety-six thousand seven hundred and sixty euros and eighty-nine</w:t>
      </w:r>
    </w:p>
    <w:p>
      <w:pPr>
        <w:ind w:left="520"/>
        <w:spacing w:after="0"/>
        <w:rPr>
          <w:sz w:val="20"/>
          <w:szCs w:val="20"/>
          <w:color w:val="auto"/>
        </w:rPr>
      </w:pPr>
      <w:r>
        <w:rPr>
          <w:rFonts w:ascii="Times New Roman" w:cs="Times New Roman" w:eastAsia="Times New Roman" w:hAnsi="Times New Roman"/>
          <w:sz w:val="20"/>
          <w:szCs w:val="20"/>
          <w:color w:val="auto"/>
        </w:rPr>
        <w:t>cents (€96,760.89).</w:t>
      </w:r>
    </w:p>
    <w:p>
      <w:pPr>
        <w:spacing w:after="0" w:line="167" w:lineRule="exact"/>
        <w:rPr>
          <w:sz w:val="20"/>
          <w:szCs w:val="20"/>
          <w:color w:val="auto"/>
        </w:rPr>
      </w:pPr>
    </w:p>
    <w:p>
      <w:pPr>
        <w:jc w:val="both"/>
        <w:ind w:left="520" w:hanging="512"/>
        <w:spacing w:after="0" w:line="222" w:lineRule="auto"/>
        <w:tabs>
          <w:tab w:leader="none" w:pos="509"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208 ‘BCE-2014-3’ founders’ warrants on 22 December 2015, which was recorded by the Board of Directors in a decision of 18 January 2016, the share capital was increased by two hundred and eight euros (€208), from ninety-six thousand seven hundred and sixty euros and eighty-nine cents (€96,760.89) to ninety-six thousand nine hundred and sixty-eight euros and eighty-nine cents (€96,968.89).</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30" w:lineRule="auto"/>
        <w:tabs>
          <w:tab w:leader="none" w:pos="509"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52 ‘BSA-2014-6’ share warrants on 11 April 2016, which was recorded by the Board of Directors in a decision of 7 November 2016, the share capital was increased by fifty-two euros (€52), from ninety-six thousand nine hundred and sixty-eight euros and eighty-nine cents (€96,968.89) to ninety-seven thousand and twenty euros and eighty-nine cents (€97,020.89).</w:t>
      </w:r>
    </w:p>
    <w:p>
      <w:pPr>
        <w:spacing w:after="0" w:line="148" w:lineRule="exact"/>
        <w:rPr>
          <w:rFonts w:ascii="Times New Roman" w:cs="Times New Roman" w:eastAsia="Times New Roman" w:hAnsi="Times New Roman"/>
          <w:sz w:val="20"/>
          <w:szCs w:val="20"/>
          <w:color w:val="auto"/>
        </w:rPr>
      </w:pPr>
    </w:p>
    <w:p>
      <w:pPr>
        <w:jc w:val="both"/>
        <w:ind w:left="520" w:hanging="512"/>
        <w:spacing w:after="0" w:line="218" w:lineRule="auto"/>
        <w:tabs>
          <w:tab w:leader="none" w:pos="51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394 ‘BSA-2014-1’ share warrants on 17 March 2017, 473 ‘BSA-2014-4’ share warrants on 1 August 2017, 100 ‘BCE-2014-4’ founders’ warrants on 1 August 2017 and 400 ‘BCE-2014-2’ founders’ warrants on 28 September 2017, and as a result of the exercise of 60,000 Kepler share warrants, which was recorded by the Board of Directors on 20 November 2017, the share capital was increased by one thousand nine hundred and sixty-seven euros and forty cents (€1,967.40), from ninety-seven thousand and twenty euros and eighty-nine cents (€97,020.89) to ninety-eight thousand nine hundred and eighty-eight euros and twenty-nine cents (€98,988.29).</w:t>
      </w:r>
    </w:p>
    <w:p>
      <w:pPr>
        <w:spacing w:after="0" w:line="150" w:lineRule="exact"/>
        <w:rPr>
          <w:rFonts w:ascii="Times New Roman" w:cs="Times New Roman" w:eastAsia="Times New Roman" w:hAnsi="Times New Roman"/>
          <w:sz w:val="20"/>
          <w:szCs w:val="20"/>
          <w:color w:val="auto"/>
        </w:rPr>
      </w:pPr>
    </w:p>
    <w:p>
      <w:pPr>
        <w:jc w:val="both"/>
        <w:ind w:left="520" w:hanging="512"/>
        <w:spacing w:after="0" w:line="222" w:lineRule="auto"/>
        <w:tabs>
          <w:tab w:leader="none" w:pos="50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exercise of 29 ‘BSA-2014-7’ share warrants on 30 October 2017 and 2,500 ‘BCE-2016-1’ founders’ warrants on 20 December 2017, which was recorded by the Board of Directors on 22 January 2018, the share capital was increased by fifty-four euros (€54), from ninety-eight thousand nine hundred and eighty-eight euros and twenty-nine cents (€98,988.29) to ninety-nine thousand and forty-two euros and twenty-nine cents (€99,042.29).</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Share capital</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share capital of the Company is set at six hundred and thirty-three thousand eight hundred and thirty-two euros and ninety-three cents (EUR 633,832.93).</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It is divided into sixty-three million three hundred and eighty-three thousand two hundred and ninety-three (63,383,293) fully subscribed and paid-up ordinary shares of the same class, with a par value of one euro cent (€0.01) each.</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ALTERATION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 The share capital may be increased by any method and on any terms provided for by law.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shareholders at an Extraordinary General Meeting have exclusive authority to decide, on the basis of a report by the Board of Directors, to increase the share capital and to delegate powers or authority to the Board of Directors in order to carry out the capital increase in one or more stages in accordance with applicable laws and regulations, set the applicable terms, record the completion thereof and vary these Articles accordingly.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shareholders have a preferential right to subscribe for the shares issued for cash in the context of a capital increase, in proportion to the number of shares they already hold, and they may each waive their right. The shareholders at an Extraordinary General Meeting may decide to cancel this preferential subscription right in accordance with the law.</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2 - A capital reduction must be authorised or decided by the shareholders at an Extraordinary General Meeting and must not affect shareholder equality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4</w:t>
      </w:r>
    </w:p>
    <w:p>
      <w:pPr>
        <w:sectPr>
          <w:pgSz w:w="11900" w:h="16838" w:orient="portrait"/>
          <w:cols w:equalWidth="0" w:num="1">
            <w:col w:w="11240"/>
          </w:cols>
          <w:pgMar w:left="320" w:top="1129" w:right="339" w:bottom="1440" w:gutter="0" w:footer="0" w:header="0"/>
        </w:sectPr>
      </w:pPr>
    </w:p>
    <w:bookmarkStart w:id="213" w:name="page214"/>
    <w:bookmarkEnd w:id="213"/>
    <w:p>
      <w:pPr>
        <w:jc w:val="both"/>
        <w:spacing w:after="0" w:line="261" w:lineRule="auto"/>
        <w:rPr>
          <w:sz w:val="20"/>
          <w:szCs w:val="20"/>
          <w:color w:val="auto"/>
        </w:rPr>
      </w:pPr>
      <w:r>
        <w:rPr>
          <w:rFonts w:ascii="Times New Roman" w:cs="Times New Roman" w:eastAsia="Times New Roman" w:hAnsi="Times New Roman"/>
          <w:sz w:val="20"/>
          <w:szCs w:val="20"/>
          <w:color w:val="auto"/>
        </w:rPr>
        <w:t>A capital reduction to an amount less than the minimum required by law may be decided on the condition that the share capital is first increased to an amount at least equal to the amount required by law, unless the legal form of the Company is changed to a form that does not require a share capital higher than that after the reduction thereof.</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Otherwise, any interested person may petition a court of law to wind up the Company. A decision to that effect may not be made if, on the day on which the Court decides on the merits of the application, the matter has been resolved.</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CAPITAL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share capital may be redeemed in accordance with Article L. 225-198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of the French Commercial Code.</w:t>
      </w:r>
    </w:p>
    <w:p>
      <w:pPr>
        <w:spacing w:after="0" w:line="200" w:lineRule="exact"/>
        <w:rPr>
          <w:sz w:val="20"/>
          <w:szCs w:val="20"/>
          <w:color w:val="auto"/>
        </w:rPr>
      </w:pPr>
    </w:p>
    <w:p>
      <w:pPr>
        <w:spacing w:after="0" w:line="28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PAYMENT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the event of a capital increase, at least one quarter of the par value of the shares issued for cash must be paid up upon subscription, together with the entire share premium (if applicable).</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balance must be paid in one or more instalments further to a call made by the Board of Directors, within five (5) years of the date of completion of the capital increase.</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Calls for monies unpaid must be sent to the relevant subscribers and shareholders at least fifteen (15) days before the due date for each payment, by registered letter (with acknowledgement of receipt requested).</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shareholder that does not make the required payments in respect of their shares on the due date will be automatically liable, without notice, to pay the Company default interest calculated daily from the payment due date, at three (3) points above the statutory rate applicable in commercial matters.</w:t>
      </w:r>
    </w:p>
    <w:p>
      <w:pPr>
        <w:spacing w:after="0" w:line="1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In order to obtain monies unpaid, the Company has the right of enforcement and may impose the penalties provided for by Article L. 228-27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of the French Commercial Code.</w:t>
      </w:r>
    </w:p>
    <w:p>
      <w:pPr>
        <w:spacing w:after="0" w:line="394"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FORM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shares may be bearer or registered shares, at the option of the shareholder and in accordance with the law. They shall be registered in an account in accordance with applicable laws and regulations.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compliance with the terms and conditions provided for by law, the shares shall be registered in the name of their holders and at their discretion, either in a registered account managed by the issuing company, in a registered account managed by an outside entity or in bearer form with an approved intermediary.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However, if a shareholder does not have their registered address in French territory within the meaning of Article 102 of the French Civil Code, any intermediary may be registered on behalf of that holder, either in a collective account or in several individual accounts, one for each 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shares may be involved in transactions carried out by the relevant securities clearing house.</w:t>
      </w:r>
    </w:p>
    <w:p>
      <w:pPr>
        <w:spacing w:after="0" w:line="200" w:lineRule="exact"/>
        <w:rPr>
          <w:sz w:val="20"/>
          <w:szCs w:val="20"/>
          <w:color w:val="auto"/>
        </w:rPr>
      </w:pPr>
    </w:p>
    <w:p>
      <w:pPr>
        <w:spacing w:after="0" w:line="263" w:lineRule="exact"/>
        <w:rPr>
          <w:sz w:val="20"/>
          <w:szCs w:val="20"/>
          <w:color w:val="auto"/>
        </w:rPr>
      </w:pPr>
    </w:p>
    <w:p>
      <w:pPr>
        <w:ind w:left="1380" w:right="1540" w:hanging="1295"/>
        <w:spacing w:after="0" w:line="245"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0"/>
          <w:szCs w:val="20"/>
          <w:b w:val="1"/>
          <w:bCs w:val="1"/>
          <w:color w:val="auto"/>
        </w:rPr>
        <w:t>SHARE TRANSFERS – NOTIFICATION OF MAJOR HOLDINGS – RIGHTS AND OBLIGATIONS ATTACHING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150495</wp:posOffset>
            </wp:positionV>
            <wp:extent cx="537464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Share transfers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shares shall be freely negotiable upon issue, in accordance with the law.</w:t>
      </w:r>
    </w:p>
    <w:p>
      <w:pPr>
        <w:sectPr>
          <w:pgSz w:w="11900" w:h="16838" w:orient="portrait"/>
          <w:cols w:equalWidth="0" w:num="1">
            <w:col w:w="11240"/>
          </w:cols>
          <w:pgMar w:left="320" w:top="1143" w:right="33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i w:val="1"/>
          <w:iCs w:val="1"/>
          <w:color w:val="auto"/>
        </w:rPr>
        <w:t>Page 5</w:t>
      </w:r>
    </w:p>
    <w:p>
      <w:pPr>
        <w:sectPr>
          <w:pgSz w:w="11900" w:h="16838" w:orient="portrait"/>
          <w:cols w:equalWidth="0" w:num="1">
            <w:col w:w="11240"/>
          </w:cols>
          <w:pgMar w:left="320" w:top="1143" w:right="339" w:bottom="852"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color w:val="auto"/>
        </w:rPr>
        <w:t>They shall be registered in an account in accordance with the terms and conditions provided for by the laws and regulations in force.</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Share transfers, irrespective of the form thereof, shall be carried out by way of a transfer from one account to another in accordance with the terms and conditions provided for by law.</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Notification of major holdings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addition to the statutory obligations to disclose information, to give notice of major holdings and, where applicable, to declare their intent, any natural or legal person and any legal entity, acting alone or in concert, who directly or indirectly holds, by any means whatsoever within the meaning of Article L. 233-7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of the French Commercial Code, a number of shares that represents 2% of the share capital and/or voting rights in the Company, is required to inform the Company of the total number of shares and voting rights or securities they hold directly or indirectly and that grant future access to the share capital of the Company. Such notice must be sent by registered letter (with acknowledgement of receipt requested) to the registered office or by any other equivalent means for the shareholders or securities holders who are resident outside France, within five (5) trading days of the date on which this threshold is exceeded.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notice must be given again for each additional 2% of the share capital or voting rights, without limitation.</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disclosure obligation applies on the above terms each time the fraction of share capital and/or voting rights held by a shareholder falls below a multiple of 2% of the share capital or voting rights.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no disclosure is duly made as stated above, further to a request made by one or more shareholders that hold at least 2% of the share capital or voting rights in the Company and that is recorded in the minutes of the General Meeting, the shares that exceed the percentage that should have been declared will be stripped of the right to vote at any Meeting of shareholders held within two (2) years of the date on which notice is given.</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Rights and obligations associated with shares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1 - Each share entitles its holder to a portion of the Company’s profit, assets and liquidation surplus, in net proportion to the percentage of share capital it represents.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 also entitles its holder to take part in General Meetings and to vote on resolutions in accordance with the law and these Articles.</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2 - Shareholder liability for the Company’s debts is limited to the amounts contributed by them. The rights and obligations attaching to shares shall remain attached thereto, irrespective of the holder.</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Share ownership automatically entails acceptance of, and an agreement to comply with, these Articles and the decisions taken at General Meetings of the Company’s shareholders.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3 - Whenever it is necessary to hold several shares in order to exercise a right of whatever kind (exchange, pooling, allotment of securities, capital increase or reduction, merger or any other corporate operation), the holders of single shares or of an insufficient number of shares may exercise this right on the condition that they arrange to pool and potentially purchase or sell the required number of securities.</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Indivisibility of shares – Legal ownership – Beneficial ownership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 The Company recognises only one holder of each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6</w:t>
      </w:r>
    </w:p>
    <w:p>
      <w:pPr>
        <w:sectPr>
          <w:pgSz w:w="11900" w:h="16838" w:orient="portrait"/>
          <w:cols w:equalWidth="0" w:num="1">
            <w:col w:w="11240"/>
          </w:cols>
          <w:pgMar w:left="320" w:top="1143" w:right="339" w:bottom="1440" w:gutter="0" w:footer="0" w:header="0"/>
        </w:sectPr>
      </w:pPr>
    </w:p>
    <w:bookmarkStart w:id="215" w:name="page216"/>
    <w:bookmarkEnd w:id="21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joint owners of undivided shares must be represented at General Meetings by one of their number or by a single representative. In the event of a disagreement, a representative shall be appointed by a court of law at the request of the first joint owner to act.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2 - Beneficial owners (</w:t>
      </w:r>
      <w:r>
        <w:rPr>
          <w:rFonts w:ascii="Times New Roman" w:cs="Times New Roman" w:eastAsia="Times New Roman" w:hAnsi="Times New Roman"/>
          <w:sz w:val="20"/>
          <w:szCs w:val="20"/>
          <w:i w:val="1"/>
          <w:iCs w:val="1"/>
          <w:color w:val="auto"/>
        </w:rPr>
        <w:t>usufruitiers</w:t>
      </w:r>
      <w:r>
        <w:rPr>
          <w:rFonts w:ascii="Times New Roman" w:cs="Times New Roman" w:eastAsia="Times New Roman" w:hAnsi="Times New Roman"/>
          <w:sz w:val="20"/>
          <w:szCs w:val="20"/>
          <w:color w:val="auto"/>
        </w:rPr>
        <w:t>) have the right to vote at Ordinary General Meetings and legal owners (</w:t>
      </w:r>
      <w:r>
        <w:rPr>
          <w:rFonts w:ascii="Times New Roman" w:cs="Times New Roman" w:eastAsia="Times New Roman" w:hAnsi="Times New Roman"/>
          <w:sz w:val="20"/>
          <w:szCs w:val="20"/>
          <w:i w:val="1"/>
          <w:iCs w:val="1"/>
          <w:color w:val="auto"/>
        </w:rPr>
        <w:t>nus-propriétaires</w:t>
      </w:r>
      <w:r>
        <w:rPr>
          <w:rFonts w:ascii="Times New Roman" w:cs="Times New Roman" w:eastAsia="Times New Roman" w:hAnsi="Times New Roman"/>
          <w:sz w:val="20"/>
          <w:szCs w:val="20"/>
          <w:color w:val="auto"/>
        </w:rPr>
        <w:t>) have the right to vote at Extraordinary General Meetings. However, the shareholders may agree to allocate the right to vote at General Meetings differently, providing that the beneficial owner is not deprived of the right to vote on decisions concerning distributions of profit. In such event, they must inform the Company of their agreement by sending a registered letter (with acknowledgement of receipt requested) to the registered office. The Company must apply the agreement for any meeting held more than one (1) month after that letter was received.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Voting rights shall be exercised by the holder of the securities pledged.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owners may always take part in General Meetings, even if they do not have the right to vote.</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DOUBLE VOTING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voting right attached to capital shares and dividend shares is proportionate to the amount of share capital they represent. Each share carries one voting right.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However, a double voting right compared to that attached to the other shares in view of the portion of share capital they represent is allocated to all fully paid-up shares that are proven to have been registered for at least two (2) years in the name of the same shareholder.</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double voting right shall also be granted, upon the issue of shares issued in the context of a capital increase through the capitalisation of reserves, profit or share premiums, in respect of the registered shares allotted to a shareholder free of charge on the basis of their existing shares for which they hold a double voting right.</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A share transfer carried out as a result of an inheritance, division of marital property or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gift made to a spouse or relative entitled to inherit will not result in the loss of the right acquired and will not suspend the above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foregoing shall also apply in the event of a share transfer carried out as a result of a merger or spin-off involving a corporate shareholder.</w:t>
      </w: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any merger or spin-off involving the Company will not affect the double voting right, which may be exercised within the beneficiary company or companies if so provided by the Articles of the relevant company or companies.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p>
    <w:p>
      <w:pPr>
        <w:spacing w:after="0" w:line="200" w:lineRule="exact"/>
        <w:rPr>
          <w:sz w:val="20"/>
          <w:szCs w:val="20"/>
          <w:color w:val="auto"/>
        </w:rPr>
      </w:pPr>
    </w:p>
    <w:p>
      <w:pPr>
        <w:spacing w:after="0" w:line="24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shall be managed by a Board of Directors made up of no less than three (3) and no more than eighteen (18) members, subject to the exception provided for by law in the event of a merger.</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i w:val="1"/>
          <w:iCs w:val="1"/>
          <w:color w:val="auto"/>
        </w:rPr>
        <w:t>Page 7</w:t>
      </w:r>
    </w:p>
    <w:p>
      <w:pPr>
        <w:sectPr>
          <w:pgSz w:w="11900" w:h="16838" w:orient="portrait"/>
          <w:cols w:equalWidth="0" w:num="1">
            <w:col w:w="11240"/>
          </w:cols>
          <w:pgMar w:left="320" w:top="1143" w:right="339" w:bottom="1440" w:gutter="0" w:footer="0" w:header="0"/>
          <w:type w:val="continuous"/>
        </w:sectPr>
      </w:pPr>
    </w:p>
    <w:bookmarkStart w:id="216" w:name="page217"/>
    <w:bookmarkEnd w:id="216"/>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Appointment of directors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Company’s existence, the directors shall be appointed by the shareholders at an Ordinary General Meeting. However, in the event of a merger or spin-off, they may be appointed by the shareholders at an Extraordinary General Meeting. The directors shall be appointed for a term of four (4) years. Their term of office shall end at the close of the Ordinary General Meeting of shareholders held in the year in which their term of office expires to decide on the financial statements for the previous financial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directors may be re-elected. They may be removed at any time by decision of the shareholders taken at an Ordinary General Meeting.</w:t>
      </w:r>
    </w:p>
    <w:p>
      <w:pPr>
        <w:spacing w:after="0" w:line="21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No individual over the age of eighty-five (85) may be a director. Any director who reaches this age limit whilst in office will be deemed to have automatically stepped down at the next General Meeting. Any appointment made in breach of the foregoing will be null and void, with the exception of interim appointments.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their appointment and throughout their term of office, all natural person directors must comply with the law on the offices which an individual may concurrently hold in a limited company that has its registered office in mainland France, subject to the exceptions provided for by law.</w:t>
      </w:r>
    </w:p>
    <w:p>
      <w:pPr>
        <w:spacing w:after="0" w:line="1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 employee of the Company may only be appointed as a director if their employment contract corresponds to an actual job position. No more than one third of the directors in office may have an employment contract with the Company.</w:t>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14.2 Legal entity directors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directors may be natural persons or legal entities. Upon the appointment of a legal entity, the latter must appoint a permanent representative, who shall be bound by the same requirements and obligations and shall incur the same liability in civil and criminal law as though they were a director in their own name, without prejudice to the joint and several liability of the legal entity they represent. The permanent representative of a legal entity director shall be subject to the same age limit as that applicable to natural person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permanent representative appointed by a legal entity director shall be appointed for the term of the legal entity’s directorship.</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the legal entity removes its permanent representative from office, it must promptly notify the Company of the removal and of the identity of its new permanent representative by registered letter. The foregoing shall also apply if the permanent representative dies or resigns.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appointment of a permanent representative and the termination of their office shall be subject to the same publicity formalities as would apply if the permanent representative were a director in their own name.</w:t>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14.3 Board vacancies, death, resignation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one or more seats on the Board of Directors become vacant due to death or resignation, the Board may appoint interim directors between two General Meetings.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the number of directors falls below the minimum required by law, the remaining directors must immediately convene an Ordinary General Meeting in order to fill the vacancies.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8</w:t>
      </w:r>
    </w:p>
    <w:p>
      <w:pPr>
        <w:sectPr>
          <w:pgSz w:w="11900" w:h="16838" w:orient="portrait"/>
          <w:cols w:equalWidth="0" w:num="1">
            <w:col w:w="11240"/>
          </w:cols>
          <w:pgMar w:left="320" w:top="1125" w:right="339" w:bottom="1440" w:gutter="0" w:footer="0" w:header="0"/>
        </w:sectPr>
      </w:pPr>
    </w:p>
    <w:bookmarkStart w:id="217" w:name="page218"/>
    <w:bookmarkEnd w:id="21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Interim appointments made by the Board shall be subject to ratification by the shareholders at their next Ordinary General Meeting. In the absence of ratification, the decisions and steps taken previously by the Board shall nevertheless remain valid.</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ORGANISATION AND DECISIONS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Chairman of the Board</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of Directors shall elect a Chairman from among its members, who must be a natural person, failing which their appointment will be null and void. The Board of Directors shall determine the Chairman’s remuneration in accordance with applicable laws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Chairman of the Board shall organise and oversee the work of the Board and report thereon to the shareholders at a General Meeting.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Chairman shall ensure that the Company’s bodies operate as required, and, in particular, that the directors are able to fulfil their duties.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Chairman of the Board must be less than eighty-five (85) years of age. If the Chairman reaches this age limit whilst in office, they will be deemed to have automatically stepped down and a new Chairman must be appointed in accordance with this Article.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Chairman shall be appointed for a term of office that must not exceed the term of their directorship, and they may be re-elected.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may remove the Chairman from office at any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Chairman is subject to a temporary impediment or dies, the Board of Directors may appoint a director to fulfil the duties of Chairman.</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the event of a temporary impediment, this authority shall be given for a limited period and may be renewed. If the Chairman dies, it shall apply until such time as a new Chairman has been elected.</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Board meetings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Board of Directors shall meet as often as required in the interests of the Company, further to a meeting notice sent by the Chairman or two directors.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Board has not met for more than two (2) months, a minimum of one third of Board members may ask the Chairman to convene a Board meeting to decide on a specific agenda.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Chief Executive Officer may also ask the Chairman to convene a Board meeting to decide on a specific agenda.</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Chairman shall be bound by any requests made to them pursuant to the previous two paragraphs. Meetings may be convened by any means, including verbally.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 shall meet at the registered office or at such other location (in France or another country) as may be stated in the meeting notice, and meetings shall be chaired by the Chairman of the Board or, if the Chairman is subject to an impediment, by a member appointed by the Board to act as Chairman.</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Chairman of the Board shall chair meetings. If the Chairman is subject to an impediment, the Board shall appoint a member present at the meeting to act as Chairman.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each meeting, the Board may appoint a secretary, who may but need not be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9</w:t>
      </w:r>
    </w:p>
    <w:p>
      <w:pPr>
        <w:sectPr>
          <w:pgSz w:w="11900" w:h="16838" w:orient="portrait"/>
          <w:cols w:equalWidth="0" w:num="1">
            <w:col w:w="11240"/>
          </w:cols>
          <w:pgMar w:left="320" w:top="1143"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A register shall be kept and must be signed by the directors who take part in each Board meeting.</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directors, as well as any person who is invited to attend a Board meeting, shall be bound by a duty of discretion with regard to information and data that are designated as confidential by the Chairman.</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Quorum and majority</w:t>
      </w:r>
    </w:p>
    <w:p>
      <w:pPr>
        <w:spacing w:after="0" w:line="19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Board may only validly transact business if at least one half of the directors are present or deemed present, subject to the changes made by the Board’s rules of procedure for meetings held by video-conference or other method of telecommunication.</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Unless these Articles state otherwise and subject to the changes made by the Board’s rules of procedure for meetings held by video-conference or other method of telecommunication, decisions must be taken by a majority of the votes cast by the members present, deemed present or represented.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event of a tie, the Chairman shall have a casting vote.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purpose of calculating the quorum and majority, the directors who take part in a Board meeting by video-conference or method of telecommunication in accordance with the Board’s rules of procedure shall be deemed present. However, directors must be present in person or by proxy for all Board decisions concerning the approval of the annual and consolidated financial statements, the drafting of the management report and the group management report (if applicable) and decisions concerning the removal of the Chairman of the Board of Directors, the Chief Executive Officer and the Deputy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10</w:t>
      </w:r>
    </w:p>
    <w:p>
      <w:pPr>
        <w:sectPr>
          <w:pgSz w:w="11900" w:h="16838" w:orient="portrait"/>
          <w:cols w:equalWidth="0" w:num="1">
            <w:col w:w="11240"/>
          </w:cols>
          <w:pgMar w:left="320" w:top="1143" w:right="339" w:bottom="1440" w:gutter="0" w:footer="0" w:header="0"/>
        </w:sectPr>
      </w:pPr>
    </w:p>
    <w:bookmarkStart w:id="219" w:name="page220"/>
    <w:bookmarkEnd w:id="219"/>
    <w:p>
      <w:pPr>
        <w:jc w:val="both"/>
        <w:spacing w:after="0" w:line="261" w:lineRule="auto"/>
        <w:rPr>
          <w:sz w:val="20"/>
          <w:szCs w:val="20"/>
          <w:color w:val="auto"/>
        </w:rPr>
      </w:pPr>
      <w:r>
        <w:rPr>
          <w:rFonts w:ascii="Times New Roman" w:cs="Times New Roman" w:eastAsia="Times New Roman" w:hAnsi="Times New Roman"/>
          <w:sz w:val="20"/>
          <w:szCs w:val="20"/>
          <w:color w:val="auto"/>
        </w:rPr>
        <w:t>Furthermore, one half of the directors in office may object to a Board meeting being held by video-conference or method of telecommunication. Notice of any such objection must be given in the form and within the time limit stated in the Board’s rules of procedure and/or imposed by applicable law or regulations.</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Representation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director may give another director written permission to represent them at a Board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any given meeting, each director may only hold one proxy form received pursuant to the previous paragraph.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provisions apply to the permanent representative of a legal entity director.</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Written consultations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Board of Directors may also make certain decisions within its remit by virtue of a written consultation, in accordance with the laws and regulations in force.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of a written consultation, the Chairman of the Board must send, by any means, including electronically, each of the directors, the statutory auditors and any representatives of the Economic and Social Committee, such documents as are needed to make decisions concerning items included on the agenda of the consultation.</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directors shall have such period of time as shall be stated in the relevant documents in which to cast their vote and to submit their observations to the Chairman, by any written means, including electronically.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director that does not respond within the specified time limit (which, if not stated in the relevant documents, shall be five (5) days from the date of transmission of the documents) shall be deemed to have abstained.</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Minutes of written consultations shall be drawn up and signed by the Chairman; they must then be sent along with each director’s response to the Company and retained in the same way as the minutes of Board meetings.</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Minutes of decisions</w:t>
      </w:r>
    </w:p>
    <w:p>
      <w:pPr>
        <w:spacing w:after="0" w:line="206" w:lineRule="exact"/>
        <w:rPr>
          <w:sz w:val="20"/>
          <w:szCs w:val="20"/>
          <w:color w:val="auto"/>
        </w:rPr>
      </w:pPr>
    </w:p>
    <w:p>
      <w:pPr>
        <w:ind w:left="80"/>
        <w:spacing w:after="0" w:line="269" w:lineRule="auto"/>
        <w:rPr>
          <w:sz w:val="20"/>
          <w:szCs w:val="20"/>
          <w:color w:val="auto"/>
        </w:rPr>
      </w:pPr>
      <w:r>
        <w:rPr>
          <w:rFonts w:ascii="Times New Roman" w:cs="Times New Roman" w:eastAsia="Times New Roman" w:hAnsi="Times New Roman"/>
          <w:sz w:val="20"/>
          <w:szCs w:val="20"/>
          <w:color w:val="auto"/>
        </w:rPr>
        <w:t>Decisions taken by the Board of Directors shall be recorded in minutes entered in a special minute book, the pages of which must be initialled and signed, and which shall be held at the registered office as required by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11</w:t>
      </w:r>
    </w:p>
    <w:p>
      <w:pPr>
        <w:sectPr>
          <w:pgSz w:w="11900" w:h="16838" w:orient="portrait"/>
          <w:cols w:equalWidth="0" w:num="1">
            <w:col w:w="11240"/>
          </w:cols>
          <w:pgMar w:left="320" w:top="1143" w:right="339" w:bottom="1440" w:gutter="0" w:footer="0" w:header="0"/>
        </w:sectPr>
      </w:pPr>
    </w:p>
    <w:bookmarkStart w:id="220" w:name="page221"/>
    <w:bookmarkEnd w:id="220"/>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POWERS OF THE BOARD OF DIRECTORS – COMMITTEES – OBSERVERS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Powers of the Board of Directors</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Board of Directors shall determine and oversee the implementation of the Company’s business strategy in its corporate interests, with consideration to be given to the social and environmental challenges associated with its business.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Subject to the powers expressly conferred on the shareholders and within the limit of the Company’s objects, the Board of Directors shall attend to all matters relating to the smooth running of the Company and shall settle matters concerning the Company by virtue of its decisions.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dealings with third parties, the Company shall be bound even by the acts of the Board of Directors that fall outside the scope of its objects, unless it can prove that the third party involved knew that a particular act was outside the scope of the Company’s objects or could not have disregarded such fact in view of the circumstances, on the understanding that the publication of these Articles alone will not be sufficient proof of the foregoing.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shall carry out such controls and checks as it deems appropriate.</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Chairman or the Chief Executive Officer is required to provide each director with the information needed to fulfil their duties. Each director may obtain such documents as they consider useful from the Chairman or the Chief Executive Officer.</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decisions taken by the shareholders at their General Meeting of 19 June 2020, the Board may vary these Articles as it sees fit in order to render them compliant with the laws and regulations in force, subject to ratification of the relevant decision by the shareholders at their next Extraordinary General Meeting.</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Committees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Board of Directors may decide to set up committees responsible for examining and issuing an opinion on matters put to them by the Board or its Chairman. These committees shall report to the Board on their work.</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Board of Directors shall set the composition and duties of the committees, which shall operate under the responsibility of the Board. The Board shall set the remuneration of the committee members.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Observers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Company’s existence, the shareholders at an Ordinary General Meeting or the Board of Directors may appoint observers, who may but need not be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more than three (3) observers may be appointed.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They shall be appointed for a period of one (1) year. Their duties will end at the close of the Ordinary General Meeting held in the year in which their mandates expire in order for the shareholders to decide on the financial statements for the previous financial year.</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outgoing observer may be re-elected providing that they fulfil the requirements imposed under this Article. Their mandates may be renewed by decision taken by the shareholders at an Ordinary General Meeting or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12</w:t>
      </w:r>
    </w:p>
    <w:p>
      <w:pPr>
        <w:sectPr>
          <w:pgSz w:w="11900" w:h="16838" w:orient="portrait"/>
          <w:cols w:equalWidth="0" w:num="1">
            <w:col w:w="11240"/>
          </w:cols>
          <w:pgMar w:left="320" w:top="1391"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i w:val="1"/>
          <w:iCs w:val="1"/>
          <w:color w:val="auto"/>
        </w:rPr>
        <w:t>Page 13</w:t>
      </w:r>
    </w:p>
    <w:p>
      <w:pPr>
        <w:sectPr>
          <w:pgSz w:w="11900" w:h="16838" w:orient="portrait"/>
          <w:cols w:equalWidth="0" w:num="1">
            <w:col w:w="10120"/>
          </w:cols>
          <w:pgMar w:left="1440" w:top="1440" w:right="339" w:bottom="1440" w:gutter="0" w:footer="0" w:header="0"/>
        </w:sectPr>
      </w:pPr>
    </w:p>
    <w:bookmarkStart w:id="222" w:name="page223"/>
    <w:bookmarkEnd w:id="222"/>
    <w:p>
      <w:pPr>
        <w:jc w:val="both"/>
        <w:spacing w:after="0" w:line="261" w:lineRule="auto"/>
        <w:rPr>
          <w:sz w:val="20"/>
          <w:szCs w:val="20"/>
          <w:color w:val="auto"/>
        </w:rPr>
      </w:pPr>
      <w:r>
        <w:rPr>
          <w:rFonts w:ascii="Times New Roman" w:cs="Times New Roman" w:eastAsia="Times New Roman" w:hAnsi="Times New Roman"/>
          <w:sz w:val="20"/>
          <w:szCs w:val="20"/>
          <w:color w:val="auto"/>
        </w:rPr>
        <w:t>The observers may be removed and replaced at any time by the shareholders at an Ordinary General Meeting or by the Board of Directors, in which case they will not be entitled to any compensation. The duties of observers will also end due to the death or incapacity of a natural person member or the winding-up or compulsory administration of a legal entity member, or their resignation.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They may be natural persons or legal entities. In the latter case, upon its appointment, the legal entity must appoint a permanent representative, who shall be bound by the same requirements and obligations and shall incur the same liability in civil and criminal law as though they were an observer in their own name, without prejudice to the joint and several liability of the legal entity they represent.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observers must strictly enforce these Articles and put forward their observations at Board meetings. They shall generally provide an ongoing advisory and monitoring service to the Company. However, they must not interfere under any circumstances in the management of the Company or generally act in place of the Company’s statutory bodies.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context of their work, the observers may notably:</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put forward observations to the Board of Directors;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ask to peruse any of the Company’s books, records, registers and documents at the registered office;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request and obtain such information as is useful for their work from senior management and the Company’s statutory auditor; and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present a report on a specific matter to the shareholders at a General Meeting at the request of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observers shall act both individually and collectively solely in an advisory capacity and shall not have the right to vote on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observers may be invited to each Board meeting in the same way as the directors.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Decisions taken by the Board of Directors shall be valid notwithstanding any failure to invite an observer or members to a Board meeting or to provide them with documents prior to the meeting.</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SENIOR MANAGEMENT – DELEGATION OF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Senior management</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accordance with the law, the Company shall be managed, under its responsibility, either by the Chairman of the Board of Directors or by another individual appointed by the Board of Directors with the title of Chief Executive Officer.</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of Directors shall choose between the two management methods at any time and at least upon the expiry of the term of office of the Chief Executive Officer or of the Chairman of the Board of Directors if the latter is also the senior manager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shareholders and third parties must be informed of this decision in accordance with the applicable decree.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Board’s decision concerning the choice of management method must be taken by a majority of the directors present, represented or deemed present, on the understanding that the Chairman will not have a casting vote, subject to the specific provisions of Article 15.3 above if the directors take part in the Board meeting by video-conference or other method of telecommunication.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14</w:t>
      </w:r>
    </w:p>
    <w:p>
      <w:pPr>
        <w:sectPr>
          <w:pgSz w:w="11900" w:h="16838" w:orient="portrait"/>
          <w:cols w:equalWidth="0" w:num="1">
            <w:col w:w="11240"/>
          </w:cols>
          <w:pgMar w:left="320" w:top="1143" w:right="339" w:bottom="1440" w:gutter="0" w:footer="0" w:header="0"/>
        </w:sectPr>
      </w:pPr>
    </w:p>
    <w:bookmarkStart w:id="223" w:name="page224"/>
    <w:bookmarkEnd w:id="223"/>
    <w:p>
      <w:pPr>
        <w:jc w:val="both"/>
        <w:spacing w:after="0" w:line="269" w:lineRule="auto"/>
        <w:rPr>
          <w:sz w:val="20"/>
          <w:szCs w:val="20"/>
          <w:color w:val="auto"/>
        </w:rPr>
      </w:pPr>
      <w:r>
        <w:rPr>
          <w:rFonts w:ascii="Times New Roman" w:cs="Times New Roman" w:eastAsia="Times New Roman" w:hAnsi="Times New Roman"/>
          <w:sz w:val="20"/>
          <w:szCs w:val="20"/>
          <w:color w:val="auto"/>
        </w:rPr>
        <w:t>If the Company is managed by the Chairman of the Board of Directors, the following provisions concerning the Chief Executive Officer shall apply to the Chairman.</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Chief Executive Officer</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Chief Executive Officer has the broadest powers to act in all circumstances in the name of the Company. They shall exercise these powers within the limit of the Company’s objects and subject to the powers expressly conferred by law on the shareholders at a General Meeting and on the Board of Directors.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Chief Executive Officer shall represent the Company in its dealings with third parties. The Company shall be bound even by the acts of the Chief Executive Officer that do not come within the scope of its objects, unless it can prove that the third party concerned knew that a particular act was not within the scope of its objects or could not have disregarded such fact in view of the circumstances, on the understanding that the publication of these Articles alone will not be sufficient proof of the foregoing.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Board of Directors chooses to separate the duties of Chairman and Chief Executive Officer, it shall appoint the Chief Executive Officer, set their term of office, determine their remuneration in accordance with the laws and regulations in force and, if applicable, set restrictions on their powers.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No-one aged seventy-five (75) or over may be appointed as Chief Executive Officer. The Chief Executive Officer’s term of office will automatically end at the annual Ordinary General Meeting convened to approve the Company’s financial statements and held after the date on which the Chief Executive Officer reaches such age. Subject to this reservation, the Chief Executive Officer may be re-elected.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Chief Executive Officer may be removed from office at any time by the Board of Directors.</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Deputy Chief Executive Officers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 proposal by the Chief Executive Officer, whether they are also the Chairman of the Board of Directors or a different person, the Board of Directors may appoint one or more individuals as Deputy Chief Executive Officers – who may but need not be directors or shareholders – to assist the Chief Executive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may not be more than five (5) Deputy Chief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 Deputy Chief Executive Officer is a director, their term of office shall not exceed the term of their directorship.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No-one aged seventy-five (75) or over may be appointed as Deputy Chief Executive Officer. The Deputy Chief Executive Officer’s term of office will automatically end at the annual Ordinary General Meeting convened to approve the Company’s financial statements and held after the date on which the Deputy Chief Executive Officer reaches such age. Subject to this reservation, the Deputy Chief Executive Officer may be re-elected.</w:t>
      </w:r>
    </w:p>
    <w:p>
      <w:pPr>
        <w:spacing w:after="0" w:line="1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Deputy Chief Executive Officers may be removed from office at any time by the Board of Directors, on a proposal by the Chief Executive Officer.</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agreement with the Chief Executive Officer, the Board of Directors shall determine the scope and term of validity of the powers conferred on the Deputy Chief Executive Officers. The Board of Directors shall determine their remuneration in accordance with the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dealings with third parties, the Deputy Chief Executive Officers shall have the same powers as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15</w:t>
      </w:r>
    </w:p>
    <w:p>
      <w:pPr>
        <w:sectPr>
          <w:pgSz w:w="11900" w:h="16838" w:orient="portrait"/>
          <w:cols w:equalWidth="0" w:num="1">
            <w:col w:w="11240"/>
          </w:cols>
          <w:pgMar w:left="320" w:top="1143" w:right="339" w:bottom="1440" w:gutter="0" w:footer="0" w:header="0"/>
        </w:sectPr>
      </w:pPr>
    </w:p>
    <w:bookmarkStart w:id="224" w:name="page225"/>
    <w:bookmarkEnd w:id="224"/>
    <w:p>
      <w:pPr>
        <w:spacing w:after="0" w:line="269" w:lineRule="auto"/>
        <w:rPr>
          <w:sz w:val="20"/>
          <w:szCs w:val="20"/>
          <w:color w:val="auto"/>
        </w:rPr>
      </w:pPr>
      <w:r>
        <w:rPr>
          <w:rFonts w:ascii="Times New Roman" w:cs="Times New Roman" w:eastAsia="Times New Roman" w:hAnsi="Times New Roman"/>
          <w:sz w:val="20"/>
          <w:szCs w:val="20"/>
          <w:color w:val="auto"/>
        </w:rPr>
        <w:t>If the Chief Executive Officer ceases or is unable to perform their duties, unless the Board of Directors decides otherwise, the Deputy Chief Executive Officers shall retain their duties and responsibilities until a new Chief Executive Officer has been appointed.</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Delegation of powers</w:t>
      </w:r>
    </w:p>
    <w:p>
      <w:pPr>
        <w:spacing w:after="0" w:line="2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Board of Directors may appoint agents – who may but need not be directors – to perform such occasional or permanent tasks as shall be determined by the Board, delegate powers to those agents and set their remuneration as it sees fit.</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DIRECTORS’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shareholders at a General Meeting may allocate an annual fixed amount to the directors as remuneration for their work, which the shareholders shall determine without being bound by previous decisions. Any such remuneration shall be booked as operating expenses.</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Board of Directors shall distribute the full allotted amount between its members as it sees fit. It may notably allot to the directors who are members of specialist committees an amount higher than that allotted to the other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may allot exceptional fees in connection with the tasks or assignments allocated to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may authorise the reimbursement of the travel and other expenses incurred by the directors in the Company’s interests.</w:t>
      </w:r>
    </w:p>
    <w:p>
      <w:pPr>
        <w:spacing w:after="0" w:line="200" w:lineRule="exact"/>
        <w:rPr>
          <w:sz w:val="20"/>
          <w:szCs w:val="20"/>
          <w:color w:val="auto"/>
        </w:rPr>
      </w:pPr>
    </w:p>
    <w:p>
      <w:pPr>
        <w:spacing w:after="0" w:line="277" w:lineRule="exact"/>
        <w:rPr>
          <w:sz w:val="20"/>
          <w:szCs w:val="20"/>
          <w:color w:val="auto"/>
        </w:rPr>
      </w:pPr>
    </w:p>
    <w:p>
      <w:pPr>
        <w:jc w:val="both"/>
        <w:ind w:left="1380" w:right="1540" w:hanging="1295"/>
        <w:spacing w:after="0" w:line="23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0"/>
          <w:szCs w:val="20"/>
          <w:b w:val="1"/>
          <w:bCs w:val="1"/>
          <w:color w:val="auto"/>
        </w:rPr>
        <w:t>AGREEMENTS BETWEEN THE COMPANY AND A DIRECTOR, THE CHIEF EXECUTIVE OFFICER, A DEPUTY CHIEF EXECUTIVE OFFICER OR A SHAREHOLDER THAT HOLDS MORE THAN 10%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145415</wp:posOffset>
            </wp:positionV>
            <wp:extent cx="537464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Agreements subject to authorisation</w:t>
      </w:r>
    </w:p>
    <w:p>
      <w:pPr>
        <w:spacing w:after="0" w:line="19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color w:val="auto"/>
        </w:rPr>
        <w:t>Any agreement other than those concerning ordinary transactions entered into under arm’s length conditions that is entered into directly or through an intermediary between the Company and one of its directors, the Chief Executive Officer, a Deputy Chief Executive Officer or a shareholder that holds more than 10% of voting rights in the Company or, in the case of a legal entity shareholder, the company that controls it within the meaning of Article L. 233-3 of the French Commercial Code, are subject to the prior authorisation of the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also applies to agreements in which any of the persons referred to in the previous paragraph has an indirect interest.</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Agreements entered into between the Company and an undertaking are also subject to prior authorisation if the Chief Executive Officer, a Deputy Chief Executive Officer or a director of the Company is the owner, a partner or shareholder with unlimited liability, a manager, a director, a Supervisory Board member or, generally, an executive of that undertaking.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agreements must be authorised and approved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16</w:t>
      </w:r>
    </w:p>
    <w:p>
      <w:pPr>
        <w:sectPr>
          <w:pgSz w:w="11900" w:h="16838" w:orient="portrait"/>
          <w:cols w:equalWidth="0" w:num="1">
            <w:col w:w="11240"/>
          </w:cols>
          <w:pgMar w:left="320" w:top="1143" w:right="339" w:bottom="1440" w:gutter="0" w:footer="0" w:header="0"/>
        </w:sectPr>
      </w:pPr>
    </w:p>
    <w:bookmarkStart w:id="225" w:name="page226"/>
    <w:bookmarkEnd w:id="225"/>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Prohibited agreements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directors other than legal entity directors are prohibited from taking out any form of loan with the Company, from having the Company grant them an overdraft on a current account or otherwise, and from having the Company guarantee or endorse their commitments to third parties, failing which the relevant agreement will be null and void.</w:t>
      </w:r>
    </w:p>
    <w:p>
      <w:pPr>
        <w:spacing w:after="0" w:line="16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color w:val="auto"/>
        </w:rPr>
        <w:t>The same prohibition applies to the Chief Executive Officer, the Deputy Chief Executive Officers and the permanent representatives of legal entity directors. It also applies to the spouses, ascendants and descendants of the persons referred to in this Article and to any intermediary.</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Ordinary agreements</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Agreements concerning ordinary operations that are entered into under arm’s length conditions are not subject to the statutory authorisation and approval procedure.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AUDITS OF THE COMPANY’S FINANCIAL STATEMENTS</w:t>
      </w:r>
    </w:p>
    <w:p>
      <w:pPr>
        <w:spacing w:after="0" w:line="200" w:lineRule="exact"/>
        <w:rPr>
          <w:sz w:val="20"/>
          <w:szCs w:val="20"/>
          <w:color w:val="auto"/>
        </w:rPr>
      </w:pPr>
    </w:p>
    <w:p>
      <w:pPr>
        <w:spacing w:after="0" w:line="24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APPOINTMENT OF STATUTORY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financial statements shall be audited by one or more principal – and, if applicable, alternate – statutory auditors, who shall be appointed and who shall perform their duties as required by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Company’s existence, the statutory auditors shall be appointed by the shareholders at an Ordinary General Meeting.</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For each principal statutory auditor, an alternate statutory auditor may be appointed. Any alternate statutory auditors shall be appointed at the same time as the principal statutory auditors and for the same term, and shall replace the principal statutory auditors if the latter refuse to act, are subject to an impediment, resign or die.</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statutory auditors shall be appointed for six (6) financial years by the shareholders at an Ordinary General Meeting. Their engagements will expire after the Ordinary General Meeting held to decide on the financial statements for the sixth financial year.</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STATUTORY AUDITORS’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statutory auditors are vested with the duties and powers conferred on them by the laws and regulations in force. They may carry out such checks and audits as they consider appropriate at any time of the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statutory auditors must be convened to all shareholder meetings at the latest at the same time as the shareholders themselves.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statutory auditors’ remuneration shall be determined in accordance with the regulations in force.</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They must be convened to the Board of Directors’ meeting at which the Board approves the financial statements for the previous year and, if applicable, to any other Board meeting, at the same time as the directors themselves.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statutory auditors must be convened by registered letter (with acknowledgement of receipt requested).</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i w:val="1"/>
          <w:iCs w:val="1"/>
          <w:color w:val="auto"/>
        </w:rPr>
        <w:t>Page 17</w:t>
      </w:r>
    </w:p>
    <w:p>
      <w:pPr>
        <w:sectPr>
          <w:pgSz w:w="11900" w:h="16838" w:orient="portrait"/>
          <w:cols w:equalWidth="0" w:num="1">
            <w:col w:w="11240"/>
          </w:cols>
          <w:pgMar w:left="320" w:top="1125" w:right="339" w:bottom="1440" w:gutter="0" w:footer="0" w:header="0"/>
          <w:type w:val="continuous"/>
        </w:sectPr>
      </w:pPr>
    </w:p>
    <w:bookmarkStart w:id="226" w:name="page227"/>
    <w:bookmarkEnd w:id="226"/>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SHAREHOLDER MEETINGS</w:t>
      </w: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QUORUM AND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General Meetings, the shareholders shall transact business in accordance with the law.</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Ordinary and Extraordinary General Meetings shall be held when convened for the first – or second if applicable – time in accordance with the quorum requirements imposed by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Decisions taken at General Meetings must be taken in accordance with the majority requirements imposed by law.</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shareholders at an Ordinary General Meeting shall make all decisions other than those that are within the exclusive remit of the shareholders at an Extraordinary General Meeting according to the law and these Articles.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shareholders at an Extraordinary General Meeting have exclusive remit to vary the provisions of these Articles, subject to the provisions of Articles 3 and 16 hereof.</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a meeting is held by video-conference or other method of telecommunication permitted by law in accordance with Article 23 below, for the purpose of calculating the quorum and majority, the shareholders who take part in the meeting by video-conference or method of telecommunication will be deemed to be present.</w:t>
      </w:r>
    </w:p>
    <w:p>
      <w:pPr>
        <w:spacing w:after="0" w:line="200" w:lineRule="exact"/>
        <w:rPr>
          <w:sz w:val="20"/>
          <w:szCs w:val="20"/>
          <w:color w:val="auto"/>
        </w:rPr>
      </w:pPr>
    </w:p>
    <w:p>
      <w:pPr>
        <w:spacing w:after="0" w:line="209"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NOTICE OF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General meetings shall be convened by the Board of Directors, by the statutory auditors or by an agent appointed by a court of law in accordance with the terms and conditions provided for by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They shall be held at the registered office or at such other location as may be stated in the meeting notice.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For so long as the shares in the Company are admitted to trading on a regulated market or if the shares are not all registered shares, the Company is required, at least thirty-five (35) days before any meeting, to publish notice of the meeting – such notice to contain the information required by the laws and regulations in force – in the </w:t>
      </w:r>
      <w:r>
        <w:rPr>
          <w:rFonts w:ascii="Times New Roman" w:cs="Times New Roman" w:eastAsia="Times New Roman" w:hAnsi="Times New Roman"/>
          <w:sz w:val="20"/>
          <w:szCs w:val="20"/>
          <w:i w:val="1"/>
          <w:iCs w:val="1"/>
          <w:color w:val="auto"/>
        </w:rPr>
        <w:t>Bulletin des Annonces Légales Obligatoires</w:t>
      </w:r>
      <w:r>
        <w:rPr>
          <w:rFonts w:ascii="Times New Roman" w:cs="Times New Roman" w:eastAsia="Times New Roman" w:hAnsi="Times New Roman"/>
          <w:sz w:val="20"/>
          <w:szCs w:val="20"/>
          <w:color w:val="auto"/>
        </w:rPr>
        <w:t xml:space="preserve"> (BALO, the Gazette of Compulsory Legal Announcements).</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General Meetings must be convened through publication of a notice in a newspaper authorised to publish legal announcements in the county in which the registered office is located and in the </w:t>
      </w:r>
      <w:r>
        <w:rPr>
          <w:rFonts w:ascii="Times New Roman" w:cs="Times New Roman" w:eastAsia="Times New Roman" w:hAnsi="Times New Roman"/>
          <w:sz w:val="20"/>
          <w:szCs w:val="20"/>
          <w:i w:val="1"/>
          <w:iCs w:val="1"/>
          <w:color w:val="auto"/>
        </w:rPr>
        <w:t>Bulletin des Annonces Légales Obligatoires</w:t>
      </w:r>
      <w:r>
        <w:rPr>
          <w:rFonts w:ascii="Times New Roman" w:cs="Times New Roman" w:eastAsia="Times New Roman" w:hAnsi="Times New Roman"/>
          <w:sz w:val="20"/>
          <w:szCs w:val="20"/>
          <w:color w:val="auto"/>
        </w:rPr>
        <w:t xml:space="preserve"> (BALO).</w:t>
      </w:r>
    </w:p>
    <w:p>
      <w:pPr>
        <w:spacing w:after="0" w:line="146"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color w:val="auto"/>
        </w:rPr>
        <w:t>However, in place of the notices published as stated in the previous paragraph, notice may be given, at the Company’s expense, by letter sent by ordinary post or registered letter to each shareholder. Notice may also be given electronically in accordance with the regulations in force.</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shareholder may also, if the Board so decides when a meeting is convened, take part in and vote at meetings held by video-conference or any method of telecommunication by which they can be identified, in accordance with the terms and conditions of the laws and regulations in force.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i w:val="1"/>
          <w:iCs w:val="1"/>
          <w:color w:val="auto"/>
        </w:rPr>
        <w:t>Page 18</w:t>
      </w:r>
    </w:p>
    <w:p>
      <w:pPr>
        <w:sectPr>
          <w:pgSz w:w="11900" w:h="16838" w:orient="portrait"/>
          <w:cols w:equalWidth="0" w:num="1">
            <w:col w:w="11240"/>
          </w:cols>
          <w:pgMar w:left="320" w:top="1440" w:right="339" w:bottom="1440" w:gutter="0" w:footer="0" w:header="0"/>
          <w:type w:val="continuous"/>
        </w:sectPr>
      </w:pPr>
    </w:p>
    <w:bookmarkStart w:id="227" w:name="page228"/>
    <w:bookmarkEnd w:id="227"/>
    <w:p>
      <w:pPr>
        <w:jc w:val="both"/>
        <w:spacing w:after="0" w:line="269" w:lineRule="auto"/>
        <w:rPr>
          <w:sz w:val="20"/>
          <w:szCs w:val="20"/>
          <w:color w:val="auto"/>
        </w:rPr>
      </w:pPr>
      <w:r>
        <w:rPr>
          <w:rFonts w:ascii="Times New Roman" w:cs="Times New Roman" w:eastAsia="Times New Roman" w:hAnsi="Times New Roman"/>
          <w:sz w:val="20"/>
          <w:szCs w:val="20"/>
          <w:color w:val="auto"/>
        </w:rPr>
        <w:t>Any meeting that is not convened as required may be cancelled. However, action to declare a meeting null and void will be inadmissible if all the shareholders were present or represented.</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of a meeting shall be set by the person who convenes the meeting.</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However, one or more shareholders representing at least 5% of the share capital (or a group of shareholders that fulfil the requirements imposed by law) may, in accordance with the law, ask for draft resolutions to be added to the agenda of a meeting. Such requests must be sent along with the draft resolutions and may or may not be sent along with a brief explanation of the reasons for the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draft resolutions, of which the shareholders must be informed, shall be added to the agenda and put to the vote at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meeting, the shareholders may only discuss items included on the agenda.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Nonetheless, they may remove and replace one or more directors in any circumstances.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of a reconvened meeting must be identical to the agenda of the meeting originally convened.</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ADMISSION TO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shareholder may take part, in person, by proxy or by correspondence, in all types of General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order to be entitled to take part in General Meetings, the shareholders must produce proof of the following:</w:t>
      </w:r>
    </w:p>
    <w:p>
      <w:pPr>
        <w:spacing w:after="0" w:line="202" w:lineRule="exact"/>
        <w:rPr>
          <w:sz w:val="20"/>
          <w:szCs w:val="20"/>
          <w:color w:val="auto"/>
        </w:rPr>
      </w:pPr>
    </w:p>
    <w:p>
      <w:pPr>
        <w:ind w:left="660" w:right="20" w:hanging="202"/>
        <w:spacing w:after="0"/>
        <w:rPr>
          <w:sz w:val="20"/>
          <w:szCs w:val="20"/>
          <w:color w:val="auto"/>
        </w:rPr>
      </w:pPr>
      <w:r>
        <w:rPr>
          <w:rFonts w:ascii="Times New Roman" w:cs="Times New Roman" w:eastAsia="Times New Roman" w:hAnsi="Times New Roman"/>
          <w:sz w:val="20"/>
          <w:szCs w:val="20"/>
          <w:color w:val="auto"/>
        </w:rPr>
        <w:t>for registered shares, that they were registered, within the time limit imposed by law prior to the Meeting, in the registered share accounts held by the Company; and</w:t>
      </w:r>
    </w:p>
    <w:p>
      <w:pPr>
        <w:spacing w:after="0" w:line="161" w:lineRule="exact"/>
        <w:rPr>
          <w:sz w:val="20"/>
          <w:szCs w:val="20"/>
          <w:color w:val="auto"/>
        </w:rPr>
      </w:pPr>
    </w:p>
    <w:p>
      <w:pPr>
        <w:ind w:left="660" w:hanging="202"/>
        <w:spacing w:after="0" w:line="233" w:lineRule="auto"/>
        <w:rPr>
          <w:sz w:val="20"/>
          <w:szCs w:val="20"/>
          <w:color w:val="auto"/>
        </w:rPr>
      </w:pPr>
      <w:r>
        <w:rPr>
          <w:rFonts w:ascii="Times New Roman" w:cs="Times New Roman" w:eastAsia="Times New Roman" w:hAnsi="Times New Roman"/>
          <w:sz w:val="20"/>
          <w:szCs w:val="20"/>
          <w:color w:val="auto"/>
        </w:rPr>
        <w:t>for bearer shares, that they were registered, within the time limit imposed by law prior to the Meeting, in the bearer share accounts held by the authorised intermediary.</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booking or registration of securities in the bearer securities accounts kept by the authorised intermediary shall be recorded in a certificate issued by the said intermediary.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shareholder whose shares have not been fully paid-up may not attend meetings.</w:t>
      </w:r>
    </w:p>
    <w:p>
      <w:pPr>
        <w:spacing w:after="0" w:line="200" w:lineRule="exact"/>
        <w:rPr>
          <w:sz w:val="20"/>
          <w:szCs w:val="20"/>
          <w:color w:val="auto"/>
        </w:rPr>
      </w:pPr>
    </w:p>
    <w:p>
      <w:pPr>
        <w:spacing w:after="0" w:line="277"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SHAREHOLDER REPRESENTATION AND POSTAL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Shareholder representation</w:t>
      </w:r>
    </w:p>
    <w:p>
      <w:pPr>
        <w:spacing w:after="0" w:line="20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shareholder may be represented by another shareholder, by their spouse or partner with whom they have entered into a civil partnership or by any person of their choosing.</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Any shareholder may receive a proxy form in order to represent another shareholder at a meeting. In this respect, no limits apply other than those imposed by law that set the maximum number of votes that may be held by the same person, in their own name and as a proxy.</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Postal ballots</w:t>
      </w:r>
    </w:p>
    <w:p>
      <w:pPr>
        <w:spacing w:after="0" w:line="20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When a meeting has been convened, a postal ballot form and its attachments must be delivered in person or sent, at the Company’s expense, to any shareholder who makes a written request to that effect.</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i w:val="1"/>
          <w:iCs w:val="1"/>
          <w:color w:val="auto"/>
        </w:rPr>
        <w:t>Page 19</w:t>
      </w:r>
    </w:p>
    <w:p>
      <w:pPr>
        <w:sectPr>
          <w:pgSz w:w="11900" w:h="16838" w:orient="portrait"/>
          <w:cols w:equalWidth="0" w:num="1">
            <w:col w:w="11240"/>
          </w:cols>
          <w:pgMar w:left="320" w:top="1143" w:right="33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The Company must accept any request deposited or received at the registered office at least six (6) days before the date of the meeting.</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MEETING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Shareholder meetings must be chaired by the Chairman of the Board of Directors or, in their absence, by a director appointed for that purpose by the Board. Otherwise, the shareholders must elect a chairman themselves.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a meeting is convened by the statutory auditors, a court-appointed agent or the liquidators, it must be chaired by the person or one of the persons who convened 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two consenting persons present at the meeting who hold the most votes shall act as tellers.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meeting officers must appoint a secretary, who may but need not be a shareholder.</w:t>
      </w:r>
    </w:p>
    <w:p>
      <w:pPr>
        <w:spacing w:after="0" w:line="200" w:lineRule="exact"/>
        <w:rPr>
          <w:sz w:val="20"/>
          <w:szCs w:val="20"/>
          <w:color w:val="auto"/>
        </w:rPr>
      </w:pPr>
    </w:p>
    <w:p>
      <w:pPr>
        <w:spacing w:after="0" w:line="277"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MINUTES OF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decisions taken at shareholder meetings must be recorded in minutes drawn up and signed by the meeting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They must state the date and venue of the meeting, the method used to convene the meeting, the agenda, the meeting officers, the number of shares involved in the vote and the quorum reached, the documents and reports submitted to the shareholders, a summary of the discussions, the resolutions put to the vote and the results of the voting process.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Minutes must be entered in a special minute book kept at the registered office in accordance with the regulations in force.</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in the absence of the required quorum, the shareholders cannot validly transact business, minutes must be drawn up by the officers of the meeting to record the foregoing.</w:t>
      </w:r>
    </w:p>
    <w:p>
      <w:pPr>
        <w:spacing w:after="0" w:line="394"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SHAREHOLDERS’ RIGHT TO INFORMATION AND RIGHT OF SCRUTINY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Before each meeting, the Board of Directors must make available to the shareholders the documents they need to make informed decisions and to make an informed judgment on the management and running of the Company.</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Following receipt of the above documents, any shareholder may submit written questions, in accordance with the laws and regulations in force, to which the Board of Directors must respond at the meeting.</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Any shareholder has the right to obtain, at any time, the documents that the Board of Directors is required to make available to them at the registered office or to send to them in accordance with the laws and regulations in force.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YEAR – ANNUAL FINANCIAL STATEMENTS – ACCOUNTING AND FINANCIAL INFORMATION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APPROPRIATION OF PROFIT/LOSSES</w:t>
      </w:r>
    </w:p>
    <w:p>
      <w:pPr>
        <w:spacing w:after="0" w:line="200" w:lineRule="exact"/>
        <w:rPr>
          <w:sz w:val="20"/>
          <w:szCs w:val="20"/>
          <w:color w:val="auto"/>
        </w:rPr>
      </w:pPr>
    </w:p>
    <w:p>
      <w:pPr>
        <w:spacing w:after="0" w:line="24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i w:val="1"/>
          <w:iCs w:val="1"/>
          <w:color w:val="auto"/>
        </w:rPr>
        <w:t>Page 20</w:t>
      </w:r>
    </w:p>
    <w:p>
      <w:pPr>
        <w:sectPr>
          <w:pgSz w:w="11900" w:h="16838" w:orient="portrait"/>
          <w:cols w:equalWidth="0" w:num="1">
            <w:col w:w="11240"/>
          </w:cols>
          <w:pgMar w:left="320" w:top="1143" w:right="33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20"/>
          <w:szCs w:val="20"/>
          <w:color w:val="auto"/>
        </w:rPr>
        <w:t>The financial year has a term of twelve months. It begins on the first of January and ends on the thirty-first of December each year.</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the end of each financial year, the Board of Directors must prepare a statement of the Company’s assets and liabilities at year end, as well as the annual financial statements.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 must draw up a management report on the Company’s position and business during the past year, its operating results, the progress made and difficulties encountered, its foreseeable development and future prospects, any significant events that have occurred between year end and the date of the report, and its research and development activities.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annual financial statements, the management report and, where applicable, the consolidated financial statements and group management report must be made available to the statutory auditors at the registered office at least one month before the meeting at which the shareholders are to decide on the Company’s annual financial statements is convened.</w:t>
      </w:r>
    </w:p>
    <w:p>
      <w:pPr>
        <w:spacing w:after="0" w:line="200" w:lineRule="exact"/>
        <w:rPr>
          <w:sz w:val="20"/>
          <w:szCs w:val="20"/>
          <w:color w:val="auto"/>
        </w:rPr>
      </w:pPr>
    </w:p>
    <w:p>
      <w:pPr>
        <w:spacing w:after="0" w:line="229"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APPROPRIATION AND DISTRIBUTION OF PROFIT/LOSSES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the annual financial statements approved by the shareholders at a General Meeting show that the Company has generated a distributable profit, as defined by law, the shareholders may decide to appropriate that profit to one or more reserves – in which case they must decide how it will be allocated or used –, carry the profit forward or distribute it.</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shareholders at a General Meeting may choose to receive the whole or part of any dividend or interim dividend in cash or shares, in accordance with the law.</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Following the approval of the financial statements by the shareholders at a General Meeting, any loss must be carried forward and set off against profit for future financial years until it has been cleared.</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portion of profit to which each shareholder is entitled and each shareholder’s liability for any loss shall be proportionate to its interest in the share capital.</w:t>
      </w: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EQUITY LESS THAN ONE HALF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owing to losses recorded in the accounting documents, the Company’s equity falls below one half of its share capital, the Board of Directors is required, within four (4) months of the approval of the financial statements showing the loss, to convene an Extraordinary General Meeting of shareholders to decide whether to wind up the Company early.</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 decision is made not to wind up the Company, subject to the provisions of Article L. 224-2 of the French Commercial Code, the Company is required, by the end of the second financial year following that in which the loss was recorded, to reduce its share capital at least by the amount of the loss that cannot be appropriated to the reserves unless, within that timeframe, it has rebuilt its equity to an amount equal to at least one half of its share capital. If these requirements are not met, any interested person may petition a court of law to wind up the Company. However, the Court may not make an order for the Company to be wound up if, on the day on which it decides the case, the situation has been remedied.</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i w:val="1"/>
          <w:iCs w:val="1"/>
          <w:color w:val="auto"/>
        </w:rPr>
        <w:t>Page 21</w:t>
      </w:r>
    </w:p>
    <w:p>
      <w:pPr>
        <w:sectPr>
          <w:pgSz w:w="11900" w:h="16838" w:orient="portrait"/>
          <w:cols w:equalWidth="0" w:num="1">
            <w:col w:w="11240"/>
          </w:cols>
          <w:pgMar w:left="320" w:top="1143" w:right="339" w:bottom="1440" w:gutter="0" w:footer="0" w:header="0"/>
          <w:type w:val="continuous"/>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0"/>
          <w:szCs w:val="20"/>
          <w:b w:val="1"/>
          <w:bCs w:val="1"/>
          <w:color w:val="auto"/>
        </w:rPr>
        <w:t>SECTION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WINDING-UP – LIQUIDATION – DISPUTES</w:t>
      </w: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WINDING-UP —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the expiry of the term of incorporation set by the Company or if the Company is wound up early, the shareholders at a General Meeting must decide the terms of the liquidation proceedings and appoint one or more liquidators, whose powers shall be determined by the shareholders and who shall perform their duties as required by law.</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all shares in the Company are held by a sole shareholder, the expiry of the term of incorporation of the Company or the winding-up of the Company for whatever reason shall entail the transfer of all of its assets and liabilities to the legal entity sole shareholder, without the need to liquidate the Company, subject to the creditors’ right of opposition, in accordance with the provisions of Article 1844-5 of the French Civil Code.</w:t>
      </w:r>
    </w:p>
    <w:p>
      <w:pPr>
        <w:spacing w:after="0" w:line="200" w:lineRule="exact"/>
        <w:rPr>
          <w:sz w:val="20"/>
          <w:szCs w:val="20"/>
          <w:color w:val="auto"/>
        </w:rPr>
      </w:pPr>
    </w:p>
    <w:p>
      <w:pPr>
        <w:spacing w:after="0" w:line="233"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159385</wp:posOffset>
            </wp:positionV>
            <wp:extent cx="537464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dispute that may arise during the Company’s existence or upon its liquidation between the Company and its shareholders or directors or between the shareholders themselves concerning the Company’s affairs shall be heard and decided in accordance with the law and referred to the competent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22</w:t>
      </w:r>
    </w:p>
    <w:p>
      <w:pPr>
        <w:sectPr>
          <w:pgSz w:w="11900" w:h="16838" w:orient="portrait"/>
          <w:cols w:equalWidth="0" w:num="1">
            <w:col w:w="11240"/>
          </w:cols>
          <w:pgMar w:left="320" w:top="1139" w:right="339" w:bottom="1440" w:gutter="0" w:footer="0" w:header="0"/>
        </w:sectPr>
      </w:pPr>
    </w:p>
    <w:bookmarkStart w:id="231" w:name="page232"/>
    <w:bookmarkEnd w:id="231"/>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00" w:lineRule="exact"/>
        <w:rPr>
          <w:sz w:val="20"/>
          <w:szCs w:val="20"/>
          <w:color w:val="auto"/>
        </w:rPr>
      </w:pPr>
    </w:p>
    <w:p>
      <w:pPr>
        <w:spacing w:after="0" w:line="221" w:lineRule="exact"/>
        <w:rPr>
          <w:sz w:val="20"/>
          <w:szCs w:val="20"/>
          <w:color w:val="auto"/>
        </w:rPr>
      </w:pPr>
    </w:p>
    <w:p>
      <w:pPr>
        <w:ind w:right="80" w:firstLine="441"/>
        <w:spacing w:after="0" w:line="229" w:lineRule="auto"/>
        <w:rPr>
          <w:sz w:val="20"/>
          <w:szCs w:val="20"/>
          <w:color w:val="auto"/>
        </w:rPr>
      </w:pPr>
      <w:r>
        <w:rPr>
          <w:rFonts w:ascii="Times New Roman" w:cs="Times New Roman" w:eastAsia="Times New Roman" w:hAnsi="Times New Roman"/>
          <w:sz w:val="17"/>
          <w:szCs w:val="17"/>
          <w:color w:val="auto"/>
        </w:rPr>
        <w:t>The following description of the ordinary shares, the American Depositary Shares and the articles of association, or bylaws, of Abivax SA (“Abivax,” the “Company,” “us” or “we”) is a summary and does not purport to be complete. This summary is subject to, and qualified in its entirety by reference to, the complete text of the Company’s bylaws, which are incorporated by reference as Exhibit 3.1 of the Company’s Annual Report on Form 20-</w:t>
      </w:r>
    </w:p>
    <w:p>
      <w:pPr>
        <w:spacing w:after="0"/>
        <w:rPr>
          <w:sz w:val="20"/>
          <w:szCs w:val="20"/>
          <w:color w:val="auto"/>
        </w:rPr>
      </w:pPr>
      <w:r>
        <w:rPr>
          <w:rFonts w:ascii="Times New Roman" w:cs="Times New Roman" w:eastAsia="Times New Roman" w:hAnsi="Times New Roman"/>
          <w:sz w:val="18"/>
          <w:szCs w:val="18"/>
          <w:color w:val="auto"/>
        </w:rPr>
        <w:t>F to which this description is also an exhibit. The Company encourages you to read the Company’s bylaws carefully.</w:t>
      </w:r>
    </w:p>
    <w:p>
      <w:pPr>
        <w:spacing w:after="0" w:line="165" w:lineRule="exact"/>
        <w:rPr>
          <w:sz w:val="20"/>
          <w:szCs w:val="20"/>
          <w:color w:val="auto"/>
        </w:rPr>
      </w:pPr>
    </w:p>
    <w:p>
      <w:pPr>
        <w:ind w:right="100" w:firstLine="441"/>
        <w:spacing w:after="0" w:line="237" w:lineRule="auto"/>
        <w:rPr>
          <w:sz w:val="20"/>
          <w:szCs w:val="20"/>
          <w:color w:val="auto"/>
        </w:rPr>
      </w:pPr>
      <w:r>
        <w:rPr>
          <w:rFonts w:ascii="Times New Roman" w:cs="Times New Roman" w:eastAsia="Times New Roman" w:hAnsi="Times New Roman"/>
          <w:sz w:val="18"/>
          <w:szCs w:val="18"/>
          <w:color w:val="auto"/>
        </w:rPr>
        <w:t>As of December 31, 2025, Abivax had the following series of securities registered pursuant to Section 12(b) of the Securities Exchange Act of 1934, as amended, or the Exchange Act:</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50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6"/>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250"/>
        </w:trPr>
        <w:tc>
          <w:tcPr>
            <w:tcW w:w="42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16"/>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r>
      <w:tr>
        <w:trPr>
          <w:trHeight w:val="245"/>
        </w:trPr>
        <w:tc>
          <w:tcPr>
            <w:tcW w:w="42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ABVX</w:t>
            </w:r>
          </w:p>
        </w:tc>
        <w:tc>
          <w:tcPr>
            <w:tcW w:w="5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34"/>
        </w:trPr>
        <w:tc>
          <w:tcPr>
            <w:tcW w:w="42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194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spacing w:after="0"/>
              <w:rPr>
                <w:sz w:val="20"/>
                <w:szCs w:val="20"/>
                <w:color w:val="auto"/>
              </w:rPr>
            </w:pPr>
          </w:p>
        </w:tc>
      </w:tr>
      <w:tr>
        <w:trPr>
          <w:trHeight w:val="229"/>
        </w:trPr>
        <w:tc>
          <w:tcPr>
            <w:tcW w:w="424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right w:val="single" w:sz="8" w:color="auto"/>
            </w:tcBorders>
          </w:tcPr>
          <w:p>
            <w:pPr>
              <w:spacing w:after="0"/>
              <w:rPr>
                <w:sz w:val="19"/>
                <w:szCs w:val="19"/>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Not for trading, but only in connection with the registration of the American Depositary Shares.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ORDINARY SHARES</w:t>
      </w:r>
    </w:p>
    <w:p>
      <w:pPr>
        <w:jc w:val="center"/>
        <w:ind w:right="-219"/>
        <w:spacing w:after="0" w:line="234" w:lineRule="auto"/>
        <w:rPr>
          <w:sz w:val="20"/>
          <w:szCs w:val="20"/>
          <w:color w:val="auto"/>
        </w:rPr>
      </w:pPr>
      <w:r>
        <w:rPr>
          <w:rFonts w:ascii="Times New Roman" w:cs="Times New Roman" w:eastAsia="Times New Roman" w:hAnsi="Times New Roman"/>
          <w:sz w:val="18"/>
          <w:szCs w:val="18"/>
          <w:color w:val="auto"/>
        </w:rPr>
        <w:t>As of December 31, 2025, our issued share capital consisted of a total of 78,536,412 ordinary shares outstanding with a nominal value of €0.01 per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192" w:lineRule="exact"/>
        <w:rPr>
          <w:sz w:val="20"/>
          <w:szCs w:val="20"/>
          <w:color w:val="auto"/>
        </w:rPr>
      </w:pPr>
    </w:p>
    <w:p>
      <w:pPr>
        <w:ind w:right="80" w:firstLine="441"/>
        <w:spacing w:after="0" w:line="226" w:lineRule="auto"/>
        <w:rPr>
          <w:sz w:val="20"/>
          <w:szCs w:val="20"/>
          <w:color w:val="auto"/>
        </w:rPr>
      </w:pPr>
      <w:r>
        <w:rPr>
          <w:rFonts w:ascii="Times New Roman" w:cs="Times New Roman" w:eastAsia="Times New Roman" w:hAnsi="Times New Roman"/>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text of our bylaws, which are incorporated by reference as Exhibit 3.1 of the Company’s Annual Report on Form 20-F to which this description is also an exhibit.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Meetings and Voting Rights (Articles 12, 22, 23, 24, 25 and 26 of the By-Laws)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79" w:lineRule="exact"/>
        <w:rPr>
          <w:sz w:val="20"/>
          <w:szCs w:val="20"/>
          <w:color w:val="auto"/>
        </w:rPr>
      </w:pPr>
    </w:p>
    <w:p>
      <w:pPr>
        <w:ind w:right="200"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there are three types of shareholders’ meetings: ordinary, extraordinary and special.</w:t>
      </w:r>
    </w:p>
    <w:p>
      <w:pPr>
        <w:spacing w:after="0" w:line="146" w:lineRule="exact"/>
        <w:rPr>
          <w:sz w:val="20"/>
          <w:szCs w:val="20"/>
          <w:color w:val="auto"/>
        </w:rPr>
      </w:pPr>
    </w:p>
    <w:p>
      <w:pPr>
        <w:ind w:right="40" w:firstLine="441"/>
        <w:spacing w:after="0" w:line="236" w:lineRule="auto"/>
        <w:rPr>
          <w:sz w:val="20"/>
          <w:szCs w:val="20"/>
          <w:color w:val="auto"/>
        </w:rPr>
      </w:pPr>
      <w:r>
        <w:rPr>
          <w:rFonts w:ascii="Times New Roman" w:cs="Times New Roman" w:eastAsia="Times New Roman" w:hAnsi="Times New Roman"/>
          <w:sz w:val="17"/>
          <w:szCs w:val="17"/>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w:t>
      </w:r>
    </w:p>
    <w:p>
      <w:pPr>
        <w:ind w:right="360"/>
        <w:spacing w:after="0" w:line="239" w:lineRule="auto"/>
        <w:rPr>
          <w:sz w:val="20"/>
          <w:szCs w:val="20"/>
          <w:color w:val="auto"/>
        </w:rPr>
      </w:pPr>
      <w:r>
        <w:rPr>
          <w:rFonts w:ascii="Times New Roman" w:cs="Times New Roman" w:eastAsia="Times New Roman" w:hAnsi="Times New Roman"/>
          <w:sz w:val="17"/>
          <w:szCs w:val="17"/>
          <w:color w:val="auto"/>
        </w:rPr>
        <w:t>In addition, pursuant to recommendation of the French Market Authority (</w:t>
      </w:r>
      <w:r>
        <w:rPr>
          <w:rFonts w:ascii="Times New Roman" w:cs="Times New Roman" w:eastAsia="Times New Roman" w:hAnsi="Times New Roman"/>
          <w:sz w:val="17"/>
          <w:szCs w:val="17"/>
          <w:i w:val="1"/>
          <w:iCs w:val="1"/>
          <w:color w:val="auto"/>
        </w:rPr>
        <w:t>Autorité des Marchés Financiers</w:t>
      </w:r>
      <w:r>
        <w:rPr>
          <w:rFonts w:ascii="Times New Roman" w:cs="Times New Roman" w:eastAsia="Times New Roman" w:hAnsi="Times New Roman"/>
          <w:sz w:val="17"/>
          <w:szCs w:val="17"/>
          <w:color w:val="auto"/>
        </w:rPr>
        <w:t>) (“AMF”), French listed companies may be required to conduct a consultation of the Ordinary Shareholders Meeting prior to the disposal of the majority of their assets, under certain conditions.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Extraordinary shareholders’ meetings are required for approval of matters such as amendments to our by-laws, including amendments required in</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prior approval of each shareholder.</w:t>
      </w:r>
    </w:p>
    <w:p>
      <w:pPr>
        <w:spacing w:after="0" w:line="165" w:lineRule="exact"/>
        <w:rPr>
          <w:sz w:val="20"/>
          <w:szCs w:val="20"/>
          <w:color w:val="auto"/>
        </w:rPr>
      </w:pPr>
    </w:p>
    <w:p>
      <w:pPr>
        <w:ind w:right="180" w:firstLine="441"/>
        <w:spacing w:after="0" w:line="222" w:lineRule="auto"/>
        <w:rPr>
          <w:sz w:val="20"/>
          <w:szCs w:val="20"/>
          <w:color w:val="auto"/>
        </w:rPr>
      </w:pPr>
      <w:r>
        <w:rPr>
          <w:rFonts w:ascii="Times New Roman" w:cs="Times New Roman" w:eastAsia="Times New Roman" w:hAnsi="Times New Roman"/>
          <w:sz w:val="18"/>
          <w:szCs w:val="18"/>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relevant special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Voting Rights of Warrant Holders</w:t>
      </w:r>
    </w:p>
    <w:p>
      <w:pPr>
        <w:sectPr>
          <w:pgSz w:w="11900" w:h="16838" w:orient="portrait"/>
          <w:cols w:equalWidth="0" w:num="1">
            <w:col w:w="11260"/>
          </w:cols>
          <w:pgMar w:left="320" w:top="106" w:right="319" w:bottom="1440" w:gutter="0" w:footer="0" w:header="0"/>
        </w:sectPr>
      </w:pPr>
    </w:p>
    <w:bookmarkStart w:id="232" w:name="page233"/>
    <w:bookmarkEnd w:id="232"/>
    <w:p>
      <w:pPr>
        <w:spacing w:after="0" w:line="70" w:lineRule="exact"/>
        <w:rPr>
          <w:sz w:val="20"/>
          <w:szCs w:val="20"/>
          <w:color w:val="auto"/>
        </w:rPr>
      </w:pPr>
    </w:p>
    <w:p>
      <w:pPr>
        <w:ind w:right="220" w:firstLine="441"/>
        <w:spacing w:after="0" w:line="224" w:lineRule="auto"/>
        <w:rPr>
          <w:sz w:val="20"/>
          <w:szCs w:val="20"/>
          <w:color w:val="auto"/>
        </w:rPr>
      </w:pPr>
      <w:r>
        <w:rPr>
          <w:rFonts w:ascii="Times New Roman" w:cs="Times New Roman" w:eastAsia="Times New Roman" w:hAnsi="Times New Roman"/>
          <w:sz w:val="18"/>
          <w:szCs w:val="18"/>
          <w:color w:val="auto"/>
        </w:rPr>
        <w:t>Under French law, the holders of warrants of the same class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warrants that were issued at the same time and with the same rights), including founder’s share warrants (BCEs), are entitled to vote as a separate class at a general meeting of that class of warrant holders under certain circumstances,</w:t>
      </w:r>
    </w:p>
    <w:p>
      <w:pPr>
        <w:ind w:right="120"/>
        <w:spacing w:after="0" w:line="226" w:lineRule="auto"/>
        <w:rPr>
          <w:sz w:val="20"/>
          <w:szCs w:val="20"/>
          <w:color w:val="auto"/>
        </w:rPr>
      </w:pPr>
      <w:r>
        <w:rPr>
          <w:rFonts w:ascii="Times New Roman" w:cs="Times New Roman" w:eastAsia="Times New Roman" w:hAnsi="Times New Roman"/>
          <w:sz w:val="18"/>
          <w:szCs w:val="18"/>
          <w:color w:val="auto"/>
        </w:rPr>
        <w:t>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94" w:lineRule="exact"/>
        <w:rPr>
          <w:sz w:val="20"/>
          <w:szCs w:val="20"/>
          <w:color w:val="auto"/>
        </w:rPr>
      </w:pPr>
    </w:p>
    <w:p>
      <w:pPr>
        <w:ind w:firstLine="441"/>
        <w:spacing w:after="0" w:line="239" w:lineRule="auto"/>
        <w:rPr>
          <w:sz w:val="20"/>
          <w:szCs w:val="20"/>
          <w:color w:val="auto"/>
        </w:rPr>
      </w:pPr>
      <w:r>
        <w:rPr>
          <w:rFonts w:ascii="Times New Roman" w:cs="Times New Roman" w:eastAsia="Times New Roman" w:hAnsi="Times New Roman"/>
          <w:sz w:val="17"/>
          <w:szCs w:val="17"/>
          <w:color w:val="auto"/>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Times New Roman" w:cs="Times New Roman" w:eastAsia="Times New Roman" w:hAnsi="Times New Roman"/>
          <w:sz w:val="17"/>
          <w:szCs w:val="17"/>
          <w:i w:val="1"/>
          <w:iCs w:val="1"/>
          <w:color w:val="auto"/>
        </w:rPr>
        <w:t>Tribunal de Commerce</w:t>
      </w:r>
      <w:r>
        <w:rPr>
          <w:rFonts w:ascii="Times New Roman" w:cs="Times New Roman" w:eastAsia="Times New Roman" w:hAnsi="Times New Roman"/>
          <w:sz w:val="17"/>
          <w:szCs w:val="17"/>
          <w:color w:val="auto"/>
        </w:rPr>
        <w:t>) at the request of the Board. The Board may also convene an ordinary or extraordinary shareholders’ meeting upon proper notice at any time during the year.</w:t>
      </w:r>
    </w:p>
    <w:p>
      <w:pPr>
        <w:spacing w:after="0" w:line="172" w:lineRule="exact"/>
        <w:rPr>
          <w:sz w:val="20"/>
          <w:szCs w:val="20"/>
          <w:color w:val="auto"/>
        </w:rPr>
      </w:pPr>
    </w:p>
    <w:p>
      <w:pPr>
        <w:ind w:right="20" w:firstLine="441"/>
        <w:spacing w:after="0" w:line="229" w:lineRule="auto"/>
        <w:rPr>
          <w:sz w:val="20"/>
          <w:szCs w:val="20"/>
          <w:color w:val="auto"/>
        </w:rPr>
      </w:pPr>
      <w:r>
        <w:rPr>
          <w:rFonts w:ascii="Times New Roman" w:cs="Times New Roman" w:eastAsia="Times New Roman" w:hAnsi="Times New Roman"/>
          <w:sz w:val="17"/>
          <w:szCs w:val="17"/>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w:t>
      </w:r>
    </w:p>
    <w:p>
      <w:pPr>
        <w:jc w:val="both"/>
        <w:spacing w:after="0" w:line="218" w:lineRule="auto"/>
        <w:rPr>
          <w:sz w:val="20"/>
          <w:szCs w:val="20"/>
          <w:color w:val="auto"/>
        </w:rPr>
      </w:pPr>
      <w:r>
        <w:rPr>
          <w:rFonts w:ascii="Times New Roman" w:cs="Times New Roman" w:eastAsia="Times New Roman" w:hAnsi="Times New Roman"/>
          <w:sz w:val="18"/>
          <w:szCs w:val="18"/>
          <w:color w:val="auto"/>
        </w:rPr>
        <w:t>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72" w:lineRule="exact"/>
        <w:rPr>
          <w:sz w:val="20"/>
          <w:szCs w:val="20"/>
          <w:color w:val="auto"/>
        </w:rPr>
      </w:pPr>
    </w:p>
    <w:p>
      <w:pPr>
        <w:jc w:val="both"/>
        <w:ind w:right="40" w:firstLine="441"/>
        <w:spacing w:after="0" w:line="226" w:lineRule="auto"/>
        <w:rPr>
          <w:sz w:val="20"/>
          <w:szCs w:val="20"/>
          <w:color w:val="auto"/>
        </w:rPr>
      </w:pPr>
      <w:r>
        <w:rPr>
          <w:rFonts w:ascii="Times New Roman" w:cs="Times New Roman" w:eastAsia="Times New Roman" w:hAnsi="Times New Roman"/>
          <w:sz w:val="18"/>
          <w:szCs w:val="18"/>
          <w:color w:val="auto"/>
        </w:rPr>
        <w:t>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Shareholders’ Meeting</w:t>
      </w:r>
    </w:p>
    <w:p>
      <w:pPr>
        <w:spacing w:after="0" w:line="81" w:lineRule="exact"/>
        <w:rPr>
          <w:sz w:val="20"/>
          <w:szCs w:val="20"/>
          <w:color w:val="auto"/>
        </w:rPr>
      </w:pPr>
    </w:p>
    <w:p>
      <w:pPr>
        <w:ind w:right="240" w:firstLine="441"/>
        <w:spacing w:after="0" w:line="222" w:lineRule="auto"/>
        <w:rPr>
          <w:sz w:val="20"/>
          <w:szCs w:val="20"/>
          <w:color w:val="auto"/>
        </w:rPr>
      </w:pPr>
      <w:r>
        <w:rPr>
          <w:rFonts w:ascii="Times New Roman" w:cs="Times New Roman" w:eastAsia="Times New Roman" w:hAnsi="Times New Roman"/>
          <w:sz w:val="18"/>
          <w:szCs w:val="18"/>
          <w:color w:val="auto"/>
        </w:rPr>
        <w:t xml:space="preserve">We are subject to French law requirements in relation to notice of shareholders’ meetings and announce shareholders’ meetings at least 35 days in advance by means of a preliminary notice published in the </w:t>
      </w:r>
      <w:r>
        <w:rPr>
          <w:rFonts w:ascii="Times New Roman" w:cs="Times New Roman" w:eastAsia="Times New Roman" w:hAnsi="Times New Roman"/>
          <w:sz w:val="18"/>
          <w:szCs w:val="18"/>
          <w:i w:val="1"/>
          <w:iCs w:val="1"/>
          <w:color w:val="auto"/>
        </w:rPr>
        <w:t>Bulletin des annonces légales obligatoires</w:t>
      </w:r>
      <w:r>
        <w:rPr>
          <w:rFonts w:ascii="Times New Roman" w:cs="Times New Roman" w:eastAsia="Times New Roman" w:hAnsi="Times New Roman"/>
          <w:sz w:val="18"/>
          <w:szCs w:val="18"/>
          <w:color w:val="auto"/>
        </w:rPr>
        <w:t xml:space="preserve"> (BALO), as well as on our website at least 21 days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prior to the meeting. At least 15 days prior to the date set for a shareholders’ meeting, or ten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provided for in the current legislation.</w:t>
      </w:r>
    </w:p>
    <w:p>
      <w:pPr>
        <w:spacing w:after="0" w:line="165" w:lineRule="exact"/>
        <w:rPr>
          <w:sz w:val="20"/>
          <w:szCs w:val="20"/>
          <w:color w:val="auto"/>
        </w:rPr>
      </w:pPr>
    </w:p>
    <w:p>
      <w:pPr>
        <w:ind w:right="160" w:firstLine="441"/>
        <w:spacing w:after="0" w:line="222" w:lineRule="auto"/>
        <w:rPr>
          <w:sz w:val="20"/>
          <w:szCs w:val="20"/>
          <w:color w:val="auto"/>
        </w:rPr>
      </w:pPr>
      <w:r>
        <w:rPr>
          <w:rFonts w:ascii="Times New Roman" w:cs="Times New Roman" w:eastAsia="Times New Roman" w:hAnsi="Times New Roman"/>
          <w:sz w:val="18"/>
          <w:szCs w:val="18"/>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and Conduct of Annual Shareholders’ Meetings.</w:t>
      </w:r>
    </w:p>
    <w:p>
      <w:pPr>
        <w:spacing w:after="0" w:line="81" w:lineRule="exact"/>
        <w:rPr>
          <w:sz w:val="20"/>
          <w:szCs w:val="20"/>
          <w:color w:val="auto"/>
        </w:rPr>
      </w:pPr>
    </w:p>
    <w:p>
      <w:pPr>
        <w:ind w:right="260" w:firstLine="441"/>
        <w:spacing w:after="0" w:line="222" w:lineRule="auto"/>
        <w:rPr>
          <w:sz w:val="20"/>
          <w:szCs w:val="20"/>
          <w:color w:val="auto"/>
        </w:rPr>
      </w:pPr>
      <w:r>
        <w:rPr>
          <w:rFonts w:ascii="Times New Roman" w:cs="Times New Roman" w:eastAsia="Times New Roman" w:hAnsi="Times New Roman"/>
          <w:sz w:val="18"/>
          <w:szCs w:val="18"/>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and Voting at Shareholders’ Meetings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Ownership of one share implies, </w:t>
      </w:r>
      <w:r>
        <w:rPr>
          <w:rFonts w:ascii="Times New Roman" w:cs="Times New Roman" w:eastAsia="Times New Roman" w:hAnsi="Times New Roman"/>
          <w:sz w:val="18"/>
          <w:szCs w:val="18"/>
          <w:i w:val="1"/>
          <w:iCs w:val="1"/>
          <w:color w:val="auto"/>
        </w:rPr>
        <w:t>ipso jure</w:t>
      </w:r>
      <w:r>
        <w:rPr>
          <w:rFonts w:ascii="Times New Roman" w:cs="Times New Roman" w:eastAsia="Times New Roman" w:hAnsi="Times New Roman"/>
          <w:sz w:val="18"/>
          <w:szCs w:val="18"/>
          <w:color w:val="auto"/>
        </w:rPr>
        <w:t>, adherence to our by-laws and the decision of the shareholders’ meeting.</w:t>
      </w:r>
    </w:p>
    <w:p>
      <w:pPr>
        <w:spacing w:after="0" w:line="200" w:lineRule="exact"/>
        <w:rPr>
          <w:sz w:val="20"/>
          <w:szCs w:val="20"/>
          <w:color w:val="auto"/>
        </w:rPr>
      </w:pPr>
    </w:p>
    <w:p>
      <w:pPr>
        <w:ind w:right="200" w:firstLine="441"/>
        <w:spacing w:after="0" w:line="237" w:lineRule="auto"/>
        <w:rPr>
          <w:sz w:val="20"/>
          <w:szCs w:val="20"/>
          <w:color w:val="auto"/>
        </w:rPr>
      </w:pPr>
      <w:r>
        <w:rPr>
          <w:rFonts w:ascii="Times New Roman" w:cs="Times New Roman" w:eastAsia="Times New Roman" w:hAnsi="Times New Roman"/>
          <w:sz w:val="18"/>
          <w:szCs w:val="18"/>
          <w:color w:val="auto"/>
        </w:rPr>
        <w:t>The voting rights attached to equity or dividend shares are proportional to the percentage of the share capital they represent. Each share entitles the holder to one vote.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a double voting right compared to that conferred to other shares with regard to the percentage of share capital they represent is allocated to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all fully paid-up ordinary shares with proof of being held in registered form by the same owner for at least two (2) years. Under French law, treasury shares or ordinary shares held by entities controlled by us are not entitled to voting rights and do not count for quorum purposes.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participate in any general meeting, shareholders are required to have their shares registered under the conditions and time limits provided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for the applicable laws before such general meeting in their name or in the name of an intermediary registered on their behalf, either in the registered shares shareholder account or in the bearer shares shareholder account.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Proxies and Votes by Mail or Videoconference</w:t>
      </w:r>
    </w:p>
    <w:p>
      <w:pPr>
        <w:spacing w:after="0" w:line="94" w:lineRule="exact"/>
        <w:rPr>
          <w:sz w:val="20"/>
          <w:szCs w:val="20"/>
          <w:color w:val="auto"/>
        </w:rPr>
      </w:pPr>
    </w:p>
    <w:p>
      <w:pPr>
        <w:jc w:val="both"/>
        <w:ind w:right="60" w:firstLine="441"/>
        <w:spacing w:after="0" w:line="216" w:lineRule="auto"/>
        <w:rPr>
          <w:sz w:val="20"/>
          <w:szCs w:val="20"/>
          <w:color w:val="auto"/>
        </w:rPr>
      </w:pPr>
      <w:r>
        <w:rPr>
          <w:rFonts w:ascii="Times New Roman" w:cs="Times New Roman" w:eastAsia="Times New Roman" w:hAnsi="Times New Roman"/>
          <w:sz w:val="18"/>
          <w:szCs w:val="18"/>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if provided for by the by-laws, by videoconference or by any means of telecommunications in accordance with applicable regulations, if the Board provides for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possibility when convening the meeting.</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Proxies are sent to any shareholder upon request. In order to be counted, such proxies must be received at our registered office, or at any other</w:t>
      </w:r>
    </w:p>
    <w:p>
      <w:pPr>
        <w:spacing w:after="0" w:line="219" w:lineRule="auto"/>
        <w:rPr>
          <w:sz w:val="20"/>
          <w:szCs w:val="20"/>
          <w:color w:val="auto"/>
        </w:rPr>
      </w:pPr>
      <w:r>
        <w:rPr>
          <w:rFonts w:ascii="Times New Roman" w:cs="Times New Roman" w:eastAsia="Times New Roman" w:hAnsi="Times New Roman"/>
          <w:sz w:val="18"/>
          <w:szCs w:val="18"/>
          <w:color w:val="auto"/>
        </w:rPr>
        <w:t>address indicated on the notice convening the meeting, prior to the date of the meeting. A shareholder may grant proxies to his or her spouse, civil partner,</w:t>
      </w:r>
    </w:p>
    <w:p>
      <w:pPr>
        <w:ind w:right="400"/>
        <w:spacing w:after="0" w:line="218" w:lineRule="auto"/>
        <w:rPr>
          <w:sz w:val="20"/>
          <w:szCs w:val="20"/>
          <w:color w:val="auto"/>
        </w:rPr>
      </w:pPr>
      <w:r>
        <w:rPr>
          <w:rFonts w:ascii="Times New Roman" w:cs="Times New Roman" w:eastAsia="Times New Roman" w:hAnsi="Times New Roman"/>
          <w:sz w:val="18"/>
          <w:szCs w:val="18"/>
          <w:color w:val="auto"/>
        </w:rPr>
        <w:t>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72" w:lineRule="exact"/>
        <w:rPr>
          <w:sz w:val="20"/>
          <w:szCs w:val="20"/>
          <w:color w:val="auto"/>
        </w:rPr>
      </w:pPr>
    </w:p>
    <w:p>
      <w:pPr>
        <w:ind w:right="120" w:firstLine="441"/>
        <w:spacing w:after="0" w:line="216" w:lineRule="auto"/>
        <w:rPr>
          <w:sz w:val="20"/>
          <w:szCs w:val="20"/>
          <w:color w:val="auto"/>
        </w:rPr>
      </w:pPr>
      <w:r>
        <w:rPr>
          <w:rFonts w:ascii="Times New Roman" w:cs="Times New Roman" w:eastAsia="Times New Roman" w:hAnsi="Times New Roman"/>
          <w:sz w:val="18"/>
          <w:szCs w:val="18"/>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so</w:t>
      </w:r>
    </w:p>
    <w:p>
      <w:pPr>
        <w:spacing w:after="0" w:line="1" w:lineRule="exact"/>
        <w:rPr>
          <w:sz w:val="20"/>
          <w:szCs w:val="20"/>
          <w:color w:val="auto"/>
        </w:rPr>
      </w:pPr>
    </w:p>
    <w:p>
      <w:pPr>
        <w:ind w:right="360"/>
        <w:spacing w:after="0" w:line="218" w:lineRule="auto"/>
        <w:rPr>
          <w:sz w:val="20"/>
          <w:szCs w:val="20"/>
          <w:color w:val="auto"/>
        </w:rPr>
      </w:pPr>
      <w:r>
        <w:rPr>
          <w:rFonts w:ascii="Times New Roman" w:cs="Times New Roman" w:eastAsia="Times New Roman" w:hAnsi="Times New Roman"/>
          <w:sz w:val="18"/>
          <w:szCs w:val="18"/>
          <w:color w:val="auto"/>
        </w:rPr>
        <w:t>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72" w:lineRule="exact"/>
        <w:rPr>
          <w:sz w:val="20"/>
          <w:szCs w:val="20"/>
          <w:color w:val="auto"/>
        </w:rPr>
      </w:pPr>
    </w:p>
    <w:p>
      <w:pPr>
        <w:ind w:right="480" w:firstLine="441"/>
        <w:spacing w:after="0" w:line="226" w:lineRule="auto"/>
        <w:rPr>
          <w:sz w:val="20"/>
          <w:szCs w:val="20"/>
          <w:color w:val="auto"/>
        </w:rPr>
      </w:pPr>
      <w:r>
        <w:rPr>
          <w:rFonts w:ascii="Times New Roman" w:cs="Times New Roman" w:eastAsia="Times New Roman" w:hAnsi="Times New Roman"/>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81" w:lineRule="exact"/>
        <w:rPr>
          <w:sz w:val="20"/>
          <w:szCs w:val="20"/>
          <w:color w:val="auto"/>
        </w:rPr>
      </w:pPr>
    </w:p>
    <w:p>
      <w:pPr>
        <w:ind w:right="200" w:firstLine="441"/>
        <w:spacing w:after="0" w:line="222" w:lineRule="auto"/>
        <w:rPr>
          <w:sz w:val="20"/>
          <w:szCs w:val="20"/>
          <w:color w:val="auto"/>
        </w:rPr>
      </w:pPr>
      <w:r>
        <w:rPr>
          <w:rFonts w:ascii="Times New Roman" w:cs="Times New Roman" w:eastAsia="Times New Roman" w:hAnsi="Times New Roman"/>
          <w:sz w:val="18"/>
          <w:szCs w:val="18"/>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requirements for a quorum are not satisfied, the meeting is adjourned. When an adjourned ordinary shareholders’ meeting is resumed, there is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for the meeting convened on the first call. Should the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234" w:name="page235"/>
    <w:bookmarkEnd w:id="234"/>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be reconvened, the quorum requirement is one-fifth of the certain class of shares entitled to voting rights for the meeting.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Majority</w:t>
      </w:r>
    </w:p>
    <w:p>
      <w:pPr>
        <w:spacing w:after="0" w:line="94" w:lineRule="exact"/>
        <w:rPr>
          <w:sz w:val="20"/>
          <w:szCs w:val="20"/>
          <w:color w:val="auto"/>
        </w:rPr>
      </w:pPr>
    </w:p>
    <w:p>
      <w:pPr>
        <w:ind w:right="340" w:firstLine="441"/>
        <w:spacing w:after="0" w:line="216" w:lineRule="auto"/>
        <w:rPr>
          <w:sz w:val="20"/>
          <w:szCs w:val="20"/>
          <w:color w:val="auto"/>
        </w:rPr>
      </w:pPr>
      <w:r>
        <w:rPr>
          <w:rFonts w:ascii="Times New Roman" w:cs="Times New Roman" w:eastAsia="Times New Roman" w:hAnsi="Times New Roman"/>
          <w:sz w:val="18"/>
          <w:szCs w:val="18"/>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votes cast is required. A unanimous shareholder vote is required to increase shareholders’ liabilities. Abstention from</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voting rights and do not count for quorum or majority purposes.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Other Communications with Shareholders</w:t>
      </w:r>
    </w:p>
    <w:p>
      <w:pPr>
        <w:spacing w:after="0" w:line="81" w:lineRule="exact"/>
        <w:rPr>
          <w:sz w:val="20"/>
          <w:szCs w:val="20"/>
          <w:color w:val="auto"/>
        </w:rPr>
      </w:pPr>
    </w:p>
    <w:p>
      <w:pPr>
        <w:ind w:right="220" w:firstLine="441"/>
        <w:spacing w:after="0" w:line="279" w:lineRule="auto"/>
        <w:rPr>
          <w:sz w:val="20"/>
          <w:szCs w:val="20"/>
          <w:color w:val="auto"/>
        </w:rPr>
      </w:pPr>
      <w:r>
        <w:rPr>
          <w:rFonts w:ascii="Times New Roman" w:cs="Times New Roman" w:eastAsia="Times New Roman" w:hAnsi="Times New Roman"/>
          <w:sz w:val="17"/>
          <w:szCs w:val="17"/>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26" w:lineRule="exact"/>
        <w:rPr>
          <w:sz w:val="20"/>
          <w:szCs w:val="20"/>
          <w:color w:val="auto"/>
        </w:rPr>
      </w:pPr>
    </w:p>
    <w:p>
      <w:pPr>
        <w:ind w:right="280" w:firstLine="441"/>
        <w:spacing w:after="0" w:line="236" w:lineRule="auto"/>
        <w:rPr>
          <w:sz w:val="20"/>
          <w:szCs w:val="20"/>
          <w:color w:val="auto"/>
        </w:rPr>
      </w:pPr>
      <w:r>
        <w:rPr>
          <w:rFonts w:ascii="Times New Roman" w:cs="Times New Roman" w:eastAsia="Times New Roman" w:hAnsi="Times New Roman"/>
          <w:sz w:val="17"/>
          <w:szCs w:val="17"/>
          <w:color w:val="auto"/>
        </w:rPr>
        <w:t>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w:t>
      </w:r>
    </w:p>
    <w:p>
      <w:pPr>
        <w:ind w:right="120"/>
        <w:spacing w:after="0" w:line="218" w:lineRule="auto"/>
        <w:rPr>
          <w:sz w:val="20"/>
          <w:szCs w:val="20"/>
          <w:color w:val="auto"/>
        </w:rPr>
      </w:pPr>
      <w:r>
        <w:rPr>
          <w:rFonts w:ascii="Times New Roman" w:cs="Times New Roman" w:eastAsia="Times New Roman" w:hAnsi="Times New Roman"/>
          <w:sz w:val="18"/>
          <w:szCs w:val="18"/>
          <w:color w:val="auto"/>
        </w:rPr>
        <w:t>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Preferences and Restrictions Attaching to Ordinary Shares (Articles 7, 11, 30, 31 and 32 of the By-Laws)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4" w:lineRule="exact"/>
        <w:rPr>
          <w:sz w:val="20"/>
          <w:szCs w:val="20"/>
          <w:color w:val="auto"/>
        </w:rPr>
      </w:pPr>
    </w:p>
    <w:p>
      <w:pPr>
        <w:ind w:firstLine="441"/>
        <w:spacing w:after="0" w:line="216" w:lineRule="auto"/>
        <w:rPr>
          <w:sz w:val="20"/>
          <w:szCs w:val="20"/>
          <w:color w:val="auto"/>
        </w:rPr>
      </w:pPr>
      <w:r>
        <w:rPr>
          <w:rFonts w:ascii="Times New Roman" w:cs="Times New Roman" w:eastAsia="Times New Roman" w:hAnsi="Times New Roman"/>
          <w:sz w:val="18"/>
          <w:szCs w:val="18"/>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our by-laws.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Reserve</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French law, we are required to allocate 5% of our net income for each fiscal year, after reduction for losses carried forward from previous</w:t>
      </w:r>
    </w:p>
    <w:p>
      <w:pPr>
        <w:spacing w:after="0" w:line="2" w:lineRule="exact"/>
        <w:rPr>
          <w:sz w:val="20"/>
          <w:szCs w:val="20"/>
          <w:color w:val="auto"/>
        </w:rPr>
      </w:pPr>
    </w:p>
    <w:p>
      <w:pPr>
        <w:ind w:right="440"/>
        <w:spacing w:after="0" w:line="218" w:lineRule="auto"/>
        <w:rPr>
          <w:sz w:val="20"/>
          <w:szCs w:val="20"/>
          <w:color w:val="auto"/>
        </w:rPr>
      </w:pPr>
      <w:r>
        <w:rPr>
          <w:rFonts w:ascii="Times New Roman" w:cs="Times New Roman" w:eastAsia="Times New Roman" w:hAnsi="Times New Roman"/>
          <w:sz w:val="18"/>
          <w:szCs w:val="18"/>
          <w:color w:val="auto"/>
        </w:rPr>
        <w:t>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2025, our legal reserve was €0.</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Dividends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paid in cash or as shares upon the option of the shareholders if such option is granted at the annual ordinary shareholders’ meeting.</w:t>
      </w:r>
    </w:p>
    <w:p>
      <w:pPr>
        <w:spacing w:after="0" w:line="165" w:lineRule="exact"/>
        <w:rPr>
          <w:sz w:val="20"/>
          <w:szCs w:val="20"/>
          <w:color w:val="auto"/>
        </w:rPr>
      </w:pPr>
    </w:p>
    <w:p>
      <w:pPr>
        <w:jc w:val="both"/>
        <w:ind w:right="20" w:firstLine="441"/>
        <w:spacing w:after="0" w:line="229" w:lineRule="auto"/>
        <w:rPr>
          <w:sz w:val="20"/>
          <w:szCs w:val="20"/>
          <w:color w:val="auto"/>
        </w:rPr>
      </w:pPr>
      <w:r>
        <w:rPr>
          <w:rFonts w:ascii="Times New Roman" w:cs="Times New Roman" w:eastAsia="Times New Roman" w:hAnsi="Times New Roman"/>
          <w:sz w:val="17"/>
          <w:szCs w:val="17"/>
          <w:color w:val="auto"/>
        </w:rPr>
        <w:t>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w:t>
      </w:r>
    </w:p>
    <w:p>
      <w:pPr>
        <w:spacing w:after="0"/>
        <w:rPr>
          <w:sz w:val="20"/>
          <w:szCs w:val="20"/>
          <w:color w:val="auto"/>
        </w:rPr>
      </w:pPr>
      <w:r>
        <w:rPr>
          <w:rFonts w:ascii="Times New Roman" w:cs="Times New Roman" w:eastAsia="Times New Roman" w:hAnsi="Times New Roman"/>
          <w:sz w:val="18"/>
          <w:szCs w:val="18"/>
          <w:color w:val="auto"/>
        </w:rPr>
        <w:t>interim dividends paid in shares, prior authorization by an ordinary shareholders’ meeting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Dividends and Timing of Payment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principle, dividends are distributed to shareholders pro rata according to their respective shareholdings.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Payment</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French law, we must pay any dividends within nine months of the end of our fiscal year, unless otherwise authorized by an order of the</w:t>
      </w:r>
    </w:p>
    <w:p>
      <w:pPr>
        <w:ind w:right="100"/>
        <w:spacing w:after="0" w:line="233" w:lineRule="auto"/>
        <w:rPr>
          <w:sz w:val="20"/>
          <w:szCs w:val="20"/>
          <w:color w:val="auto"/>
        </w:rPr>
      </w:pPr>
      <w:r>
        <w:rPr>
          <w:rFonts w:ascii="Times New Roman" w:cs="Times New Roman" w:eastAsia="Times New Roman" w:hAnsi="Times New Roman"/>
          <w:sz w:val="18"/>
          <w:szCs w:val="18"/>
          <w:color w:val="auto"/>
        </w:rPr>
        <w:t>President of the French Commercial Court. Dividends on shares that are not claimed within five years of the date of declared payment revert to the French State.</w:t>
      </w:r>
    </w:p>
    <w:p>
      <w:pPr>
        <w:spacing w:after="0" w:line="159" w:lineRule="exact"/>
        <w:rPr>
          <w:sz w:val="20"/>
          <w:szCs w:val="20"/>
          <w:color w:val="auto"/>
        </w:rPr>
      </w:pPr>
    </w:p>
    <w:p>
      <w:pPr>
        <w:ind w:right="140" w:firstLine="441"/>
        <w:spacing w:after="0" w:line="236" w:lineRule="auto"/>
        <w:rPr>
          <w:sz w:val="20"/>
          <w:szCs w:val="20"/>
          <w:color w:val="auto"/>
        </w:rPr>
      </w:pPr>
      <w:r>
        <w:rPr>
          <w:rFonts w:ascii="Times New Roman" w:cs="Times New Roman" w:eastAsia="Times New Roman" w:hAnsi="Times New Roman"/>
          <w:sz w:val="17"/>
          <w:szCs w:val="17"/>
          <w:color w:val="auto"/>
        </w:rPr>
        <w:t>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w:t>
      </w:r>
    </w:p>
    <w:p>
      <w:pPr>
        <w:spacing w:after="0"/>
        <w:rPr>
          <w:sz w:val="20"/>
          <w:szCs w:val="20"/>
          <w:color w:val="auto"/>
        </w:rPr>
      </w:pPr>
      <w:r>
        <w:rPr>
          <w:rFonts w:ascii="Times New Roman" w:cs="Times New Roman" w:eastAsia="Times New Roman" w:hAnsi="Times New Roman"/>
          <w:sz w:val="18"/>
          <w:szCs w:val="18"/>
          <w:color w:val="auto"/>
        </w:rPr>
        <w:t>absence of such a decision by the shareholders. Shareholders that own shares on the actual payment date are entitled to the dividend.</w:t>
      </w:r>
    </w:p>
    <w:p>
      <w:pPr>
        <w:spacing w:after="0" w:line="165" w:lineRule="exact"/>
        <w:rPr>
          <w:sz w:val="20"/>
          <w:szCs w:val="20"/>
          <w:color w:val="auto"/>
        </w:rPr>
      </w:pPr>
    </w:p>
    <w:p>
      <w:pPr>
        <w:ind w:right="120" w:firstLine="441"/>
        <w:spacing w:after="0" w:line="237" w:lineRule="auto"/>
        <w:rPr>
          <w:sz w:val="20"/>
          <w:szCs w:val="20"/>
          <w:color w:val="auto"/>
        </w:rPr>
      </w:pPr>
      <w:r>
        <w:rPr>
          <w:rFonts w:ascii="Times New Roman" w:cs="Times New Roman" w:eastAsia="Times New Roman" w:hAnsi="Times New Roman"/>
          <w:sz w:val="18"/>
          <w:szCs w:val="18"/>
          <w:color w:val="auto"/>
        </w:rPr>
        <w:t>Shareholders may be granted an option to receive dividends in cash or in shares, in accordance with legal conditions. The conditions for payment of dividends in cash shall be set at the shareholders’ meeting or, failing this, by the Board.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Share Capital</w:t>
      </w:r>
    </w:p>
    <w:p>
      <w:pPr>
        <w:spacing w:after="0" w:line="81"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meetings apply. All other share capital increases require the approval of an extraordinary shareholders’ meeting. See “Description of Share Capital— Shareholders’ Meetings and Voting Rights (Articles 6, 12 and 22 of the By-Laws)”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our share capital may be effected by:</w:t>
      </w:r>
    </w:p>
    <w:p>
      <w:pPr>
        <w:spacing w:after="0" w:line="90" w:lineRule="exact"/>
        <w:rPr>
          <w:sz w:val="20"/>
          <w:szCs w:val="20"/>
          <w:color w:val="auto"/>
        </w:rPr>
      </w:pPr>
    </w:p>
    <w:p>
      <w:pPr>
        <w:ind w:left="920" w:hanging="251"/>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additional shares;</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par value of existing shares;</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new class of equity securities; and</w:t>
      </w:r>
    </w:p>
    <w:p>
      <w:pPr>
        <w:spacing w:after="0" w:line="90"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rights attached to securities giving access to the share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share capital by issuing additional securities may be effected through one or a combination of the following:</w:t>
      </w:r>
    </w:p>
    <w:p>
      <w:pPr>
        <w:spacing w:after="0" w:line="77" w:lineRule="exact"/>
        <w:rPr>
          <w:sz w:val="20"/>
          <w:szCs w:val="20"/>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cash;</w:t>
      </w:r>
    </w:p>
    <w:p>
      <w:pPr>
        <w:spacing w:after="0" w:line="90"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assets contributed in kind;</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 exchange offer;</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conversion of previously issued debt instruments;</w:t>
      </w:r>
    </w:p>
    <w:p>
      <w:pPr>
        <w:spacing w:after="0" w:line="90"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capitalization of profits, reserves or share premium; and</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conditions, by way of offset against debt incurred by us.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certain conditions, shareholders may delegate the authority (</w:t>
      </w:r>
      <w:r>
        <w:rPr>
          <w:rFonts w:ascii="Times New Roman" w:cs="Times New Roman" w:eastAsia="Times New Roman" w:hAnsi="Times New Roman"/>
          <w:sz w:val="18"/>
          <w:szCs w:val="18"/>
          <w:i w:val="1"/>
          <w:iCs w:val="1"/>
          <w:color w:val="auto"/>
        </w:rPr>
        <w:t>délégation de compétence</w:t>
      </w:r>
      <w:r>
        <w:rPr>
          <w:rFonts w:ascii="Times New Roman" w:cs="Times New Roman" w:eastAsia="Times New Roman" w:hAnsi="Times New Roman"/>
          <w:sz w:val="18"/>
          <w:szCs w:val="18"/>
          <w:color w:val="auto"/>
        </w:rPr>
        <w:t>) or the powers (</w:t>
      </w:r>
      <w:r>
        <w:rPr>
          <w:rFonts w:ascii="Times New Roman" w:cs="Times New Roman" w:eastAsia="Times New Roman" w:hAnsi="Times New Roman"/>
          <w:sz w:val="18"/>
          <w:szCs w:val="18"/>
          <w:i w:val="1"/>
          <w:iCs w:val="1"/>
          <w:color w:val="auto"/>
        </w:rPr>
        <w:t>délégation de pouvoirs</w:t>
      </w:r>
      <w:r>
        <w:rPr>
          <w:rFonts w:ascii="Times New Roman" w:cs="Times New Roman" w:eastAsia="Times New Roman" w:hAnsi="Times New Roman"/>
          <w:sz w:val="18"/>
          <w:szCs w:val="18"/>
          <w:color w:val="auto"/>
        </w:rPr>
        <w:t>) to carry out</w:t>
      </w:r>
    </w:p>
    <w:p>
      <w:pPr>
        <w:spacing w:after="0" w:line="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certain increases in our share capital to the Board following approval at an extraordinary shareholders’ meeting. The Board may further sub-delegate this right to the Chief Executive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Share Capital</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French law, any reduction in our share capital requires approval of the shareholders at an extraordinary shareholders’ meeting. The share</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capital may be reduced either by decreasing the nominal value of the outstanding shares or by reducing the number of outstanding shares. The number of outstanding shares may be reduced by the repurchase and cancellation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80" w:lineRule="exact"/>
        <w:rPr>
          <w:sz w:val="20"/>
          <w:szCs w:val="20"/>
          <w:color w:val="auto"/>
        </w:rPr>
      </w:pPr>
    </w:p>
    <w:p>
      <w:pPr>
        <w:ind w:right="160" w:firstLine="441"/>
        <w:spacing w:after="0" w:line="236" w:lineRule="auto"/>
        <w:rPr>
          <w:sz w:val="20"/>
          <w:szCs w:val="20"/>
          <w:color w:val="auto"/>
        </w:rPr>
      </w:pPr>
      <w:r>
        <w:rPr>
          <w:rFonts w:ascii="Times New Roman" w:cs="Times New Roman" w:eastAsia="Times New Roman" w:hAnsi="Times New Roman"/>
          <w:sz w:val="17"/>
          <w:szCs w:val="17"/>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Preferential Subscription Rights</w:t>
      </w:r>
    </w:p>
    <w:p>
      <w:pPr>
        <w:spacing w:after="0" w:line="81" w:lineRule="exact"/>
        <w:rPr>
          <w:sz w:val="20"/>
          <w:szCs w:val="20"/>
          <w:color w:val="auto"/>
        </w:rPr>
      </w:pPr>
    </w:p>
    <w:p>
      <w:pPr>
        <w:ind w:right="80" w:firstLine="441"/>
        <w:spacing w:after="0" w:line="236" w:lineRule="auto"/>
        <w:rPr>
          <w:sz w:val="20"/>
          <w:szCs w:val="20"/>
          <w:color w:val="auto"/>
        </w:rPr>
      </w:pPr>
      <w:r>
        <w:rPr>
          <w:rFonts w:ascii="Times New Roman" w:cs="Times New Roman" w:eastAsia="Times New Roman" w:hAnsi="Times New Roman"/>
          <w:sz w:val="17"/>
          <w:szCs w:val="17"/>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w:t>
      </w:r>
    </w:p>
    <w:p>
      <w:pPr>
        <w:ind w:right="20"/>
        <w:spacing w:after="0" w:line="220" w:lineRule="auto"/>
        <w:rPr>
          <w:sz w:val="20"/>
          <w:szCs w:val="20"/>
          <w:color w:val="auto"/>
        </w:rPr>
      </w:pPr>
      <w:r>
        <w:rPr>
          <w:rFonts w:ascii="Times New Roman" w:cs="Times New Roman" w:eastAsia="Times New Roman" w:hAnsi="Times New Roman"/>
          <w:sz w:val="17"/>
          <w:szCs w:val="17"/>
          <w:color w:val="auto"/>
        </w:rPr>
        <w:t>entity that holds them to subscribe to an issue of any securities that may increase our share capital by means of a cash payment or a settling of cash debts. Pursuant to applicable law,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trading day).</w:t>
      </w:r>
    </w:p>
    <w:p>
      <w:pPr>
        <w:spacing w:after="0" w:line="165" w:lineRule="exact"/>
        <w:rPr>
          <w:sz w:val="20"/>
          <w:szCs w:val="20"/>
          <w:color w:val="auto"/>
        </w:rPr>
      </w:pPr>
    </w:p>
    <w:p>
      <w:pPr>
        <w:ind w:right="80" w:firstLine="441"/>
        <w:spacing w:after="0" w:line="236" w:lineRule="auto"/>
        <w:rPr>
          <w:sz w:val="20"/>
          <w:szCs w:val="20"/>
          <w:color w:val="auto"/>
        </w:rPr>
      </w:pPr>
      <w:r>
        <w:rPr>
          <w:rFonts w:ascii="Times New Roman" w:cs="Times New Roman" w:eastAsia="Times New Roman" w:hAnsi="Times New Roman"/>
          <w:sz w:val="17"/>
          <w:szCs w:val="17"/>
          <w:color w:val="auto"/>
        </w:rPr>
        <w:t>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w:t>
      </w:r>
    </w:p>
    <w:p>
      <w:pPr>
        <w:ind w:right="380"/>
        <w:spacing w:after="0" w:line="220" w:lineRule="auto"/>
        <w:rPr>
          <w:sz w:val="20"/>
          <w:szCs w:val="20"/>
          <w:color w:val="auto"/>
        </w:rPr>
      </w:pPr>
      <w:r>
        <w:rPr>
          <w:rFonts w:ascii="Times New Roman" w:cs="Times New Roman" w:eastAsia="Times New Roman" w:hAnsi="Times New Roman"/>
          <w:sz w:val="17"/>
          <w:szCs w:val="17"/>
          <w:color w:val="auto"/>
        </w:rPr>
        <w:t>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preferential subscription rights with respect to any particular offering if they so choose.</w:t>
      </w:r>
    </w:p>
    <w:p>
      <w:pPr>
        <w:spacing w:after="0" w:line="165" w:lineRule="exact"/>
        <w:rPr>
          <w:sz w:val="20"/>
          <w:szCs w:val="20"/>
          <w:color w:val="auto"/>
        </w:rPr>
      </w:pPr>
    </w:p>
    <w:p>
      <w:pPr>
        <w:ind w:right="400" w:firstLine="441"/>
        <w:spacing w:after="0" w:line="236" w:lineRule="auto"/>
        <w:rPr>
          <w:sz w:val="20"/>
          <w:szCs w:val="20"/>
          <w:color w:val="auto"/>
        </w:rPr>
      </w:pPr>
      <w:r>
        <w:rPr>
          <w:rFonts w:ascii="Times New Roman" w:cs="Times New Roman" w:eastAsia="Times New Roman" w:hAnsi="Times New Roman"/>
          <w:sz w:val="17"/>
          <w:szCs w:val="17"/>
          <w:color w:val="auto"/>
        </w:rPr>
        <w:t>In the event of a share capital increase without preferential subscription rights to existing shareholders to the benefit of qualified investors under Article L. 411-2 of the French Monetary and Financial Code, French law requires that the capital increase be made at a price equal to or exceeding the</w:t>
      </w:r>
    </w:p>
    <w:p>
      <w:pPr>
        <w:ind w:right="380"/>
        <w:spacing w:after="0" w:line="218" w:lineRule="auto"/>
        <w:rPr>
          <w:sz w:val="20"/>
          <w:szCs w:val="20"/>
          <w:color w:val="auto"/>
        </w:rPr>
      </w:pPr>
      <w:r>
        <w:rPr>
          <w:rFonts w:ascii="Times New Roman" w:cs="Times New Roman" w:eastAsia="Times New Roman" w:hAnsi="Times New Roman"/>
          <w:sz w:val="18"/>
          <w:szCs w:val="18"/>
          <w:color w:val="auto"/>
        </w:rPr>
        <w:t>weighted-average market price of the shares in the three trading days preceding the setting of the price (such weighted-average-market price may be reduced by a maximum discount of 10%). However, within the limit of 10% of the share capital per year, the extraordinary shareholders’ meeting may authorize the Board to set the issuing price in accordance with terms established by the extraordinary shareholders’ meeting.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Holding and Transfer of Shares (Articles 10 and 11 of the By-Laws)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of Shares</w:t>
      </w:r>
    </w:p>
    <w:p>
      <w:pPr>
        <w:spacing w:after="0" w:line="81" w:lineRule="exact"/>
        <w:rPr>
          <w:sz w:val="20"/>
          <w:szCs w:val="20"/>
          <w:color w:val="auto"/>
        </w:rPr>
      </w:pPr>
    </w:p>
    <w:p>
      <w:pPr>
        <w:ind w:right="280" w:firstLine="441"/>
        <w:spacing w:after="0" w:line="250" w:lineRule="auto"/>
        <w:rPr>
          <w:sz w:val="20"/>
          <w:szCs w:val="20"/>
          <w:color w:val="auto"/>
        </w:rPr>
      </w:pPr>
      <w:r>
        <w:rPr>
          <w:rFonts w:ascii="Times New Roman" w:cs="Times New Roman" w:eastAsia="Times New Roman" w:hAnsi="Times New Roman"/>
          <w:sz w:val="18"/>
          <w:szCs w:val="18"/>
          <w:color w:val="auto"/>
        </w:rPr>
        <w:t>Our by-laws provide that the shares once fully paid may be held in registered or bearer form at the option of the shareholder, subject to applicable laws. Shares not fully paid must be nominal.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of Shares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accordance with French law, shareholders’ ownership rights are represented by book entries instead of share certificates. Shares issued are</w:t>
      </w:r>
    </w:p>
    <w:p>
      <w:pPr>
        <w:spacing w:after="0" w:line="2"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18"/>
          <w:szCs w:val="18"/>
          <w:color w:val="auto"/>
        </w:rPr>
        <w:t>registered in individual accounts opened by us or any authorized intermediary, in the name of each shareholder and kept according to the terms and conditions laid down by the legal and regulatory provisions.</w:t>
      </w:r>
    </w:p>
    <w:p>
      <w:pPr>
        <w:spacing w:after="0" w:line="1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Any owner of our shares may elect to have its shares held in registered form and registered in its name in an account currently maintained by</w:t>
      </w:r>
    </w:p>
    <w:p>
      <w:pPr>
        <w:spacing w:after="0" w:line="2"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Uptevia, 12 place des Etats-Unis, CS 40083, 92549 Montrouge 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73" w:lineRule="exact"/>
        <w:rPr>
          <w:sz w:val="20"/>
          <w:szCs w:val="20"/>
          <w:color w:val="auto"/>
        </w:rPr>
      </w:pPr>
    </w:p>
    <w:p>
      <w:pPr>
        <w:ind w:firstLine="441"/>
        <w:spacing w:after="0" w:line="226" w:lineRule="auto"/>
        <w:rPr>
          <w:sz w:val="20"/>
          <w:szCs w:val="20"/>
          <w:color w:val="auto"/>
        </w:rPr>
      </w:pPr>
      <w:r>
        <w:rPr>
          <w:rFonts w:ascii="Times New Roman" w:cs="Times New Roman" w:eastAsia="Times New Roman" w:hAnsi="Times New Roman"/>
          <w:sz w:val="18"/>
          <w:szCs w:val="18"/>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237" w:name="page238"/>
    <w:bookmarkEnd w:id="237"/>
    <w:p>
      <w:pPr>
        <w:ind w:right="80" w:firstLine="441"/>
        <w:spacing w:after="0" w:line="236" w:lineRule="auto"/>
        <w:rPr>
          <w:sz w:val="20"/>
          <w:szCs w:val="20"/>
          <w:color w:val="auto"/>
        </w:rPr>
      </w:pPr>
      <w:r>
        <w:rPr>
          <w:rFonts w:ascii="Times New Roman" w:cs="Times New Roman" w:eastAsia="Times New Roman" w:hAnsi="Times New Roman"/>
          <w:sz w:val="17"/>
          <w:szCs w:val="17"/>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w:t>
      </w: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94" w:lineRule="exact"/>
        <w:rPr>
          <w:sz w:val="20"/>
          <w:szCs w:val="20"/>
          <w:color w:val="auto"/>
        </w:rPr>
      </w:pPr>
    </w:p>
    <w:p>
      <w:pPr>
        <w:ind w:right="140" w:firstLine="441"/>
        <w:spacing w:after="0" w:line="237" w:lineRule="auto"/>
        <w:rPr>
          <w:sz w:val="20"/>
          <w:szCs w:val="20"/>
          <w:color w:val="auto"/>
        </w:rPr>
      </w:pPr>
      <w:r>
        <w:rPr>
          <w:rFonts w:ascii="Times New Roman" w:cs="Times New Roman" w:eastAsia="Times New Roman" w:hAnsi="Times New Roman"/>
          <w:sz w:val="18"/>
          <w:szCs w:val="18"/>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94" w:lineRule="exact"/>
        <w:rPr>
          <w:sz w:val="20"/>
          <w:szCs w:val="20"/>
          <w:color w:val="auto"/>
        </w:rPr>
      </w:pPr>
    </w:p>
    <w:p>
      <w:pPr>
        <w:ind w:right="80" w:firstLine="441"/>
        <w:spacing w:after="0" w:line="216" w:lineRule="auto"/>
        <w:rPr>
          <w:sz w:val="20"/>
          <w:szCs w:val="20"/>
          <w:color w:val="auto"/>
        </w:rPr>
      </w:pPr>
      <w:r>
        <w:rPr>
          <w:rFonts w:ascii="Times New Roman" w:cs="Times New Roman" w:eastAsia="Times New Roman" w:hAnsi="Times New Roman"/>
          <w:sz w:val="18"/>
          <w:szCs w:val="18"/>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classes. Shareholders shall only bear losses up to the amount of their contributions.</w:t>
      </w:r>
    </w:p>
    <w:p>
      <w:pPr>
        <w:spacing w:after="0" w:line="269" w:lineRule="exact"/>
        <w:rPr>
          <w:sz w:val="20"/>
          <w:szCs w:val="20"/>
          <w:color w:val="auto"/>
        </w:rPr>
      </w:pPr>
    </w:p>
    <w:p>
      <w:pPr>
        <w:ind w:right="5340"/>
        <w:spacing w:after="0" w:line="338" w:lineRule="auto"/>
        <w:rPr>
          <w:sz w:val="20"/>
          <w:szCs w:val="20"/>
          <w:color w:val="auto"/>
        </w:rPr>
      </w:pPr>
      <w:r>
        <w:rPr>
          <w:rFonts w:ascii="Times New Roman" w:cs="Times New Roman" w:eastAsia="Times New Roman" w:hAnsi="Times New Roman"/>
          <w:sz w:val="18"/>
          <w:szCs w:val="18"/>
          <w:b w:val="1"/>
          <w:bCs w:val="1"/>
          <w:color w:val="auto"/>
        </w:rPr>
        <w:t xml:space="preserve">Disclosure Requirements for Holdings Exceeding Certain Thresholds </w:t>
      </w:r>
      <w:r>
        <w:rPr>
          <w:rFonts w:ascii="Times New Roman" w:cs="Times New Roman" w:eastAsia="Times New Roman" w:hAnsi="Times New Roman"/>
          <w:sz w:val="18"/>
          <w:szCs w:val="18"/>
          <w:b w:val="1"/>
          <w:bCs w:val="1"/>
          <w:i w:val="1"/>
          <w:iCs w:val="1"/>
          <w:color w:val="auto"/>
        </w:rPr>
        <w:t>Declaration of Crossing of Ownership Thresholds (Article 11.2 of the By-laws)</w:t>
      </w:r>
    </w:p>
    <w:p>
      <w:pPr>
        <w:spacing w:after="0" w:line="1" w:lineRule="exact"/>
        <w:rPr>
          <w:sz w:val="20"/>
          <w:szCs w:val="20"/>
          <w:color w:val="auto"/>
        </w:rPr>
      </w:pPr>
    </w:p>
    <w:p>
      <w:pPr>
        <w:jc w:val="both"/>
        <w:ind w:right="240" w:firstLine="441"/>
        <w:spacing w:after="0" w:line="229" w:lineRule="auto"/>
        <w:rPr>
          <w:sz w:val="20"/>
          <w:szCs w:val="20"/>
          <w:color w:val="auto"/>
        </w:rPr>
      </w:pPr>
      <w:r>
        <w:rPr>
          <w:rFonts w:ascii="Times New Roman" w:cs="Times New Roman" w:eastAsia="Times New Roman" w:hAnsi="Times New Roman"/>
          <w:sz w:val="17"/>
          <w:szCs w:val="17"/>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Times New Roman" w:cs="Times New Roman" w:eastAsia="Times New Roman" w:hAnsi="Times New Roman"/>
          <w:sz w:val="8"/>
          <w:szCs w:val="8"/>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7"/>
          <w:szCs w:val="17"/>
          <w:color w:val="auto"/>
        </w:rPr>
        <w:t xml:space="preserve">%, 50%, 66 </w:t>
      </w:r>
      <w:r>
        <w:rPr>
          <w:rFonts w:ascii="Times New Roman" w:cs="Times New Roman" w:eastAsia="Times New Roman" w:hAnsi="Times New Roman"/>
          <w:sz w:val="8"/>
          <w:szCs w:val="8"/>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7"/>
          <w:szCs w:val="17"/>
          <w:color w:val="auto"/>
        </w:rPr>
        <w:t>%, 90% or 95% of our outstanding share capital or voting rights or that increases or decreases its shareholding or voting rights above or below any of those percentage thresholds, must notify us</w:t>
      </w:r>
    </w:p>
    <w:p>
      <w:pPr>
        <w:ind w:right="380"/>
        <w:spacing w:after="0" w:line="226" w:lineRule="auto"/>
        <w:rPr>
          <w:sz w:val="20"/>
          <w:szCs w:val="20"/>
          <w:color w:val="auto"/>
        </w:rPr>
      </w:pPr>
      <w:r>
        <w:rPr>
          <w:rFonts w:ascii="Times New Roman" w:cs="Times New Roman" w:eastAsia="Times New Roman" w:hAnsi="Times New Roman"/>
          <w:sz w:val="18"/>
          <w:szCs w:val="18"/>
          <w:color w:val="auto"/>
        </w:rPr>
        <w:t>and the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 shareholder fails to comply with the notification requirements under French law, the shares or voting rights in excess of the relevant threshold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provide that any shareholder, acting alone or in concert, who comes into possession, in any manner whatsoever, either directly or</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w:t>
      </w:r>
    </w:p>
    <w:p>
      <w:pPr>
        <w:spacing w:after="0" w:line="2" w:lineRule="exact"/>
        <w:rPr>
          <w:sz w:val="20"/>
          <w:szCs w:val="20"/>
          <w:color w:val="auto"/>
        </w:rPr>
      </w:pPr>
    </w:p>
    <w:p>
      <w:pPr>
        <w:jc w:val="both"/>
        <w:ind w:right="220"/>
        <w:spacing w:after="0" w:line="218" w:lineRule="auto"/>
        <w:rPr>
          <w:sz w:val="20"/>
          <w:szCs w:val="20"/>
          <w:color w:val="auto"/>
        </w:rPr>
      </w:pPr>
      <w:r>
        <w:rPr>
          <w:rFonts w:ascii="Times New Roman" w:cs="Times New Roman" w:eastAsia="Times New Roman" w:hAnsi="Times New Roman"/>
          <w:sz w:val="18"/>
          <w:szCs w:val="18"/>
          <w:color w:val="auto"/>
        </w:rPr>
        <w:t>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58" w:lineRule="exact"/>
        <w:rPr>
          <w:sz w:val="20"/>
          <w:szCs w:val="20"/>
          <w:color w:val="auto"/>
        </w:rPr>
      </w:pPr>
    </w:p>
    <w:p>
      <w:pPr>
        <w:ind w:right="360" w:firstLine="441"/>
        <w:spacing w:after="0" w:line="279" w:lineRule="auto"/>
        <w:rPr>
          <w:sz w:val="20"/>
          <w:szCs w:val="20"/>
          <w:color w:val="auto"/>
        </w:rPr>
      </w:pPr>
      <w:r>
        <w:rPr>
          <w:rFonts w:ascii="Times New Roman" w:cs="Times New Roman" w:eastAsia="Times New Roman" w:hAnsi="Times New Roman"/>
          <w:sz w:val="17"/>
          <w:szCs w:val="17"/>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6" w:lineRule="exact"/>
        <w:rPr>
          <w:sz w:val="20"/>
          <w:szCs w:val="20"/>
          <w:color w:val="auto"/>
        </w:rPr>
      </w:pPr>
    </w:p>
    <w:p>
      <w:pPr>
        <w:ind w:right="60" w:firstLine="441"/>
        <w:spacing w:after="0" w:line="236" w:lineRule="auto"/>
        <w:rPr>
          <w:sz w:val="20"/>
          <w:szCs w:val="20"/>
          <w:color w:val="auto"/>
        </w:rPr>
      </w:pPr>
      <w:r>
        <w:rPr>
          <w:rFonts w:ascii="Times New Roman" w:cs="Times New Roman" w:eastAsia="Times New Roman" w:hAnsi="Times New Roman"/>
          <w:sz w:val="17"/>
          <w:szCs w:val="17"/>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w:t>
      </w:r>
    </w:p>
    <w:p>
      <w:pPr>
        <w:spacing w:after="0"/>
        <w:rPr>
          <w:sz w:val="20"/>
          <w:szCs w:val="20"/>
          <w:color w:val="auto"/>
        </w:rPr>
      </w:pPr>
      <w:r>
        <w:rPr>
          <w:rFonts w:ascii="Times New Roman" w:cs="Times New Roman" w:eastAsia="Times New Roman" w:hAnsi="Times New Roman"/>
          <w:sz w:val="18"/>
          <w:szCs w:val="18"/>
          <w:color w:val="auto"/>
        </w:rPr>
        <w:t>less than 12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04" w:right="399" w:bottom="1440" w:gutter="0" w:footer="0" w:header="0"/>
        </w:sectPr>
      </w:pPr>
    </w:p>
    <w:bookmarkStart w:id="238" w:name="page239"/>
    <w:bookmarkEnd w:id="238"/>
    <w:p>
      <w:pPr>
        <w:spacing w:after="0" w:line="18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months, increases his/her/its holding of capital or voting rights by at least 1% of the company’s capital or voting rights, shall file a mandatory public tender offer.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 and Purchases of our Own Shares</w:t>
      </w:r>
    </w:p>
    <w:p>
      <w:pPr>
        <w:spacing w:after="0" w:line="81" w:lineRule="exact"/>
        <w:rPr>
          <w:sz w:val="20"/>
          <w:szCs w:val="20"/>
          <w:color w:val="auto"/>
        </w:rPr>
      </w:pPr>
    </w:p>
    <w:p>
      <w:pPr>
        <w:ind w:right="60" w:firstLine="441"/>
        <w:spacing w:after="0" w:line="237" w:lineRule="auto"/>
        <w:rPr>
          <w:sz w:val="20"/>
          <w:szCs w:val="20"/>
          <w:color w:val="auto"/>
        </w:rPr>
      </w:pPr>
      <w:r>
        <w:rPr>
          <w:rFonts w:ascii="Times New Roman" w:cs="Times New Roman" w:eastAsia="Times New Roman" w:hAnsi="Times New Roman"/>
          <w:sz w:val="18"/>
          <w:szCs w:val="18"/>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and Redemption of Shares</w:t>
      </w:r>
    </w:p>
    <w:p>
      <w:pPr>
        <w:spacing w:after="0" w:line="81" w:lineRule="exact"/>
        <w:rPr>
          <w:sz w:val="20"/>
          <w:szCs w:val="20"/>
          <w:color w:val="auto"/>
        </w:rPr>
      </w:pPr>
    </w:p>
    <w:p>
      <w:pPr>
        <w:ind w:right="280" w:firstLine="441"/>
        <w:spacing w:after="0" w:line="236" w:lineRule="auto"/>
        <w:rPr>
          <w:sz w:val="20"/>
          <w:szCs w:val="20"/>
          <w:color w:val="auto"/>
        </w:rPr>
      </w:pPr>
      <w:r>
        <w:rPr>
          <w:rFonts w:ascii="Times New Roman" w:cs="Times New Roman" w:eastAsia="Times New Roman" w:hAnsi="Times New Roman"/>
          <w:sz w:val="17"/>
          <w:szCs w:val="17"/>
          <w:color w:val="auto"/>
        </w:rPr>
        <w:t>Under French law, we may acquire our own shares. Such acquisition may be challenged on the ground of market abuse regulations. However, EU Market Abuse Regulation 596/2014 of April 16, 2014 (“MAR”) provides for safe harbor exemptions when the acquisition is made for the following</w:t>
      </w:r>
    </w:p>
    <w:p>
      <w:pPr>
        <w:spacing w:after="0"/>
        <w:rPr>
          <w:sz w:val="20"/>
          <w:szCs w:val="20"/>
          <w:color w:val="auto"/>
        </w:rPr>
      </w:pPr>
      <w:r>
        <w:rPr>
          <w:rFonts w:ascii="Times New Roman" w:cs="Times New Roman" w:eastAsia="Times New Roman" w:hAnsi="Times New Roman"/>
          <w:sz w:val="18"/>
          <w:szCs w:val="18"/>
          <w:color w:val="auto"/>
        </w:rPr>
        <w:t>purposes only:</w:t>
      </w:r>
    </w:p>
    <w:p>
      <w:pPr>
        <w:spacing w:after="0" w:line="57" w:lineRule="exact"/>
        <w:rPr>
          <w:sz w:val="20"/>
          <w:szCs w:val="20"/>
          <w:color w:val="auto"/>
        </w:rPr>
      </w:pPr>
    </w:p>
    <w:p>
      <w:pPr>
        <w:ind w:left="1000" w:hanging="331"/>
        <w:spacing w:after="0" w:line="231" w:lineRule="auto"/>
        <w:tabs>
          <w:tab w:leader="none" w:pos="91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50"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obligations arising from debt securities that are exchangeable into equity instruments;</w:t>
      </w:r>
    </w:p>
    <w:p>
      <w:pPr>
        <w:spacing w:after="0" w:line="76" w:lineRule="exact"/>
        <w:rPr>
          <w:rFonts w:ascii="Times New Roman" w:cs="Times New Roman" w:eastAsia="Times New Roman" w:hAnsi="Times New Roman"/>
          <w:sz w:val="18"/>
          <w:szCs w:val="18"/>
          <w:color w:val="auto"/>
        </w:rPr>
      </w:pPr>
    </w:p>
    <w:p>
      <w:pPr>
        <w:ind w:left="1000" w:right="480" w:hanging="331"/>
        <w:spacing w:after="0" w:line="250" w:lineRule="auto"/>
        <w:tabs>
          <w:tab w:leader="none" w:pos="91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41" w:lineRule="exact"/>
        <w:rPr>
          <w:rFonts w:ascii="Times New Roman" w:cs="Times New Roman" w:eastAsia="Times New Roman" w:hAnsi="Times New Roman"/>
          <w:sz w:val="18"/>
          <w:szCs w:val="18"/>
          <w:color w:val="auto"/>
        </w:rPr>
      </w:pPr>
    </w:p>
    <w:p>
      <w:pPr>
        <w:ind w:left="1000" w:right="640" w:hanging="331"/>
        <w:spacing w:after="0" w:line="237" w:lineRule="auto"/>
        <w:tabs>
          <w:tab w:leader="none" w:pos="91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72" w:lineRule="exact"/>
        <w:rPr>
          <w:sz w:val="20"/>
          <w:szCs w:val="20"/>
          <w:color w:val="auto"/>
        </w:rPr>
      </w:pPr>
    </w:p>
    <w:p>
      <w:pPr>
        <w:ind w:right="840" w:firstLine="441"/>
        <w:spacing w:after="0" w:line="237" w:lineRule="auto"/>
        <w:rPr>
          <w:sz w:val="20"/>
          <w:szCs w:val="20"/>
          <w:color w:val="auto"/>
        </w:rPr>
      </w:pPr>
      <w:r>
        <w:rPr>
          <w:rFonts w:ascii="Times New Roman" w:cs="Times New Roman" w:eastAsia="Times New Roman" w:hAnsi="Times New Roman"/>
          <w:sz w:val="18"/>
          <w:szCs w:val="18"/>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Under MAR and in accordance with the general regulations (</w:t>
      </w:r>
      <w:r>
        <w:rPr>
          <w:rFonts w:ascii="Times New Roman" w:cs="Times New Roman" w:eastAsia="Times New Roman" w:hAnsi="Times New Roman"/>
          <w:sz w:val="17"/>
          <w:szCs w:val="17"/>
          <w:i w:val="1"/>
          <w:iCs w:val="1"/>
          <w:color w:val="auto"/>
        </w:rPr>
        <w:t>réglement général</w:t>
      </w:r>
      <w:r>
        <w:rPr>
          <w:rFonts w:ascii="Times New Roman" w:cs="Times New Roman" w:eastAsia="Times New Roman" w:hAnsi="Times New Roman"/>
          <w:sz w:val="17"/>
          <w:szCs w:val="17"/>
          <w:color w:val="auto"/>
        </w:rPr>
        <w:t>) of the AMF, or the General Regulations, a corporation shall report to</w:t>
      </w:r>
    </w:p>
    <w:p>
      <w:pPr>
        <w:spacing w:after="0" w:line="16"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72" w:lineRule="exact"/>
        <w:rPr>
          <w:sz w:val="20"/>
          <w:szCs w:val="20"/>
          <w:color w:val="auto"/>
        </w:rPr>
      </w:pPr>
    </w:p>
    <w:p>
      <w:pPr>
        <w:ind w:right="140" w:firstLine="441"/>
        <w:spacing w:after="0" w:line="226" w:lineRule="auto"/>
        <w:rPr>
          <w:sz w:val="20"/>
          <w:szCs w:val="20"/>
          <w:color w:val="auto"/>
        </w:rPr>
      </w:pPr>
      <w:r>
        <w:rPr>
          <w:rFonts w:ascii="Times New Roman" w:cs="Times New Roman" w:eastAsia="Times New Roman" w:hAnsi="Times New Roman"/>
          <w:sz w:val="18"/>
          <w:szCs w:val="18"/>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Shares by Non-French Persons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and non-EU residents are required to file an administrative notice (</w:t>
      </w:r>
      <w:r>
        <w:rPr>
          <w:rFonts w:ascii="Times New Roman" w:cs="Times New Roman" w:eastAsia="Times New Roman" w:hAnsi="Times New Roman"/>
          <w:sz w:val="18"/>
          <w:szCs w:val="18"/>
          <w:i w:val="1"/>
          <w:iCs w:val="1"/>
          <w:color w:val="auto"/>
        </w:rPr>
        <w:t>déclaration administrative</w:t>
      </w:r>
      <w:r>
        <w:rPr>
          <w:rFonts w:ascii="Times New Roman" w:cs="Times New Roman" w:eastAsia="Times New Roman" w:hAnsi="Times New Roman"/>
          <w:sz w:val="18"/>
          <w:szCs w:val="18"/>
          <w:color w:val="auto"/>
        </w:rPr>
        <w:t>) with the French authorities in connection with certain</w:t>
      </w:r>
    </w:p>
    <w:p>
      <w:pPr>
        <w:spacing w:after="0" w:line="4"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64" w:lineRule="exact"/>
        <w:rPr>
          <w:sz w:val="20"/>
          <w:szCs w:val="20"/>
          <w:color w:val="auto"/>
        </w:rPr>
      </w:pPr>
    </w:p>
    <w:p>
      <w:pPr>
        <w:ind w:left="1000" w:right="180" w:hanging="331"/>
        <w:spacing w:after="0" w:line="237" w:lineRule="auto"/>
        <w:tabs>
          <w:tab w:leader="none" w:pos="9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50" w:lineRule="exact"/>
        <w:rPr>
          <w:rFonts w:ascii="Times New Roman" w:cs="Times New Roman" w:eastAsia="Times New Roman" w:hAnsi="Times New Roman"/>
          <w:sz w:val="18"/>
          <w:szCs w:val="18"/>
          <w:color w:val="auto"/>
        </w:rPr>
      </w:pPr>
    </w:p>
    <w:p>
      <w:pPr>
        <w:ind w:left="1000" w:right="20" w:hanging="331"/>
        <w:spacing w:after="0" w:line="237" w:lineRule="auto"/>
        <w:tabs>
          <w:tab w:leader="none" w:pos="9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mentioned above by a corporation incorporated under French law whose capital or voting rights are held for more than 33.33% by non-French residents;</w:t>
      </w:r>
    </w:p>
    <w:p>
      <w:pPr>
        <w:spacing w:after="0" w:line="63" w:lineRule="exact"/>
        <w:rPr>
          <w:rFonts w:ascii="Times New Roman" w:cs="Times New Roman" w:eastAsia="Times New Roman" w:hAnsi="Times New Roman"/>
          <w:sz w:val="18"/>
          <w:szCs w:val="18"/>
          <w:color w:val="auto"/>
        </w:rPr>
      </w:pPr>
    </w:p>
    <w:p>
      <w:pPr>
        <w:ind w:left="1000" w:right="240" w:hanging="331"/>
        <w:spacing w:after="0" w:line="237" w:lineRule="auto"/>
        <w:tabs>
          <w:tab w:leader="none" w:pos="9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50"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guarantees granted by the acquirer to us in amounts evidencing control over our financing;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239" w:name="page240"/>
    <w:bookmarkEnd w:id="239"/>
    <w:p>
      <w:pPr>
        <w:spacing w:after="0" w:line="72" w:lineRule="exact"/>
        <w:rPr>
          <w:sz w:val="20"/>
          <w:szCs w:val="20"/>
          <w:color w:val="auto"/>
        </w:rPr>
      </w:pPr>
    </w:p>
    <w:p>
      <w:pPr>
        <w:ind w:left="1000" w:right="520" w:hanging="331"/>
        <w:spacing w:after="0" w:line="237" w:lineRule="auto"/>
        <w:tabs>
          <w:tab w:leader="none" w:pos="91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patent licenses granted by an acquirer or management or technical assistance agreements with such acquirer that place us in a dependent position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such party or its group.</w:t>
      </w:r>
    </w:p>
    <w:p>
      <w:pPr>
        <w:spacing w:after="0" w:line="197"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Non-French residents must file a declaration for statistical purposes with the Bank of France (</w:t>
      </w:r>
      <w:r>
        <w:rPr>
          <w:rFonts w:ascii="Times New Roman" w:cs="Times New Roman" w:eastAsia="Times New Roman" w:hAnsi="Times New Roman"/>
          <w:sz w:val="18"/>
          <w:szCs w:val="18"/>
          <w:i w:val="1"/>
          <w:iCs w:val="1"/>
          <w:color w:val="auto"/>
        </w:rPr>
        <w:t>Banque de France</w:t>
      </w:r>
      <w:r>
        <w:rPr>
          <w:rFonts w:ascii="Times New Roman" w:cs="Times New Roman" w:eastAsia="Times New Roman" w:hAnsi="Times New Roman"/>
          <w:sz w:val="18"/>
          <w:szCs w:val="18"/>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this filing requirement may be sanctioned by five years of imprisonment and a fine up to twice the amount of the relevant investment. This amount may be increased fivefold if the violation is made by a legal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92" w:lineRule="exact"/>
        <w:rPr>
          <w:sz w:val="20"/>
          <w:szCs w:val="20"/>
          <w:color w:val="auto"/>
        </w:rPr>
      </w:pPr>
    </w:p>
    <w:p>
      <w:pPr>
        <w:ind w:firstLine="441"/>
        <w:spacing w:after="0" w:line="217" w:lineRule="auto"/>
        <w:rPr>
          <w:sz w:val="20"/>
          <w:szCs w:val="20"/>
          <w:color w:val="auto"/>
        </w:rPr>
      </w:pPr>
      <w:r>
        <w:rPr>
          <w:rFonts w:ascii="Times New Roman" w:cs="Times New Roman" w:eastAsia="Times New Roman" w:hAnsi="Times New Roman"/>
          <w:sz w:val="18"/>
          <w:szCs w:val="18"/>
          <w:color w:val="auto"/>
        </w:rPr>
        <w:t xml:space="preserve">The laws applicable to French </w:t>
      </w:r>
      <w:r>
        <w:rPr>
          <w:rFonts w:ascii="Times New Roman" w:cs="Times New Roman" w:eastAsia="Times New Roman" w:hAnsi="Times New Roman"/>
          <w:sz w:val="18"/>
          <w:szCs w:val="18"/>
          <w:i w:val="1"/>
          <w:iCs w:val="1"/>
          <w:color w:val="auto"/>
        </w:rPr>
        <w:t>sociétés anonymes</w:t>
      </w:r>
      <w:r>
        <w:rPr>
          <w:rFonts w:ascii="Times New Roman" w:cs="Times New Roman" w:eastAsia="Times New Roman" w:hAnsi="Times New Roman"/>
          <w:sz w:val="18"/>
          <w:szCs w:val="18"/>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it is qualified in its entirety by reference to Delaware law and French law.</w:t>
      </w:r>
    </w:p>
    <w:p>
      <w:pPr>
        <w:spacing w:after="0" w:line="212" w:lineRule="exact"/>
        <w:rPr>
          <w:sz w:val="20"/>
          <w:szCs w:val="20"/>
          <w:color w:val="auto"/>
        </w:rPr>
      </w:pPr>
    </w:p>
    <w:p>
      <w:pPr>
        <w:ind w:left="4100"/>
        <w:spacing w:after="0"/>
        <w:tabs>
          <w:tab w:leader="none" w:pos="8640" w:val="left"/>
        </w:tabs>
        <w:rPr>
          <w:sz w:val="20"/>
          <w:szCs w:val="20"/>
          <w:color w:val="auto"/>
        </w:rPr>
      </w:pPr>
      <w:r>
        <w:rPr>
          <w:rFonts w:ascii="Times New Roman" w:cs="Times New Roman" w:eastAsia="Times New Roman" w:hAnsi="Times New Roman"/>
          <w:sz w:val="14"/>
          <w:szCs w:val="14"/>
          <w:b w:val="1"/>
          <w:bCs w:val="1"/>
          <w:color w:val="auto"/>
        </w:rPr>
        <w:t>FRANCE</w:t>
      </w:r>
      <w:r>
        <w:rPr>
          <w:sz w:val="20"/>
          <w:szCs w:val="20"/>
          <w:color w:val="auto"/>
        </w:rPr>
        <w:tab/>
      </w:r>
      <w:r>
        <w:rPr>
          <w:rFonts w:ascii="Times New Roman" w:cs="Times New Roman" w:eastAsia="Times New Roman" w:hAnsi="Times New Roman"/>
          <w:sz w:val="14"/>
          <w:szCs w:val="14"/>
          <w:b w:val="1"/>
          <w:bCs w:val="1"/>
          <w:color w:val="auto"/>
        </w:rPr>
        <w:t>DELAWARE</w:t>
      </w:r>
    </w:p>
    <w:p>
      <w:pPr>
        <w:sectPr>
          <w:pgSz w:w="11900" w:h="16838" w:orient="portrait"/>
          <w:cols w:equalWidth="0" w:num="1">
            <w:col w:w="11240"/>
          </w:cols>
          <w:pgMar w:left="320" w:top="1440" w:right="339" w:bottom="1440" w:gutter="0" w:footer="0" w:header="0"/>
        </w:sectPr>
      </w:pP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Directors</w:t>
            </w: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Under French law,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must have at least three and may</w:t>
            </w: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532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8"/>
                <w:szCs w:val="18"/>
                <w:color w:val="auto"/>
              </w:rPr>
              <w:t>have up to 18 directors. The number of directors is fixed by or in the</w:t>
            </w:r>
          </w:p>
        </w:tc>
        <w:tc>
          <w:tcPr>
            <w:tcW w:w="0" w:type="dxa"/>
            <w:vAlign w:val="bottom"/>
          </w:tcPr>
          <w:p>
            <w:pPr>
              <w:spacing w:after="0"/>
              <w:rPr>
                <w:sz w:val="1"/>
                <w:szCs w:val="1"/>
                <w:color w:val="auto"/>
              </w:rPr>
            </w:pPr>
          </w:p>
        </w:tc>
      </w:tr>
      <w:tr>
        <w:trPr>
          <w:trHeight w:val="36"/>
        </w:trPr>
        <w:tc>
          <w:tcPr>
            <w:tcW w:w="1600" w:type="dxa"/>
            <w:vAlign w:val="bottom"/>
          </w:tcPr>
          <w:p>
            <w:pPr>
              <w:spacing w:after="0"/>
              <w:rPr>
                <w:sz w:val="3"/>
                <w:szCs w:val="3"/>
                <w:color w:val="auto"/>
              </w:rPr>
            </w:pPr>
          </w:p>
        </w:tc>
        <w:tc>
          <w:tcPr>
            <w:tcW w:w="5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600" w:type="dxa"/>
            <w:vAlign w:val="bottom"/>
          </w:tcPr>
          <w:p>
            <w:pPr>
              <w:spacing w:after="0"/>
              <w:rPr>
                <w:sz w:val="15"/>
                <w:szCs w:val="15"/>
                <w:color w:val="auto"/>
              </w:rPr>
            </w:pPr>
          </w:p>
        </w:tc>
        <w:tc>
          <w:tcPr>
            <w:tcW w:w="53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w w:val="99"/>
              </w:rPr>
              <w:t>manner provided in the by-laws. The number of directors of each gender</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5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may not be less than 40%. In case a board of directors comprises up to</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5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eight members, the difference between the number of directors of each</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53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gender may not exceed two. Any appointment made in violation of this</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5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limit that is not remedied within six months of this appointment will be</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5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null and void and payment of directors’ compensation will be</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suspended.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622" w:lineRule="exact"/>
        <w:rPr>
          <w:sz w:val="20"/>
          <w:szCs w:val="20"/>
          <w:color w:val="auto"/>
        </w:rPr>
      </w:pPr>
    </w:p>
    <w:p>
      <w:pPr>
        <w:sectPr>
          <w:pgSz w:w="11900" w:h="16838" w:orient="portrait"/>
          <w:cols w:equalWidth="0" w:num="2">
            <w:col w:w="7000" w:space="60"/>
            <w:col w:w="4180"/>
          </w:cols>
          <w:pgMar w:left="320" w:top="1440" w:right="339" w:bottom="1440" w:gutter="0" w:footer="0" w:header="0"/>
          <w:type w:val="continuous"/>
        </w:sectPr>
      </w:pP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French law, a corporation may prescribe qualifications for</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a corporation may prescribe</w:t>
            </w:r>
          </w:p>
        </w:tc>
      </w:tr>
      <w:tr>
        <w:trPr>
          <w:trHeight w:val="225"/>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Qualifications</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under its by-laws. In addition, under French law, members of a</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qualifications for directors under its certificate of</w:t>
            </w:r>
          </w:p>
        </w:tc>
      </w:tr>
      <w:tr>
        <w:trPr>
          <w:trHeight w:val="234"/>
        </w:trPr>
        <w:tc>
          <w:tcPr>
            <w:tcW w:w="162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of directors may be legal entities, and such legal entities must</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incorporation or by-laws.</w:t>
            </w:r>
          </w:p>
        </w:tc>
      </w:tr>
      <w:tr>
        <w:trPr>
          <w:trHeight w:val="243"/>
        </w:trPr>
        <w:tc>
          <w:tcPr>
            <w:tcW w:w="1620" w:type="dxa"/>
            <w:vAlign w:val="bottom"/>
          </w:tcPr>
          <w:p>
            <w:pPr>
              <w:spacing w:after="0"/>
              <w:rPr>
                <w:sz w:val="21"/>
                <w:szCs w:val="21"/>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designate an individual to represent them and to act on their behalf at</w:t>
            </w:r>
          </w:p>
        </w:tc>
        <w:tc>
          <w:tcPr>
            <w:tcW w:w="406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of the board of directors.</w:t>
            </w:r>
          </w:p>
        </w:tc>
        <w:tc>
          <w:tcPr>
            <w:tcW w:w="4060" w:type="dxa"/>
            <w:vAlign w:val="bottom"/>
          </w:tcPr>
          <w:p>
            <w:pPr>
              <w:spacing w:after="0"/>
              <w:rPr>
                <w:sz w:val="21"/>
                <w:szCs w:val="21"/>
                <w:color w:val="auto"/>
              </w:rPr>
            </w:pPr>
          </w:p>
        </w:tc>
      </w:tr>
      <w:tr>
        <w:trPr>
          <w:trHeight w:val="47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French law, directors may be removed from office, with or</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unless otherwise provided in the</w:t>
            </w:r>
          </w:p>
        </w:tc>
      </w:tr>
      <w:tr>
        <w:trPr>
          <w:trHeight w:val="238"/>
        </w:trPr>
        <w:tc>
          <w:tcPr>
            <w:tcW w:w="162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without cause, at any shareholders’ meeting without notice or</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directors may be removed</w:t>
            </w:r>
          </w:p>
        </w:tc>
      </w:tr>
      <w:tr>
        <w:trPr>
          <w:trHeight w:val="234"/>
        </w:trPr>
        <w:tc>
          <w:tcPr>
            <w:tcW w:w="162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justification, by a simple majority vote of the shareholders present and</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office, with or without cause, by a majority</w:t>
            </w:r>
          </w:p>
        </w:tc>
      </w:tr>
      <w:tr>
        <w:trPr>
          <w:trHeight w:val="243"/>
        </w:trPr>
        <w:tc>
          <w:tcPr>
            <w:tcW w:w="1620" w:type="dxa"/>
            <w:vAlign w:val="bottom"/>
          </w:tcPr>
          <w:p>
            <w:pPr>
              <w:spacing w:after="0"/>
              <w:rPr>
                <w:sz w:val="21"/>
                <w:szCs w:val="21"/>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at the meeting in person or by proxy.</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vote, though in the case of a corporation</w:t>
            </w:r>
          </w:p>
        </w:tc>
      </w:tr>
      <w:tr>
        <w:trPr>
          <w:trHeight w:val="243"/>
        </w:trPr>
        <w:tc>
          <w:tcPr>
            <w:tcW w:w="16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whose board is classified, shareholders may effect such</w:t>
            </w:r>
          </w:p>
        </w:tc>
      </w:tr>
      <w:tr>
        <w:trPr>
          <w:trHeight w:val="243"/>
        </w:trPr>
        <w:tc>
          <w:tcPr>
            <w:tcW w:w="16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only for cause.</w:t>
            </w:r>
          </w:p>
        </w:tc>
      </w:tr>
      <w:tr>
        <w:trPr>
          <w:trHeight w:val="7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Vacancies on the</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French law, vacancies on the board of directors resulting from</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vacancies on a corporation’s</w:t>
            </w:r>
          </w:p>
        </w:tc>
      </w:t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death or a resignation, provided that at least three directors remain in</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of directors, including those caused by an</w:t>
            </w:r>
          </w:p>
        </w:tc>
      </w:tr>
      <w:tr>
        <w:trPr>
          <w:trHeight w:val="234"/>
        </w:trPr>
        <w:tc>
          <w:tcPr>
            <w:tcW w:w="162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may be filled by a majority of the remaining directors pending</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the number of directors, unless otherwise</w:t>
            </w:r>
          </w:p>
        </w:tc>
      </w:tr>
      <w:tr>
        <w:trPr>
          <w:trHeight w:val="243"/>
        </w:trPr>
        <w:tc>
          <w:tcPr>
            <w:tcW w:w="1620" w:type="dxa"/>
            <w:vAlign w:val="bottom"/>
          </w:tcPr>
          <w:p>
            <w:pPr>
              <w:spacing w:after="0"/>
              <w:rPr>
                <w:sz w:val="21"/>
                <w:szCs w:val="21"/>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ratification by the shareholders by the next shareholders’ meeting.</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provided in the certificate of incorporation, may be</w:t>
            </w:r>
          </w:p>
        </w:tc>
      </w:tr>
      <w:tr>
        <w:trPr>
          <w:trHeight w:val="243"/>
        </w:trPr>
        <w:tc>
          <w:tcPr>
            <w:tcW w:w="16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filled by the board of directors or other governing body.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type w:val="continuous"/>
        </w:sectPr>
      </w:pPr>
    </w:p>
    <w:bookmarkStart w:id="240" w:name="page241"/>
    <w:bookmarkEnd w:id="240"/>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Annual Shareholders’</w:t>
            </w: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French law, the annual shareholders’ meeting shall be held at</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annual meeting of</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 place, on such date and at such time as decided each year by the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shall be held at such place, on such date</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of directors and notified to the shareholders in the convening</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at such time as may be designated from time to</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the annual meeting, within six months after the close of the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 by the board of directors or as provided in the</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relevant fiscal year unless such period is extended by court order.</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or by the by-laws.</w:t>
            </w:r>
          </w:p>
        </w:tc>
        <w:tc>
          <w:tcPr>
            <w:tcW w:w="0" w:type="dxa"/>
            <w:vAlign w:val="bottom"/>
          </w:tcPr>
          <w:p>
            <w:pPr>
              <w:spacing w:after="0"/>
              <w:rPr>
                <w:sz w:val="1"/>
                <w:szCs w:val="1"/>
                <w:color w:val="auto"/>
              </w:rPr>
            </w:pPr>
          </w:p>
        </w:tc>
      </w:tr>
      <w:tr>
        <w:trPr>
          <w:trHeight w:val="72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Shareholders’ Meeting Under French law, shareholders’ meetings may be called by the board of</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special meetings of the</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or, failing that, by the statutory auditors, or by a court</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may be called by the board of directors or</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appointed agent or liquidator in certain circumstances, or by the majority by such person or persons as may be authorized by the</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 in capital or voting rights following a public tender offer or</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or by the by-laws.</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offer or the transfer of a controlling block on the date decided</w:t>
            </w: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the board of directors or the relevant person.</w:t>
            </w: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Notice of</w:t>
            </w:r>
          </w:p>
        </w:tc>
        <w:tc>
          <w:tcPr>
            <w:tcW w:w="530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unless otherwise provided in the</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5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 meeting notice (</w:t>
            </w:r>
            <w:r>
              <w:rPr>
                <w:rFonts w:ascii="Times New Roman" w:cs="Times New Roman" w:eastAsia="Times New Roman" w:hAnsi="Times New Roman"/>
                <w:sz w:val="18"/>
                <w:szCs w:val="18"/>
                <w:i w:val="1"/>
                <w:iCs w:val="1"/>
                <w:color w:val="auto"/>
              </w:rPr>
              <w:t>avis de réunion</w:t>
            </w:r>
            <w:r>
              <w:rPr>
                <w:rFonts w:ascii="Times New Roman" w:cs="Times New Roman" w:eastAsia="Times New Roman" w:hAnsi="Times New Roman"/>
                <w:sz w:val="18"/>
                <w:szCs w:val="18"/>
                <w:color w:val="auto"/>
              </w:rPr>
              <w:t xml:space="preserve">) is published in the </w:t>
            </w:r>
            <w:r>
              <w:rPr>
                <w:rFonts w:ascii="Times New Roman" w:cs="Times New Roman" w:eastAsia="Times New Roman" w:hAnsi="Times New Roman"/>
                <w:sz w:val="18"/>
                <w:szCs w:val="18"/>
                <w:i w:val="1"/>
                <w:iCs w:val="1"/>
                <w:color w:val="auto"/>
              </w:rPr>
              <w:t>Bulletin des</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certificate of incorporation or by-laws, written notice of</w:t>
            </w:r>
          </w:p>
        </w:tc>
        <w:tc>
          <w:tcPr>
            <w:tcW w:w="0" w:type="dxa"/>
            <w:vAlign w:val="bottom"/>
          </w:tcPr>
          <w:p>
            <w:pPr>
              <w:spacing w:after="0"/>
              <w:rPr>
                <w:sz w:val="1"/>
                <w:szCs w:val="1"/>
                <w:color w:val="auto"/>
              </w:rPr>
            </w:pPr>
          </w:p>
        </w:tc>
      </w:tr>
      <w:tr>
        <w:trPr>
          <w:trHeight w:val="32"/>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Meetings</w:t>
            </w:r>
          </w:p>
        </w:tc>
        <w:tc>
          <w:tcPr>
            <w:tcW w:w="5300" w:type="dxa"/>
            <w:vAlign w:val="bottom"/>
            <w:vMerge w:val="continue"/>
          </w:tcPr>
          <w:p>
            <w:pPr>
              <w:spacing w:after="0"/>
              <w:rPr>
                <w:sz w:val="2"/>
                <w:szCs w:val="2"/>
                <w:color w:val="auto"/>
              </w:rPr>
            </w:pP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any meeting of the stockholders must be given to each</w:t>
            </w:r>
          </w:p>
        </w:tc>
        <w:tc>
          <w:tcPr>
            <w:tcW w:w="0" w:type="dxa"/>
            <w:vAlign w:val="bottom"/>
          </w:tcPr>
          <w:p>
            <w:pPr>
              <w:spacing w:after="0" w:line="20" w:lineRule="exact"/>
              <w:rPr>
                <w:sz w:val="1"/>
                <w:szCs w:val="1"/>
                <w:color w:val="auto"/>
              </w:rPr>
            </w:pPr>
          </w:p>
        </w:tc>
      </w:tr>
      <w:tr>
        <w:trPr>
          <w:trHeight w:val="184"/>
        </w:trPr>
        <w:tc>
          <w:tcPr>
            <w:tcW w:w="1640" w:type="dxa"/>
            <w:vAlign w:val="bottom"/>
            <w:vMerge w:val="continue"/>
          </w:tcPr>
          <w:p>
            <w:pPr>
              <w:spacing w:after="0"/>
              <w:rPr>
                <w:sz w:val="16"/>
                <w:szCs w:val="16"/>
                <w:color w:val="auto"/>
              </w:rPr>
            </w:pPr>
          </w:p>
        </w:tc>
        <w:tc>
          <w:tcPr>
            <w:tcW w:w="53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i w:val="1"/>
                <w:iCs w:val="1"/>
                <w:color w:val="auto"/>
              </w:rPr>
              <w:t xml:space="preserve">annonces légales obligatoires </w:t>
            </w:r>
            <w:r>
              <w:rPr>
                <w:rFonts w:ascii="Times New Roman" w:cs="Times New Roman" w:eastAsia="Times New Roman" w:hAnsi="Times New Roman"/>
                <w:sz w:val="18"/>
                <w:szCs w:val="18"/>
                <w:color w:val="auto"/>
              </w:rPr>
              <w:t>(“BALO”), at least 35 days prior to a</w:t>
            </w:r>
          </w:p>
        </w:tc>
        <w:tc>
          <w:tcPr>
            <w:tcW w:w="4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and made available on the website of the company at least</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entitled to vote at the meeting not less than</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530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21 days prior to the meeting. Additionally, a convening notice (</w:t>
            </w:r>
            <w:r>
              <w:rPr>
                <w:rFonts w:ascii="Times New Roman" w:cs="Times New Roman" w:eastAsia="Times New Roman" w:hAnsi="Times New Roman"/>
                <w:sz w:val="17"/>
                <w:szCs w:val="17"/>
                <w:i w:val="1"/>
                <w:iCs w:val="1"/>
                <w:color w:val="auto"/>
              </w:rPr>
              <w:t>avis de</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ten nor more than 60 days before the date of the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5300" w:type="dxa"/>
            <w:vAlign w:val="bottom"/>
            <w:vMerge w:val="restart"/>
          </w:tcPr>
          <w:p>
            <w:pPr>
              <w:ind w:left="40"/>
              <w:spacing w:after="0" w:line="184" w:lineRule="exact"/>
              <w:rPr>
                <w:sz w:val="20"/>
                <w:szCs w:val="20"/>
                <w:color w:val="auto"/>
              </w:rPr>
            </w:pPr>
            <w:r>
              <w:rPr>
                <w:rFonts w:ascii="Times New Roman" w:cs="Times New Roman" w:eastAsia="Times New Roman" w:hAnsi="Times New Roman"/>
                <w:sz w:val="18"/>
                <w:szCs w:val="18"/>
                <w:i w:val="1"/>
                <w:iCs w:val="1"/>
                <w:color w:val="auto"/>
              </w:rPr>
              <w:t>convocation</w:t>
            </w:r>
            <w:r>
              <w:rPr>
                <w:rFonts w:ascii="Times New Roman" w:cs="Times New Roman" w:eastAsia="Times New Roman" w:hAnsi="Times New Roman"/>
                <w:sz w:val="18"/>
                <w:szCs w:val="18"/>
                <w:color w:val="auto"/>
              </w:rPr>
              <w:t>) is published at least 15 days prior to the date of the</w:t>
            </w:r>
          </w:p>
        </w:tc>
        <w:tc>
          <w:tcPr>
            <w:tcW w:w="4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meeting and shall specify the place, date, hour, means</w:t>
            </w:r>
          </w:p>
        </w:tc>
        <w:tc>
          <w:tcPr>
            <w:tcW w:w="0" w:type="dxa"/>
            <w:vAlign w:val="bottom"/>
          </w:tcPr>
          <w:p>
            <w:pPr>
              <w:spacing w:after="0" w:line="20" w:lineRule="exact"/>
              <w:rPr>
                <w:sz w:val="1"/>
                <w:szCs w:val="1"/>
                <w:color w:val="auto"/>
              </w:rPr>
            </w:pPr>
          </w:p>
        </w:tc>
      </w:tr>
      <w:tr>
        <w:trPr>
          <w:trHeight w:val="180"/>
        </w:trPr>
        <w:tc>
          <w:tcPr>
            <w:tcW w:w="1640" w:type="dxa"/>
            <w:vAlign w:val="bottom"/>
          </w:tcPr>
          <w:p>
            <w:pPr>
              <w:spacing w:after="0"/>
              <w:rPr>
                <w:sz w:val="15"/>
                <w:szCs w:val="15"/>
                <w:color w:val="auto"/>
              </w:rPr>
            </w:pPr>
          </w:p>
        </w:tc>
        <w:tc>
          <w:tcPr>
            <w:tcW w:w="53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meeting, in a legal announcement bulletin of the registered office</w:t>
            </w:r>
          </w:p>
        </w:tc>
        <w:tc>
          <w:tcPr>
            <w:tcW w:w="4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53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department and in the BALO. Further, the holders of registered shares</w:t>
            </w:r>
          </w:p>
        </w:tc>
        <w:tc>
          <w:tcPr>
            <w:tcW w:w="40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of remote communication, if any, by which</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530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actions nominatives</w:t>
            </w:r>
            <w:r>
              <w:rPr>
                <w:rFonts w:ascii="Times New Roman" w:cs="Times New Roman" w:eastAsia="Times New Roman" w:hAnsi="Times New Roman"/>
                <w:sz w:val="17"/>
                <w:szCs w:val="17"/>
                <w:color w:val="auto"/>
              </w:rPr>
              <w:t>) for at least a month at the time of the convening</w:t>
            </w:r>
          </w:p>
        </w:tc>
        <w:tc>
          <w:tcPr>
            <w:tcW w:w="4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93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notice shall be summoned individually, by regular letter (or by registered </w:t>
            </w:r>
            <w:r>
              <w:rPr>
                <w:rFonts w:ascii="Times New Roman" w:cs="Times New Roman" w:eastAsia="Times New Roman" w:hAnsi="Times New Roman"/>
                <w:sz w:val="21"/>
                <w:szCs w:val="21"/>
                <w:color w:val="auto"/>
                <w:vertAlign w:val="superscript"/>
              </w:rPr>
              <w:t>stockholders and proxy holders may be deemed to be</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53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letter if they request it and include an advance of expenses) sent to their</w:t>
            </w:r>
          </w:p>
        </w:tc>
        <w:tc>
          <w:tcPr>
            <w:tcW w:w="40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present in person and vote, the record date for voting if</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3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last known address. This notice may also be transmitted by electronic</w:t>
            </w:r>
          </w:p>
        </w:tc>
        <w:tc>
          <w:tcPr>
            <w:tcW w:w="40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 is different from the record date determining notice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530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means of telecommunication, in lieu of any such mailing, to any</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in the case of a special meeting, purpose or</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530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shareholder requesting it beforehand by registered letter with</w:t>
            </w: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purposes of the meeting.</w:t>
            </w: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530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acknowledgment of receipt in accordance with legal and regulatory</w:t>
            </w: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Times New Roman" w:cs="Times New Roman" w:eastAsia="Times New Roman" w:hAnsi="Times New Roman"/>
          <w:sz w:val="18"/>
          <w:szCs w:val="18"/>
          <w:color w:val="auto"/>
        </w:rPr>
        <w:t>requirements, specifying his e-mail address.</w:t>
      </w:r>
    </w:p>
    <w:p>
      <w:pPr>
        <w:spacing w:after="0" w:line="2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meeting notice must also indicate the conditions under which the</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shareholders may vote by correspondence, the places and conditions in</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which they can obtain voting forms, and as the case may be, the e-mail</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to which they may send written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00" w:top="1440" w:right="499" w:bottom="1440" w:gutter="0" w:footer="0" w:header="0"/>
        </w:sectPr>
      </w:pPr>
    </w:p>
    <w:bookmarkStart w:id="241" w:name="page242"/>
    <w:bookmarkEnd w:id="241"/>
    <w:p>
      <w:pPr>
        <w:spacing w:after="0" w:line="4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Each shareholder has the right to attend the meetings and participate in</w:t>
      </w:r>
    </w:p>
    <w:p>
      <w:pPr>
        <w:spacing w:after="0" w:line="36" w:lineRule="exact"/>
        <w:rPr>
          <w:sz w:val="20"/>
          <w:szCs w:val="20"/>
          <w:color w:val="auto"/>
        </w:rPr>
      </w:pPr>
    </w:p>
    <w:p>
      <w:pPr>
        <w:ind w:left="1680"/>
        <w:spacing w:after="0" w:line="273" w:lineRule="auto"/>
        <w:rPr>
          <w:sz w:val="20"/>
          <w:szCs w:val="20"/>
          <w:color w:val="auto"/>
        </w:rPr>
      </w:pPr>
      <w:r>
        <w:rPr>
          <w:rFonts w:ascii="Times New Roman" w:cs="Times New Roman" w:eastAsia="Times New Roman" w:hAnsi="Times New Roman"/>
          <w:sz w:val="18"/>
          <w:szCs w:val="18"/>
          <w:color w:val="auto"/>
        </w:rPr>
        <w:t>the discussions (i) personally, (ii) by granting proxy to any individual or legal entity of his choosing, (iii) by sending a proxy to the company</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without indication of the mandate (in which case such proxy shall be</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cast in favor of the resolutions supported by the board of directors), (iv)</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by voting by correspondence or (v) by videoconference or another</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means of telecommunication allowing identification in accordance with</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applicable laws. The proxy is only valid for a single meeting or for</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successive meetings convened with the same agenda. It can also be</w:t>
      </w:r>
    </w:p>
    <w:p>
      <w:pPr>
        <w:spacing w:after="0" w:line="27" w:lineRule="exact"/>
        <w:rPr>
          <w:sz w:val="20"/>
          <w:szCs w:val="20"/>
          <w:color w:val="auto"/>
        </w:rPr>
      </w:pPr>
    </w:p>
    <w:p>
      <w:pPr>
        <w:ind w:left="1680" w:right="80"/>
        <w:spacing w:after="0" w:line="307" w:lineRule="auto"/>
        <w:rPr>
          <w:sz w:val="20"/>
          <w:szCs w:val="20"/>
          <w:color w:val="auto"/>
        </w:rPr>
      </w:pPr>
      <w:r>
        <w:rPr>
          <w:rFonts w:ascii="Times New Roman" w:cs="Times New Roman" w:eastAsia="Times New Roman" w:hAnsi="Times New Roman"/>
          <w:sz w:val="18"/>
          <w:szCs w:val="18"/>
          <w:color w:val="auto"/>
        </w:rPr>
        <w:t>granted for two meetings, one ordinary the other extraordinary, held on the same day or within a period of 15 days.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1651" w:lineRule="exact"/>
        <w:rPr>
          <w:sz w:val="20"/>
          <w:szCs w:val="20"/>
          <w:color w:val="auto"/>
        </w:rPr>
      </w:pPr>
    </w:p>
    <w:p>
      <w:pPr>
        <w:sectPr>
          <w:pgSz w:w="11900" w:h="16838" w:orient="portrait"/>
          <w:cols w:equalWidth="0" w:num="2">
            <w:col w:w="6880" w:space="100"/>
            <w:col w:w="4020"/>
          </w:cols>
          <w:pgMar w:left="400" w:top="1440" w:right="49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Action 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80" w:right="580"/>
        <w:spacing w:after="0" w:line="237" w:lineRule="auto"/>
        <w:rPr>
          <w:sz w:val="20"/>
          <w:szCs w:val="20"/>
          <w:color w:val="auto"/>
        </w:rPr>
      </w:pPr>
      <w:r>
        <w:rPr>
          <w:rFonts w:ascii="Times New Roman" w:cs="Times New Roman" w:eastAsia="Times New Roman" w:hAnsi="Times New Roman"/>
          <w:sz w:val="18"/>
          <w:szCs w:val="18"/>
          <w:color w:val="auto"/>
        </w:rPr>
        <w:t xml:space="preserve">Under French law, shareholders’ action by written consent is not permitted in a </w:t>
      </w:r>
      <w:r>
        <w:rPr>
          <w:rFonts w:ascii="Times New Roman" w:cs="Times New Roman" w:eastAsia="Times New Roman" w:hAnsi="Times New Roman"/>
          <w:sz w:val="18"/>
          <w:szCs w:val="18"/>
          <w:i w:val="1"/>
          <w:iCs w:val="1"/>
          <w:color w:val="auto"/>
        </w:rPr>
        <w:t>société anonyme.</w:t>
      </w:r>
    </w:p>
    <w:p>
      <w:pPr>
        <w:spacing w:after="0" w:line="29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Preferential</w:t>
      </w:r>
      <w:r>
        <w:rPr>
          <w:sz w:val="20"/>
          <w:szCs w:val="20"/>
          <w:color w:val="auto"/>
        </w:rPr>
        <w:tab/>
      </w:r>
      <w:r>
        <w:rPr>
          <w:rFonts w:ascii="Times New Roman" w:cs="Times New Roman" w:eastAsia="Times New Roman" w:hAnsi="Times New Roman"/>
          <w:sz w:val="18"/>
          <w:szCs w:val="18"/>
          <w:color w:val="auto"/>
        </w:rPr>
        <w:t>Under French law, in case of issuance of additional shares or other</w:t>
      </w:r>
    </w:p>
    <w:p>
      <w:pPr>
        <w:spacing w:after="0" w:line="3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Subscription Rights</w:t>
        <w:tab/>
        <w:t>securities for cash or set-off against cash debts, the existing shareholders</w:t>
      </w:r>
    </w:p>
    <w:p>
      <w:pPr>
        <w:spacing w:after="0" w:line="27" w:lineRule="exact"/>
        <w:rPr>
          <w:sz w:val="20"/>
          <w:szCs w:val="20"/>
          <w:color w:val="auto"/>
        </w:rPr>
      </w:pPr>
    </w:p>
    <w:p>
      <w:pPr>
        <w:ind w:left="1680" w:right="40"/>
        <w:spacing w:after="0" w:line="294" w:lineRule="auto"/>
        <w:rPr>
          <w:sz w:val="20"/>
          <w:szCs w:val="20"/>
          <w:color w:val="auto"/>
        </w:rPr>
      </w:pPr>
      <w:r>
        <w:rPr>
          <w:rFonts w:ascii="Times New Roman" w:cs="Times New Roman" w:eastAsia="Times New Roman" w:hAnsi="Times New Roman"/>
          <w:sz w:val="18"/>
          <w:szCs w:val="18"/>
          <w:color w:val="auto"/>
        </w:rPr>
        <w:t>have preferential subscription rights to these securities on a pro rata basis unless such rights are waived by a two-thirds majority of the votes held by</w:t>
      </w:r>
    </w:p>
    <w:p>
      <w:pPr>
        <w:spacing w:after="0" w:line="19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shareholders present at the extraordinary meeting deciding or</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authorizing the capital increase, voting in person or represented by</w:t>
      </w:r>
    </w:p>
    <w:p>
      <w:pPr>
        <w:spacing w:after="0" w:line="27" w:lineRule="exact"/>
        <w:rPr>
          <w:sz w:val="20"/>
          <w:szCs w:val="20"/>
          <w:color w:val="auto"/>
        </w:rPr>
      </w:pPr>
    </w:p>
    <w:p>
      <w:pPr>
        <w:ind w:left="1680" w:right="40"/>
        <w:spacing w:after="0" w:line="294" w:lineRule="auto"/>
        <w:rPr>
          <w:sz w:val="20"/>
          <w:szCs w:val="20"/>
          <w:color w:val="auto"/>
        </w:rPr>
      </w:pPr>
      <w:r>
        <w:rPr>
          <w:rFonts w:ascii="Times New Roman" w:cs="Times New Roman" w:eastAsia="Times New Roman" w:hAnsi="Times New Roman"/>
          <w:sz w:val="18"/>
          <w:szCs w:val="18"/>
          <w:color w:val="auto"/>
        </w:rPr>
        <w:t>proxy or voting by mail. In case such rights are not waived by the extraordinary general meeting, each shareholder may individually either exercise, assign or not exercise its preferential subscription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200" w:lineRule="exact"/>
        <w:rPr>
          <w:sz w:val="20"/>
          <w:szCs w:val="20"/>
          <w:color w:val="auto"/>
        </w:rPr>
      </w:pPr>
    </w:p>
    <w:p>
      <w:pPr>
        <w:spacing w:after="0" w:line="26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6920" w:space="60"/>
            <w:col w:w="4020"/>
          </w:cols>
          <w:pgMar w:left="400" w:top="1440" w:right="499" w:bottom="1440" w:gutter="0" w:footer="0" w:header="0"/>
          <w:type w:val="continuous"/>
        </w:sectPr>
      </w:pPr>
    </w:p>
    <w:bookmarkStart w:id="242" w:name="page243"/>
    <w:bookmarkEnd w:id="242"/>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of Dividends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 French law, dividends may only be paid by a French </w:t>
            </w:r>
            <w:r>
              <w:rPr>
                <w:rFonts w:ascii="Times New Roman" w:cs="Times New Roman" w:eastAsia="Times New Roman" w:hAnsi="Times New Roman"/>
                <w:sz w:val="18"/>
                <w:szCs w:val="18"/>
                <w:i w:val="1"/>
                <w:iCs w:val="1"/>
                <w:color w:val="auto"/>
              </w:rPr>
              <w:t>société</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Delaware law, dividends may be paid by a</w:t>
            </w:r>
          </w:p>
        </w:tc>
        <w:tc>
          <w:tcPr>
            <w:tcW w:w="0" w:type="dxa"/>
            <w:vAlign w:val="bottom"/>
          </w:tcPr>
          <w:p>
            <w:pPr>
              <w:spacing w:after="0"/>
              <w:rPr>
                <w:sz w:val="1"/>
                <w:szCs w:val="1"/>
                <w:color w:val="auto"/>
              </w:rPr>
            </w:pPr>
          </w:p>
        </w:tc>
      </w:tr>
      <w:tr>
        <w:trPr>
          <w:trHeight w:val="157"/>
        </w:trPr>
        <w:tc>
          <w:tcPr>
            <w:tcW w:w="5200" w:type="dxa"/>
            <w:vAlign w:val="bottom"/>
          </w:tcPr>
          <w:p>
            <w:pPr>
              <w:spacing w:after="0" w:line="157" w:lineRule="exact"/>
              <w:rPr>
                <w:sz w:val="20"/>
                <w:szCs w:val="20"/>
                <w:color w:val="auto"/>
              </w:rPr>
            </w:pPr>
            <w:r>
              <w:rPr>
                <w:rFonts w:ascii="Times New Roman" w:cs="Times New Roman" w:eastAsia="Times New Roman" w:hAnsi="Times New Roman"/>
                <w:sz w:val="18"/>
                <w:szCs w:val="18"/>
                <w:i w:val="1"/>
                <w:iCs w:val="1"/>
                <w:color w:val="auto"/>
              </w:rPr>
              <w:t xml:space="preserve">anonyme </w:t>
            </w:r>
            <w:r>
              <w:rPr>
                <w:rFonts w:ascii="Times New Roman" w:cs="Times New Roman" w:eastAsia="Times New Roman" w:hAnsi="Times New Roman"/>
                <w:sz w:val="18"/>
                <w:szCs w:val="18"/>
                <w:color w:val="auto"/>
              </w:rPr>
              <w:t>out of “distributable profits,” plus any distributable reserves</w:t>
            </w:r>
          </w:p>
        </w:tc>
        <w:tc>
          <w:tcPr>
            <w:tcW w:w="4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Delaware corporation either out of (i) surplus, as</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and “distributable premium” that the shareholders decide to make</w:t>
            </w:r>
          </w:p>
        </w:tc>
        <w:tc>
          <w:tcPr>
            <w:tcW w:w="4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5200" w:type="dxa"/>
            <w:vAlign w:val="bottom"/>
            <w:vMerge w:val="continue"/>
          </w:tcPr>
          <w:p>
            <w:pPr>
              <w:spacing w:after="0"/>
              <w:rPr>
                <w:sz w:val="3"/>
                <w:szCs w:val="3"/>
                <w:color w:val="auto"/>
              </w:rPr>
            </w:pPr>
          </w:p>
        </w:tc>
        <w:tc>
          <w:tcPr>
            <w:tcW w:w="4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defined in and computed in accordance with Delaware</w:t>
            </w:r>
          </w:p>
        </w:tc>
        <w:tc>
          <w:tcPr>
            <w:tcW w:w="0" w:type="dxa"/>
            <w:vAlign w:val="bottom"/>
          </w:tcPr>
          <w:p>
            <w:pPr>
              <w:spacing w:after="0"/>
              <w:rPr>
                <w:sz w:val="1"/>
                <w:szCs w:val="1"/>
                <w:color w:val="auto"/>
              </w:rPr>
            </w:pPr>
          </w:p>
        </w:tc>
      </w:tr>
      <w:tr>
        <w:trPr>
          <w:trHeight w:val="191"/>
        </w:trPr>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available for distribution, other than those reserves that are specifically</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right="360"/>
        <w:spacing w:after="0" w:line="187" w:lineRule="auto"/>
        <w:rPr>
          <w:sz w:val="20"/>
          <w:szCs w:val="20"/>
          <w:color w:val="auto"/>
        </w:rPr>
      </w:pPr>
      <w:r>
        <w:rPr>
          <w:rFonts w:ascii="Times New Roman" w:cs="Times New Roman" w:eastAsia="Times New Roman" w:hAnsi="Times New Roman"/>
          <w:sz w:val="15"/>
          <w:szCs w:val="15"/>
          <w:color w:val="auto"/>
        </w:rPr>
        <w:t>required by-law. “Distributable profits” consist of the unconsolidated net law, or (ii) in case there is no surplus, out of its net profits of the relevant corporation for each fiscal year, as increased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reduced by any profit or loss carried forward from prior years, minus the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for the fiscal year in which the dividend is</w:t>
            </w:r>
          </w:p>
        </w:tc>
      </w:tr>
      <w:tr>
        <w:trPr>
          <w:trHeight w:val="204"/>
        </w:trPr>
        <w:tc>
          <w:tcPr>
            <w:tcW w:w="52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amounts to be set aside to the statutory reserve (at least 5% of the profit</w:t>
            </w:r>
          </w:p>
        </w:tc>
        <w:tc>
          <w:tcPr>
            <w:tcW w:w="39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w w:val="99"/>
              </w:rPr>
              <w:t>declared and/or the preceding fiscal year, except when</w:t>
            </w:r>
          </w:p>
        </w:tc>
      </w:tr>
    </w:tbl>
    <w:p>
      <w:pPr>
        <w:spacing w:after="0" w:line="203" w:lineRule="auto"/>
        <w:rPr>
          <w:sz w:val="20"/>
          <w:szCs w:val="20"/>
          <w:color w:val="auto"/>
        </w:rPr>
      </w:pPr>
      <w:r>
        <w:rPr>
          <w:rFonts w:ascii="Times New Roman" w:cs="Times New Roman" w:eastAsia="Times New Roman" w:hAnsi="Times New Roman"/>
          <w:sz w:val="18"/>
          <w:szCs w:val="18"/>
          <w:color w:val="auto"/>
        </w:rPr>
        <w:t>until the reserve has reached 10% of the amount of the share capital) and the capital is diminished by depreciation in the value of</w:t>
      </w: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 the reserve set forth in the company’s by-laws (if any).</w:t>
            </w:r>
          </w:p>
        </w:tc>
        <w:tc>
          <w:tcPr>
            <w:tcW w:w="43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w w:val="99"/>
              </w:rPr>
              <w:t>its property, or by losses or otherwise, to an amount</w:t>
            </w:r>
          </w:p>
        </w:tc>
        <w:tc>
          <w:tcPr>
            <w:tcW w:w="0" w:type="dxa"/>
            <w:vAlign w:val="bottom"/>
          </w:tcPr>
          <w:p>
            <w:pPr>
              <w:spacing w:after="0"/>
              <w:rPr>
                <w:sz w:val="1"/>
                <w:szCs w:val="1"/>
                <w:color w:val="auto"/>
              </w:rPr>
            </w:pPr>
          </w:p>
        </w:tc>
      </w:tr>
      <w:tr>
        <w:trPr>
          <w:trHeight w:val="49"/>
        </w:trPr>
        <w:tc>
          <w:tcPr>
            <w:tcW w:w="4720" w:type="dxa"/>
            <w:vAlign w:val="bottom"/>
          </w:tcPr>
          <w:p>
            <w:pPr>
              <w:spacing w:after="0"/>
              <w:rPr>
                <w:sz w:val="4"/>
                <w:szCs w:val="4"/>
                <w:color w:val="auto"/>
              </w:rPr>
            </w:pPr>
          </w:p>
        </w:tc>
        <w:tc>
          <w:tcPr>
            <w:tcW w:w="4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560" w:space="120"/>
            <w:col w:w="9300"/>
          </w:cols>
          <w:pgMar w:left="40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 of Shares</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Times New Roman" w:cs="Times New Roman" w:eastAsia="Times New Roman" w:hAnsi="Times New Roman"/>
          <w:sz w:val="18"/>
          <w:szCs w:val="18"/>
          <w:color w:val="auto"/>
        </w:rPr>
        <w:t>“Distributable premium” refers to the contribution paid by the</w:t>
      </w:r>
    </w:p>
    <w:p>
      <w:pPr>
        <w:jc w:val="both"/>
        <w:ind w:right="660"/>
        <w:spacing w:after="0" w:line="218" w:lineRule="auto"/>
        <w:rPr>
          <w:sz w:val="20"/>
          <w:szCs w:val="20"/>
          <w:color w:val="auto"/>
        </w:rPr>
      </w:pPr>
      <w:r>
        <w:rPr>
          <w:rFonts w:ascii="Times New Roman" w:cs="Times New Roman" w:eastAsia="Times New Roman" w:hAnsi="Times New Roman"/>
          <w:sz w:val="18"/>
          <w:szCs w:val="18"/>
          <w:color w:val="auto"/>
        </w:rPr>
        <w:t>shareholders in addition to the par value of their shares for their subscription that the shareholders decide to make available for distribution.</w:t>
      </w:r>
    </w:p>
    <w:p>
      <w:pPr>
        <w:spacing w:after="0" w:line="6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Except in the case of a share capital reduction, no distribution can be made to the shareholders when the net equity is, or would become, lower than the amount of the share capital plus the reserves which cannot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in accordance with the law or the by-laws.</w:t>
      </w:r>
    </w:p>
    <w:p>
      <w:pPr>
        <w:spacing w:after="0" w:line="273" w:lineRule="exact"/>
        <w:rPr>
          <w:sz w:val="20"/>
          <w:szCs w:val="20"/>
          <w:color w:val="auto"/>
        </w:rPr>
      </w:pPr>
    </w:p>
    <w:p>
      <w:pPr>
        <w:ind w:right="480"/>
        <w:spacing w:after="0" w:line="236" w:lineRule="auto"/>
        <w:rPr>
          <w:sz w:val="20"/>
          <w:szCs w:val="20"/>
          <w:color w:val="auto"/>
        </w:rPr>
      </w:pPr>
      <w:r>
        <w:rPr>
          <w:rFonts w:ascii="Times New Roman" w:cs="Times New Roman" w:eastAsia="Times New Roman" w:hAnsi="Times New Roman"/>
          <w:sz w:val="17"/>
          <w:szCs w:val="17"/>
          <w:color w:val="auto"/>
        </w:rPr>
        <w:t>Under French law, a corporation may acquire its own shares. Such acquisition may be challenged on the ground of market abuse</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Times New Roman" w:cs="Times New Roman" w:eastAsia="Times New Roman" w:hAnsi="Times New Roman"/>
          <w:sz w:val="18"/>
          <w:szCs w:val="18"/>
          <w:color w:val="auto"/>
        </w:rPr>
        <w:t>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8"/>
          <w:szCs w:val="18"/>
          <w:color w:val="auto"/>
        </w:rPr>
        <w:t>Under Delaware law, a corporation may generally redeem or repurchase shares of its stock unless the</w:t>
      </w:r>
    </w:p>
    <w:p>
      <w:pPr>
        <w:spacing w:after="0" w:line="2" w:lineRule="exact"/>
        <w:rPr>
          <w:sz w:val="20"/>
          <w:szCs w:val="20"/>
          <w:color w:val="auto"/>
        </w:rPr>
      </w:pPr>
    </w:p>
    <w:p>
      <w:pPr>
        <w:sectPr>
          <w:pgSz w:w="11900" w:h="16838" w:orient="portrait"/>
          <w:cols w:equalWidth="0" w:num="3">
            <w:col w:w="1560" w:space="120"/>
            <w:col w:w="5260" w:space="40"/>
            <w:col w:w="4000"/>
          </w:cols>
          <w:pgMar w:left="400" w:top="1440" w:right="519" w:bottom="1440" w:gutter="0" w:footer="0" w:header="0"/>
          <w:type w:val="continuous"/>
        </w:sectPr>
      </w:pPr>
    </w:p>
    <w:tbl>
      <w:tblPr>
        <w:tblLayout w:type="fixed"/>
        <w:tblInd w:w="1680" w:type="dxa"/>
        <w:tblCellMar>
          <w:top w:w="0" w:type="dxa"/>
          <w:left w:w="0" w:type="dxa"/>
          <w:bottom w:w="0" w:type="dxa"/>
          <w:right w:w="0" w:type="dxa"/>
        </w:tblCellMar>
      </w:tblPr>
      <w:tr>
        <w:trPr>
          <w:trHeight w:val="160"/>
        </w:trPr>
        <w:tc>
          <w:tcPr>
            <w:tcW w:w="52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regulations. However, MAR provides for safe harbor exemptions when</w:t>
            </w:r>
          </w:p>
        </w:tc>
        <w:tc>
          <w:tcPr>
            <w:tcW w:w="4060" w:type="dxa"/>
            <w:vAlign w:val="bottom"/>
          </w:tcPr>
          <w:p>
            <w:pPr>
              <w:ind w:left="80"/>
              <w:spacing w:after="0" w:line="160" w:lineRule="exact"/>
              <w:rPr>
                <w:sz w:val="20"/>
                <w:szCs w:val="20"/>
                <w:color w:val="auto"/>
              </w:rPr>
            </w:pPr>
            <w:r>
              <w:rPr>
                <w:rFonts w:ascii="Times New Roman" w:cs="Times New Roman" w:eastAsia="Times New Roman" w:hAnsi="Times New Roman"/>
                <w:sz w:val="18"/>
                <w:szCs w:val="18"/>
                <w:color w:val="auto"/>
              </w:rPr>
              <w:t>capital of the corporation is impaired or such</w:t>
            </w:r>
          </w:p>
        </w:tc>
      </w:tr>
      <w:tr>
        <w:trPr>
          <w:trHeight w:val="176"/>
        </w:trPr>
        <w:tc>
          <w:tcPr>
            <w:tcW w:w="5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acquisition is made for the following purposes only:</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redemption or repurchase would impair the capital of</w:t>
            </w:r>
          </w:p>
        </w:tc>
      </w:tr>
      <w:tr>
        <w:trPr>
          <w:trHeight w:val="292"/>
        </w:trPr>
        <w:tc>
          <w:tcPr>
            <w:tcW w:w="9280" w:type="dxa"/>
            <w:vAlign w:val="bottom"/>
            <w:gridSpan w:val="2"/>
          </w:tcPr>
          <w:p>
            <w:pPr>
              <w:ind w:left="540"/>
              <w:spacing w:after="0" w:line="291" w:lineRule="exact"/>
              <w:rPr>
                <w:sz w:val="20"/>
                <w:szCs w:val="20"/>
                <w:color w:val="auto"/>
              </w:rPr>
            </w:pPr>
            <w:r>
              <w:rPr>
                <w:rFonts w:ascii="Times New Roman" w:cs="Times New Roman" w:eastAsia="Times New Roman" w:hAnsi="Times New Roman"/>
                <w:sz w:val="17"/>
                <w:szCs w:val="17"/>
                <w:color w:val="auto"/>
              </w:rPr>
              <w:t xml:space="preserve">•  to decrease its share capital, provided that such decision is not </w:t>
            </w:r>
            <w:r>
              <w:rPr>
                <w:rFonts w:ascii="Times New Roman" w:cs="Times New Roman" w:eastAsia="Times New Roman" w:hAnsi="Times New Roman"/>
                <w:sz w:val="33"/>
                <w:szCs w:val="33"/>
                <w:color w:val="auto"/>
                <w:vertAlign w:val="superscript"/>
              </w:rPr>
              <w:t>the corporation.</w:t>
            </w:r>
          </w:p>
        </w:tc>
      </w:tr>
      <w:tr>
        <w:trPr>
          <w:trHeight w:val="180"/>
        </w:trPr>
        <w:tc>
          <w:tcPr>
            <w:tcW w:w="5220" w:type="dxa"/>
            <w:vAlign w:val="bottom"/>
          </w:tcPr>
          <w:p>
            <w:pPr>
              <w:ind w:left="880"/>
              <w:spacing w:after="0" w:line="181" w:lineRule="exact"/>
              <w:rPr>
                <w:sz w:val="20"/>
                <w:szCs w:val="20"/>
                <w:color w:val="auto"/>
              </w:rPr>
            </w:pPr>
            <w:r>
              <w:rPr>
                <w:rFonts w:ascii="Times New Roman" w:cs="Times New Roman" w:eastAsia="Times New Roman" w:hAnsi="Times New Roman"/>
                <w:sz w:val="18"/>
                <w:szCs w:val="18"/>
                <w:color w:val="auto"/>
              </w:rPr>
              <w:t>driven by losses and that a purchase offer is made to all</w:t>
            </w:r>
          </w:p>
        </w:tc>
        <w:tc>
          <w:tcPr>
            <w:tcW w:w="40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No such repurchase of shares may result in the</w:t>
            </w:r>
          </w:p>
        </w:tc>
      </w:tr>
      <w:tr>
        <w:trPr>
          <w:trHeight w:val="175"/>
        </w:trPr>
        <w:tc>
          <w:tcPr>
            <w:tcW w:w="5220" w:type="dxa"/>
            <w:vAlign w:val="bottom"/>
          </w:tcPr>
          <w:p>
            <w:pPr>
              <w:ind w:left="880"/>
              <w:spacing w:after="0" w:line="176" w:lineRule="exact"/>
              <w:rPr>
                <w:sz w:val="20"/>
                <w:szCs w:val="20"/>
                <w:color w:val="auto"/>
              </w:rPr>
            </w:pPr>
            <w:r>
              <w:rPr>
                <w:rFonts w:ascii="Times New Roman" w:cs="Times New Roman" w:eastAsia="Times New Roman" w:hAnsi="Times New Roman"/>
                <w:sz w:val="18"/>
                <w:szCs w:val="18"/>
                <w:color w:val="auto"/>
              </w:rPr>
              <w:t>shareholders on a pro rata basis, with the approval of the</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company holding, directly or through a person acting</w:t>
            </w:r>
          </w:p>
        </w:tc>
      </w:tr>
      <w:tr>
        <w:trPr>
          <w:trHeight w:val="204"/>
        </w:trPr>
        <w:tc>
          <w:tcPr>
            <w:tcW w:w="5220" w:type="dxa"/>
            <w:vAlign w:val="bottom"/>
          </w:tcPr>
          <w:p>
            <w:pPr>
              <w:ind w:left="880"/>
              <w:spacing w:after="0" w:line="204" w:lineRule="exact"/>
              <w:rPr>
                <w:sz w:val="20"/>
                <w:szCs w:val="20"/>
                <w:color w:val="auto"/>
              </w:rPr>
            </w:pPr>
            <w:r>
              <w:rPr>
                <w:rFonts w:ascii="Times New Roman" w:cs="Times New Roman" w:eastAsia="Times New Roman" w:hAnsi="Times New Roman"/>
                <w:sz w:val="18"/>
                <w:szCs w:val="18"/>
                <w:color w:val="auto"/>
              </w:rPr>
              <w:t>shareholders at the extraordinary general meeting deciding</w:t>
            </w:r>
          </w:p>
        </w:tc>
        <w:tc>
          <w:tcPr>
            <w:tcW w:w="406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w w:val="99"/>
              </w:rPr>
              <w:t>on its behalf, more than 10% of its issued share capital.</w:t>
            </w:r>
          </w:p>
        </w:tc>
      </w:tr>
    </w:tbl>
    <w:p>
      <w:pPr>
        <w:ind w:left="2560"/>
        <w:spacing w:after="0" w:line="203" w:lineRule="auto"/>
        <w:rPr>
          <w:sz w:val="20"/>
          <w:szCs w:val="20"/>
          <w:color w:val="auto"/>
        </w:rPr>
      </w:pPr>
      <w:r>
        <w:rPr>
          <w:rFonts w:ascii="Times New Roman" w:cs="Times New Roman" w:eastAsia="Times New Roman" w:hAnsi="Times New Roman"/>
          <w:sz w:val="18"/>
          <w:szCs w:val="18"/>
          <w:color w:val="auto"/>
        </w:rPr>
        <w:t>the capital reduction; or to meet obligations arising from</w:t>
      </w:r>
    </w:p>
    <w:p>
      <w:pPr>
        <w:ind w:left="2560"/>
        <w:spacing w:after="0" w:line="203" w:lineRule="auto"/>
        <w:rPr>
          <w:sz w:val="20"/>
          <w:szCs w:val="20"/>
          <w:color w:val="auto"/>
        </w:rPr>
      </w:pPr>
      <w:r>
        <w:rPr>
          <w:rFonts w:ascii="Times New Roman" w:cs="Times New Roman" w:eastAsia="Times New Roman" w:hAnsi="Times New Roman"/>
          <w:sz w:val="18"/>
          <w:szCs w:val="18"/>
          <w:color w:val="auto"/>
        </w:rPr>
        <w:t>debt securities, that are exchangeable into equity</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instruments.</w:t>
      </w:r>
    </w:p>
    <w:p>
      <w:pPr>
        <w:spacing w:after="0" w:line="388" w:lineRule="exact"/>
        <w:rPr>
          <w:sz w:val="20"/>
          <w:szCs w:val="20"/>
          <w:color w:val="auto"/>
        </w:rPr>
      </w:pPr>
    </w:p>
    <w:p>
      <w:pPr>
        <w:ind w:left="3720"/>
        <w:spacing w:after="0"/>
        <w:tabs>
          <w:tab w:leader="none" w:pos="8360" w:val="left"/>
        </w:tabs>
        <w:rPr>
          <w:sz w:val="20"/>
          <w:szCs w:val="20"/>
          <w:color w:val="auto"/>
        </w:rPr>
      </w:pPr>
      <w:r>
        <w:rPr>
          <w:rFonts w:ascii="Times New Roman" w:cs="Times New Roman" w:eastAsia="Times New Roman" w:hAnsi="Times New Roman"/>
          <w:sz w:val="14"/>
          <w:szCs w:val="14"/>
          <w:b w:val="1"/>
          <w:bCs w:val="1"/>
          <w:color w:val="auto"/>
        </w:rPr>
        <w:t>FRANCE</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00" w:top="1440" w:right="519" w:bottom="1440" w:gutter="0" w:footer="0" w:header="0"/>
          <w:type w:val="continuous"/>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Liability of Directors and Officers</w:t>
      </w:r>
    </w:p>
    <w:p>
      <w:pPr>
        <w:spacing w:after="0" w:line="20" w:lineRule="exact"/>
        <w:rPr>
          <w:sz w:val="20"/>
          <w:szCs w:val="20"/>
          <w:color w:val="auto"/>
        </w:rPr>
      </w:pPr>
      <w:r>
        <w:rPr>
          <w:sz w:val="20"/>
          <w:szCs w:val="20"/>
          <w:color w:val="auto"/>
        </w:rPr>
        <w:br w:type="column"/>
      </w:r>
    </w:p>
    <w:p>
      <w:pPr>
        <w:ind w:left="860" w:right="120" w:hanging="320"/>
        <w:spacing w:after="0" w:line="224" w:lineRule="auto"/>
        <w:tabs>
          <w:tab w:leader="none" w:pos="77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distributing within one year of their repurchase the relevant shares to employees or managers under a profit-sharing, free share or share option plan; or</w:t>
      </w:r>
    </w:p>
    <w:p>
      <w:pPr>
        <w:spacing w:after="0" w:line="50" w:lineRule="exact"/>
        <w:rPr>
          <w:rFonts w:ascii="Times New Roman" w:cs="Times New Roman" w:eastAsia="Times New Roman" w:hAnsi="Times New Roman"/>
          <w:sz w:val="18"/>
          <w:szCs w:val="18"/>
          <w:color w:val="auto"/>
        </w:rPr>
      </w:pPr>
    </w:p>
    <w:p>
      <w:pPr>
        <w:ind w:left="860" w:right="20" w:hanging="320"/>
        <w:spacing w:after="0" w:line="223" w:lineRule="auto"/>
        <w:tabs>
          <w:tab w:leader="none" w:pos="77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buy-back program to be authorized by the shareholders in accordance with the provisions of Article L. 22-10-62 of the French Commercial Code and in accordance with the general regulations of the AMF.</w:t>
      </w:r>
    </w:p>
    <w:p>
      <w:pPr>
        <w:spacing w:after="0" w:line="5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All other purposes, and especially share buy-backs for external growth operations by virtue of Article L. 22-10-62 of the French</w:t>
      </w:r>
    </w:p>
    <w:p>
      <w:pPr>
        <w:ind w:right="20"/>
        <w:spacing w:after="0" w:line="239" w:lineRule="auto"/>
        <w:rPr>
          <w:sz w:val="20"/>
          <w:szCs w:val="20"/>
          <w:color w:val="auto"/>
        </w:rPr>
      </w:pPr>
      <w:r>
        <w:rPr>
          <w:rFonts w:ascii="Times New Roman" w:cs="Times New Roman" w:eastAsia="Times New Roman" w:hAnsi="Times New Roman"/>
          <w:sz w:val="17"/>
          <w:szCs w:val="17"/>
          <w:color w:val="auto"/>
        </w:rPr>
        <w:t>Commercial Code, while not forbidden, must be pursued in strict compliance of market manipulations and insider dealing rules.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repurchase of shares may result in the company holding,</w:t>
      </w:r>
    </w:p>
    <w:p>
      <w:pPr>
        <w:spacing w:after="0" w:line="1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directly or through a person acting on its behalf, more than 10% of its issued share capital.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MAR and in accordance with the General Regulations, a</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corporation shall report to the competent authority of the trading venue on which the shares have been admitted to trading or are traded, no later than by the end of the seventh daily market</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session following the date of the execution of the transaction, all the transactions relating to the buy-back program, in a detailed form and in an aggregated form.</w:t>
      </w:r>
    </w:p>
    <w:p>
      <w:pPr>
        <w:spacing w:after="0" w:line="307"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Under French law, the by-laws may not include any provisions limiting the liability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Under Delaware law, a corporation’s certificate of incorporation may include a provision eliminating or limiting the personal</w:t>
      </w:r>
    </w:p>
    <w:p>
      <w:pPr>
        <w:ind w:right="60"/>
        <w:spacing w:after="0" w:line="218" w:lineRule="auto"/>
        <w:rPr>
          <w:sz w:val="20"/>
          <w:szCs w:val="20"/>
          <w:color w:val="auto"/>
        </w:rPr>
      </w:pPr>
      <w:r>
        <w:rPr>
          <w:rFonts w:ascii="Times New Roman" w:cs="Times New Roman" w:eastAsia="Times New Roman" w:hAnsi="Times New Roman"/>
          <w:sz w:val="18"/>
          <w:szCs w:val="18"/>
          <w:color w:val="auto"/>
        </w:rPr>
        <w:t>liability of a director to the corporation and its stockholders for damages arising from a breach of fiduciary duty as a director. However, no provision can limit the liability of a director for:</w:t>
      </w:r>
    </w:p>
    <w:p>
      <w:pPr>
        <w:spacing w:after="0" w:line="64" w:lineRule="exact"/>
        <w:rPr>
          <w:sz w:val="20"/>
          <w:szCs w:val="20"/>
          <w:color w:val="auto"/>
        </w:rPr>
      </w:pPr>
    </w:p>
    <w:p>
      <w:pPr>
        <w:ind w:left="860" w:right="300" w:hanging="327"/>
        <w:spacing w:after="0" w:line="237" w:lineRule="auto"/>
        <w:tabs>
          <w:tab w:leader="none" w:pos="77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50" w:lineRule="exact"/>
        <w:rPr>
          <w:rFonts w:ascii="Times New Roman" w:cs="Times New Roman" w:eastAsia="Times New Roman" w:hAnsi="Times New Roman"/>
          <w:sz w:val="18"/>
          <w:szCs w:val="18"/>
          <w:color w:val="auto"/>
        </w:rPr>
      </w:pPr>
    </w:p>
    <w:p>
      <w:pPr>
        <w:ind w:left="860" w:right="220" w:hanging="327"/>
        <w:spacing w:after="0" w:line="231" w:lineRule="auto"/>
        <w:tabs>
          <w:tab w:leader="none" w:pos="77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50" w:lineRule="exact"/>
        <w:rPr>
          <w:rFonts w:ascii="Times New Roman" w:cs="Times New Roman" w:eastAsia="Times New Roman" w:hAnsi="Times New Roman"/>
          <w:sz w:val="18"/>
          <w:szCs w:val="18"/>
          <w:color w:val="auto"/>
        </w:rPr>
      </w:pPr>
    </w:p>
    <w:p>
      <w:pPr>
        <w:ind w:left="860" w:right="300" w:hanging="327"/>
        <w:spacing w:after="0" w:line="279" w:lineRule="auto"/>
        <w:tabs>
          <w:tab w:leader="none" w:pos="77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 or negligent payment of unlawful dividends or stock purchases or redemptions; or</w:t>
      </w:r>
    </w:p>
    <w:p>
      <w:pPr>
        <w:spacing w:after="0" w:line="18" w:lineRule="exact"/>
        <w:rPr>
          <w:sz w:val="20"/>
          <w:szCs w:val="20"/>
          <w:color w:val="auto"/>
        </w:rPr>
      </w:pPr>
    </w:p>
    <w:p>
      <w:pPr>
        <w:sectPr>
          <w:pgSz w:w="11900" w:h="16838" w:orient="portrait"/>
          <w:cols w:equalWidth="0" w:num="3">
            <w:col w:w="1540" w:space="140"/>
            <w:col w:w="4700" w:space="140"/>
            <w:col w:w="4600"/>
          </w:cols>
          <w:pgMar w:left="340" w:top="1440" w:right="439" w:bottom="1440" w:gutter="0" w:footer="0" w:header="0"/>
        </w:sectPr>
      </w:pPr>
    </w:p>
    <w:p>
      <w:pPr>
        <w:ind w:left="7380" w:right="200" w:hanging="327"/>
        <w:spacing w:after="0" w:line="237" w:lineRule="auto"/>
        <w:tabs>
          <w:tab w:leader="none" w:pos="729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40" w:top="1440" w:right="439" w:bottom="1440" w:gutter="0" w:footer="0" w:header="0"/>
          <w:type w:val="continuous"/>
        </w:sectPr>
      </w:pPr>
    </w:p>
    <w:bookmarkStart w:id="244" w:name="page245"/>
    <w:bookmarkEnd w:id="244"/>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Shareholder Vote on Certain Transactions</w:t>
      </w:r>
    </w:p>
    <w:p>
      <w:pPr>
        <w:spacing w:after="0" w:line="20" w:lineRule="exact"/>
        <w:rPr>
          <w:sz w:val="20"/>
          <w:szCs w:val="20"/>
          <w:color w:val="auto"/>
        </w:rPr>
      </w:pPr>
      <w:r>
        <w:rPr>
          <w:sz w:val="20"/>
          <w:szCs w:val="20"/>
          <w:color w:val="auto"/>
        </w:rPr>
        <w:br w:type="column"/>
      </w:r>
    </w:p>
    <w:p>
      <w:pPr>
        <w:ind w:right="200"/>
        <w:spacing w:after="0" w:line="236" w:lineRule="auto"/>
        <w:rPr>
          <w:sz w:val="20"/>
          <w:szCs w:val="20"/>
          <w:color w:val="auto"/>
        </w:rPr>
      </w:pPr>
      <w:r>
        <w:rPr>
          <w:rFonts w:ascii="Times New Roman" w:cs="Times New Roman" w:eastAsia="Times New Roman" w:hAnsi="Times New Roman"/>
          <w:sz w:val="17"/>
          <w:szCs w:val="17"/>
          <w:color w:val="auto"/>
        </w:rPr>
        <w:t>French law provides that, unless otherwise provided in the by-laws, each shareholder is entitled to one vote for each share of</w:t>
      </w:r>
    </w:p>
    <w:p>
      <w:pPr>
        <w:spacing w:after="0" w:line="208" w:lineRule="auto"/>
        <w:rPr>
          <w:sz w:val="20"/>
          <w:szCs w:val="20"/>
          <w:color w:val="auto"/>
        </w:rPr>
      </w:pPr>
      <w:r>
        <w:rPr>
          <w:rFonts w:ascii="Times New Roman" w:cs="Times New Roman" w:eastAsia="Times New Roman" w:hAnsi="Times New Roman"/>
          <w:sz w:val="18"/>
          <w:szCs w:val="18"/>
          <w:color w:val="auto"/>
        </w:rPr>
        <w:t>share capital held by such shareholder. Further, pursuant to the introduction of Law No. 2014-384 dated March 29, 2014 (</w:t>
      </w:r>
      <w:r>
        <w:rPr>
          <w:rFonts w:ascii="Times New Roman" w:cs="Times New Roman" w:eastAsia="Times New Roman" w:hAnsi="Times New Roman"/>
          <w:sz w:val="18"/>
          <w:szCs w:val="18"/>
          <w:i w:val="1"/>
          <w:iCs w:val="1"/>
          <w:color w:val="auto"/>
        </w:rPr>
        <w:t>Loi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Florange</w:t>
      </w:r>
      <w:r>
        <w:rPr>
          <w:rFonts w:ascii="Times New Roman" w:cs="Times New Roman" w:eastAsia="Times New Roman" w:hAnsi="Times New Roman"/>
          <w:sz w:val="18"/>
          <w:szCs w:val="18"/>
          <w:color w:val="auto"/>
        </w:rPr>
        <w:t>), shares registered for more than two years in the name</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of the same shareholder are automatically be granted double voting rights from 2016, unless the by-laws expressly reject this measure.</w:t>
      </w:r>
    </w:p>
    <w:p>
      <w:pPr>
        <w:spacing w:after="0" w:line="26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Generally, under French law, completion of a merger, dissolution or sale or exchange of all or substantially all of a corporation’s</w:t>
      </w:r>
    </w:p>
    <w:p>
      <w:pPr>
        <w:spacing w:after="0"/>
        <w:rPr>
          <w:sz w:val="20"/>
          <w:szCs w:val="20"/>
          <w:color w:val="auto"/>
        </w:rPr>
      </w:pPr>
      <w:r>
        <w:rPr>
          <w:rFonts w:ascii="Times New Roman" w:cs="Times New Roman" w:eastAsia="Times New Roman" w:hAnsi="Times New Roman"/>
          <w:sz w:val="18"/>
          <w:szCs w:val="18"/>
          <w:color w:val="auto"/>
        </w:rPr>
        <w:t>assets (</w:t>
      </w:r>
      <w:r>
        <w:rPr>
          <w:rFonts w:ascii="Times New Roman" w:cs="Times New Roman" w:eastAsia="Times New Roman" w:hAnsi="Times New Roman"/>
          <w:sz w:val="18"/>
          <w:szCs w:val="18"/>
          <w:i w:val="1"/>
          <w:iCs w:val="1"/>
          <w:color w:val="auto"/>
        </w:rPr>
        <w:t>apport partiel d’actifs</w:t>
      </w:r>
      <w:r>
        <w:rPr>
          <w:rFonts w:ascii="Times New Roman" w:cs="Times New Roman" w:eastAsia="Times New Roman" w:hAnsi="Times New Roman"/>
          <w:sz w:val="18"/>
          <w:szCs w:val="18"/>
          <w:color w:val="auto"/>
        </w:rPr>
        <w:t>) requires:</w:t>
      </w:r>
    </w:p>
    <w:p>
      <w:pPr>
        <w:spacing w:after="0" w:line="57" w:lineRule="exact"/>
        <w:rPr>
          <w:sz w:val="20"/>
          <w:szCs w:val="20"/>
          <w:color w:val="auto"/>
        </w:rPr>
      </w:pPr>
    </w:p>
    <w:p>
      <w:pPr>
        <w:ind w:left="780" w:hanging="240"/>
        <w:spacing w:after="0"/>
        <w:tabs>
          <w:tab w:leader="none" w:pos="7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76" w:lineRule="exact"/>
        <w:rPr>
          <w:rFonts w:ascii="Times New Roman" w:cs="Times New Roman" w:eastAsia="Times New Roman" w:hAnsi="Times New Roman"/>
          <w:sz w:val="18"/>
          <w:szCs w:val="18"/>
          <w:color w:val="auto"/>
        </w:rPr>
      </w:pPr>
    </w:p>
    <w:p>
      <w:pPr>
        <w:ind w:left="860" w:right="20" w:hanging="320"/>
        <w:spacing w:after="0" w:line="223" w:lineRule="auto"/>
        <w:tabs>
          <w:tab w:leader="none" w:pos="7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 two-thirds majority of the votes held by the shareholders present, represented by proxy or voting by mail at the relevant meeting or, in the case of a merger with a non-EU company, approval of all shareholders of the corporation.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80"/>
        <w:spacing w:after="0" w:line="222"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w:t>
      </w:r>
    </w:p>
    <w:p>
      <w:pPr>
        <w:spacing w:after="0" w:line="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vides for the vote of a larger portion of shares, completion of a merger, consolidation, sale, lease or exchange of all or substantially all of a corporation’s assets or dissolution requires:</w:t>
      </w:r>
    </w:p>
    <w:p>
      <w:pPr>
        <w:spacing w:after="0" w:line="64" w:lineRule="exact"/>
        <w:rPr>
          <w:sz w:val="20"/>
          <w:szCs w:val="20"/>
          <w:color w:val="auto"/>
        </w:rPr>
      </w:pPr>
    </w:p>
    <w:p>
      <w:pPr>
        <w:ind w:left="780" w:hanging="247"/>
        <w:spacing w:after="0"/>
        <w:tabs>
          <w:tab w:leader="none" w:pos="7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76" w:lineRule="exact"/>
        <w:rPr>
          <w:rFonts w:ascii="Times New Roman" w:cs="Times New Roman" w:eastAsia="Times New Roman" w:hAnsi="Times New Roman"/>
          <w:sz w:val="18"/>
          <w:szCs w:val="18"/>
          <w:color w:val="auto"/>
        </w:rPr>
      </w:pPr>
    </w:p>
    <w:p>
      <w:pPr>
        <w:ind w:left="860" w:hanging="327"/>
        <w:spacing w:after="0" w:line="220" w:lineRule="auto"/>
        <w:tabs>
          <w:tab w:leader="none" w:pos="77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0" w:lineRule="exact"/>
        <w:rPr>
          <w:sz w:val="20"/>
          <w:szCs w:val="20"/>
          <w:color w:val="auto"/>
        </w:rPr>
      </w:pPr>
    </w:p>
    <w:p>
      <w:pPr>
        <w:sectPr>
          <w:pgSz w:w="11900" w:h="16838" w:orient="portrait"/>
          <w:cols w:equalWidth="0" w:num="3">
            <w:col w:w="1500" w:space="180"/>
            <w:col w:w="4680" w:space="160"/>
            <w:col w:w="4660"/>
          </w:cols>
          <w:pgMar w:left="340" w:top="1440" w:right="379" w:bottom="1440" w:gutter="0" w:footer="0" w:header="0"/>
        </w:sectPr>
      </w:pPr>
    </w:p>
    <w:p>
      <w:pPr>
        <w:spacing w:after="0" w:line="9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Dissent or Dissenters</w:t>
        <w:tab/>
        <w:t>French law does not provide for any such right but provides that a Under Delaware law, a holder of shares of any class or series has</w:t>
      </w:r>
    </w:p>
    <w:p>
      <w:pPr>
        <w:spacing w:after="0" w:line="36" w:lineRule="exact"/>
        <w:rPr>
          <w:sz w:val="20"/>
          <w:szCs w:val="20"/>
          <w:color w:val="auto"/>
        </w:rPr>
      </w:pPr>
    </w:p>
    <w:p>
      <w:pPr>
        <w:spacing w:after="0"/>
        <w:tabs>
          <w:tab w:leader="none" w:pos="1660" w:val="left"/>
          <w:tab w:leader="none" w:pos="650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8"/>
          <w:szCs w:val="18"/>
          <w:color w:val="auto"/>
        </w:rPr>
        <w:t>merger is subject to shareholders’ approval by a two-thirds</w:t>
      </w:r>
      <w:r>
        <w:rPr>
          <w:sz w:val="20"/>
          <w:szCs w:val="20"/>
          <w:color w:val="auto"/>
        </w:rPr>
        <w:tab/>
      </w:r>
      <w:r>
        <w:rPr>
          <w:rFonts w:ascii="Times New Roman" w:cs="Times New Roman" w:eastAsia="Times New Roman" w:hAnsi="Times New Roman"/>
          <w:sz w:val="17"/>
          <w:szCs w:val="17"/>
          <w:color w:val="auto"/>
        </w:rPr>
        <w:t>the right, in specified circumstances, to dissent from a merger or</w:t>
      </w:r>
    </w:p>
    <w:p>
      <w:pPr>
        <w:spacing w:after="0" w:line="27" w:lineRule="exact"/>
        <w:rPr>
          <w:sz w:val="20"/>
          <w:szCs w:val="20"/>
          <w:color w:val="auto"/>
        </w:rPr>
      </w:pPr>
    </w:p>
    <w:p>
      <w:pPr>
        <w:ind w:left="1680"/>
        <w:spacing w:after="0"/>
        <w:tabs>
          <w:tab w:leader="none" w:pos="6500" w:val="left"/>
        </w:tabs>
        <w:rPr>
          <w:sz w:val="20"/>
          <w:szCs w:val="20"/>
          <w:color w:val="auto"/>
        </w:rPr>
      </w:pPr>
      <w:r>
        <w:rPr>
          <w:rFonts w:ascii="Times New Roman" w:cs="Times New Roman" w:eastAsia="Times New Roman" w:hAnsi="Times New Roman"/>
          <w:sz w:val="18"/>
          <w:szCs w:val="18"/>
          <w:color w:val="auto"/>
        </w:rPr>
        <w:t>majority vote, as stated above.</w:t>
      </w:r>
      <w:r>
        <w:rPr>
          <w:sz w:val="20"/>
          <w:szCs w:val="20"/>
          <w:color w:val="auto"/>
        </w:rPr>
        <w:tab/>
      </w:r>
      <w:r>
        <w:rPr>
          <w:rFonts w:ascii="Times New Roman" w:cs="Times New Roman" w:eastAsia="Times New Roman" w:hAnsi="Times New Roman"/>
          <w:sz w:val="17"/>
          <w:szCs w:val="17"/>
          <w:color w:val="auto"/>
        </w:rPr>
        <w:t>consolidation by demanding payment in cash for the</w:t>
      </w:r>
    </w:p>
    <w:p>
      <w:pPr>
        <w:spacing w:after="0" w:line="3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stockholder’s shares equal to the fair value of those shares, as</w:t>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determined by the Delaware Chancery Court in an action timely</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brought by the corporation or a dissenting stockholder. Delaware</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law grants these appraisal rights only in the case of mergers or</w:t>
      </w:r>
    </w:p>
    <w:p>
      <w:pPr>
        <w:spacing w:after="0" w:line="3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consolidations and not in the case of a sale or transfer of assets</w:t>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or a purchase of</w:t>
      </w:r>
    </w:p>
    <w:p>
      <w:pPr>
        <w:spacing w:after="0" w:line="200" w:lineRule="exact"/>
        <w:rPr>
          <w:sz w:val="20"/>
          <w:szCs w:val="20"/>
          <w:color w:val="auto"/>
        </w:rPr>
      </w:pPr>
    </w:p>
    <w:p>
      <w:pPr>
        <w:spacing w:after="0" w:line="28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assets for shares. Further, no appraisal rights are available for</w:t>
      </w:r>
    </w:p>
    <w:p>
      <w:pPr>
        <w:ind w:left="6520"/>
        <w:spacing w:after="0" w:line="219" w:lineRule="auto"/>
        <w:rPr>
          <w:sz w:val="20"/>
          <w:szCs w:val="20"/>
          <w:color w:val="auto"/>
        </w:rPr>
      </w:pPr>
      <w:r>
        <w:rPr>
          <w:rFonts w:ascii="Times New Roman" w:cs="Times New Roman" w:eastAsia="Times New Roman" w:hAnsi="Times New Roman"/>
          <w:sz w:val="18"/>
          <w:szCs w:val="18"/>
          <w:color w:val="auto"/>
        </w:rPr>
        <w:t>shares of any class or series that is listed on a national securities</w:t>
      </w:r>
    </w:p>
    <w:p>
      <w:pPr>
        <w:ind w:left="6520"/>
        <w:spacing w:after="0" w:line="203" w:lineRule="auto"/>
        <w:rPr>
          <w:sz w:val="20"/>
          <w:szCs w:val="20"/>
          <w:color w:val="auto"/>
        </w:rPr>
      </w:pPr>
      <w:r>
        <w:rPr>
          <w:rFonts w:ascii="Times New Roman" w:cs="Times New Roman" w:eastAsia="Times New Roman" w:hAnsi="Times New Roman"/>
          <w:sz w:val="18"/>
          <w:szCs w:val="18"/>
          <w:color w:val="auto"/>
        </w:rPr>
        <w:t>exchange or held of record by more than 2,000 stockholders,</w:t>
      </w:r>
    </w:p>
    <w:p>
      <w:pPr>
        <w:ind w:left="6520"/>
        <w:spacing w:after="0" w:line="204" w:lineRule="auto"/>
        <w:rPr>
          <w:sz w:val="20"/>
          <w:szCs w:val="20"/>
          <w:color w:val="auto"/>
        </w:rPr>
      </w:pPr>
      <w:r>
        <w:rPr>
          <w:rFonts w:ascii="Times New Roman" w:cs="Times New Roman" w:eastAsia="Times New Roman" w:hAnsi="Times New Roman"/>
          <w:sz w:val="18"/>
          <w:szCs w:val="18"/>
          <w:color w:val="auto"/>
        </w:rPr>
        <w:t>unless the agreement of merger or consolidation requires the</w:t>
      </w:r>
    </w:p>
    <w:p>
      <w:pPr>
        <w:ind w:left="6520"/>
        <w:spacing w:after="0"/>
        <w:rPr>
          <w:sz w:val="20"/>
          <w:szCs w:val="20"/>
          <w:color w:val="auto"/>
        </w:rPr>
      </w:pPr>
      <w:r>
        <w:rPr>
          <w:rFonts w:ascii="Times New Roman" w:cs="Times New Roman" w:eastAsia="Times New Roman" w:hAnsi="Times New Roman"/>
          <w:sz w:val="18"/>
          <w:szCs w:val="18"/>
          <w:color w:val="auto"/>
        </w:rPr>
        <w:t>holders to accept for their shares anything other than:</w:t>
      </w:r>
    </w:p>
    <w:p>
      <w:pPr>
        <w:spacing w:after="0" w:line="70" w:lineRule="exact"/>
        <w:rPr>
          <w:sz w:val="20"/>
          <w:szCs w:val="20"/>
          <w:color w:val="auto"/>
        </w:rPr>
      </w:pPr>
    </w:p>
    <w:p>
      <w:pPr>
        <w:ind w:left="7060"/>
        <w:spacing w:after="0"/>
        <w:tabs>
          <w:tab w:leader="none" w:pos="7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shares of stock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40" w:top="1440" w:right="379" w:bottom="1440" w:gutter="0" w:footer="0" w:header="0"/>
          <w:type w:val="continuous"/>
        </w:sectPr>
      </w:pPr>
    </w:p>
    <w:bookmarkStart w:id="245" w:name="page246"/>
    <w:bookmarkEnd w:id="245"/>
    <w:p>
      <w:pPr>
        <w:spacing w:after="0" w:line="185" w:lineRule="auto"/>
        <w:framePr w:w="4000" w:h="160" w:wrap="auto" w:vAnchor="page" w:hAnchor="page" w:x="6820" w:y="497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reasonably believe to be in the best interest of the</w:t>
      </w:r>
    </w:p>
    <w:p>
      <w:pPr>
        <w:spacing w:after="0" w:line="194" w:lineRule="auto"/>
        <w:framePr w:w="4120" w:h="336" w:wrap="auto" w:vAnchor="page" w:hAnchor="page" w:x="7360" w:y="14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another corporation that are either listed on a national securities exchange or held of record by</w:t>
      </w:r>
    </w:p>
    <w:p>
      <w:pPr>
        <w:spacing w:after="0" w:line="196" w:lineRule="auto"/>
        <w:framePr w:w="2260" w:h="160" w:wrap="auto" w:vAnchor="page" w:hAnchor="page" w:x="7680" w:y="184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2,000 stockholders;</w:t>
      </w:r>
    </w:p>
    <w:p>
      <w:pPr>
        <w:spacing w:after="0" w:line="194" w:lineRule="auto"/>
        <w:framePr w:w="4180" w:h="336" w:wrap="auto" w:vAnchor="page" w:hAnchor="page" w:x="7360" w:y="212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cash in lieu of fractional shares of the stock described in the two preceding bullet points; or</w:t>
      </w:r>
    </w:p>
    <w:p>
      <w:pPr>
        <w:spacing w:after="0" w:line="185" w:lineRule="auto"/>
        <w:framePr w:w="2500" w:h="160" w:wrap="auto" w:vAnchor="page" w:hAnchor="page" w:x="7360" w:y="259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combination of the above.</w:t>
      </w:r>
    </w:p>
    <w:p>
      <w:pPr>
        <w:spacing w:after="0" w:line="206" w:lineRule="auto"/>
        <w:framePr w:w="4740" w:h="336" w:wrap="auto" w:vAnchor="page" w:hAnchor="page" w:x="6820" w:y="288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appraisal rights are not available to holders of shares of the surviving corporation in specified mergers that do not</w:t>
      </w:r>
    </w:p>
    <w:p>
      <w:pPr>
        <w:spacing w:after="0" w:line="196" w:lineRule="auto"/>
        <w:framePr w:w="4720" w:h="160" w:wrap="auto" w:vAnchor="page" w:hAnchor="page" w:x="6820" w:y="324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vote of the stockholders of the surviving corporation.</w:t>
      </w:r>
    </w:p>
    <w:p>
      <w:pPr>
        <w:spacing w:after="0" w:line="274" w:lineRule="auto"/>
        <w:framePr w:w="4640" w:h="1119" w:wrap="auto" w:vAnchor="page" w:hAnchor="page" w:x="6820" w:y="377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3" w:lineRule="exact"/>
        <w:rPr>
          <w:rFonts w:ascii="Times New Roman" w:cs="Times New Roman" w:eastAsia="Times New Roman" w:hAnsi="Times New Roman"/>
          <w:sz w:val="17"/>
          <w:szCs w:val="17"/>
          <w:color w:val="auto"/>
        </w:rPr>
      </w:pPr>
    </w:p>
    <w:p>
      <w:pPr>
        <w:ind w:right="9700"/>
        <w:spacing w:after="0" w:line="313" w:lineRule="auto"/>
        <w:rPr>
          <w:sz w:val="20"/>
          <w:szCs w:val="20"/>
          <w:color w:val="auto"/>
        </w:rPr>
      </w:pPr>
      <w:r>
        <w:rPr>
          <w:rFonts w:ascii="Times New Roman" w:cs="Times New Roman" w:eastAsia="Times New Roman" w:hAnsi="Times New Roman"/>
          <w:sz w:val="18"/>
          <w:szCs w:val="18"/>
          <w:color w:val="auto"/>
        </w:rPr>
        <w:t>Standard of Conduct for Directors</w:t>
      </w:r>
    </w:p>
    <w:p>
      <w:pPr>
        <w:spacing w:after="0" w:line="378" w:lineRule="exact"/>
        <w:rPr>
          <w:rFonts w:ascii="Times New Roman" w:cs="Times New Roman" w:eastAsia="Times New Roman" w:hAnsi="Times New Roman"/>
          <w:sz w:val="17"/>
          <w:szCs w:val="17"/>
          <w:color w:val="auto"/>
        </w:rPr>
      </w:pPr>
    </w:p>
    <w:p>
      <w:pPr>
        <w:ind w:left="1680" w:right="4860"/>
        <w:spacing w:after="0" w:line="236" w:lineRule="auto"/>
        <w:rPr>
          <w:sz w:val="20"/>
          <w:szCs w:val="20"/>
          <w:color w:val="auto"/>
        </w:rPr>
      </w:pPr>
      <w:r>
        <w:rPr>
          <w:rFonts w:ascii="Times New Roman" w:cs="Times New Roman" w:eastAsia="Times New Roman" w:hAnsi="Times New Roman"/>
          <w:sz w:val="17"/>
          <w:szCs w:val="17"/>
          <w:color w:val="auto"/>
        </w:rPr>
        <w:t>French law does not contain specific provisions setting forth the standard of conduct of a director. However, directors have a duty</w:t>
      </w:r>
    </w:p>
    <w:p>
      <w:pPr>
        <w:ind w:left="1680"/>
        <w:spacing w:after="0" w:line="182" w:lineRule="auto"/>
        <w:rPr>
          <w:sz w:val="20"/>
          <w:szCs w:val="20"/>
          <w:color w:val="auto"/>
        </w:rPr>
      </w:pPr>
      <w:r>
        <w:rPr>
          <w:rFonts w:ascii="Times New Roman" w:cs="Times New Roman" w:eastAsia="Times New Roman" w:hAnsi="Times New Roman"/>
          <w:sz w:val="17"/>
          <w:szCs w:val="17"/>
          <w:color w:val="auto"/>
        </w:rPr>
        <w:t>to act without self-interest, on a well-informed basis, and not to</w:t>
      </w:r>
    </w:p>
    <w:p>
      <w:pPr>
        <w:ind w:left="1680"/>
        <w:spacing w:after="0"/>
        <w:rPr>
          <w:sz w:val="20"/>
          <w:szCs w:val="20"/>
          <w:color w:val="auto"/>
        </w:rPr>
      </w:pPr>
      <w:r>
        <w:rPr>
          <w:rFonts w:ascii="Times New Roman" w:cs="Times New Roman" w:eastAsia="Times New Roman" w:hAnsi="Times New Roman"/>
          <w:sz w:val="17"/>
          <w:szCs w:val="17"/>
          <w:color w:val="auto"/>
        </w:rPr>
        <w:t>take any decision against a corporation’s corporate interest (</w:t>
      </w:r>
      <w:r>
        <w:rPr>
          <w:rFonts w:ascii="Times New Roman" w:cs="Times New Roman" w:eastAsia="Times New Roman" w:hAnsi="Times New Roman"/>
          <w:sz w:val="17"/>
          <w:szCs w:val="17"/>
          <w:i w:val="1"/>
          <w:iCs w:val="1"/>
          <w:color w:val="auto"/>
        </w:rPr>
        <w:t>intérêt</w:t>
      </w:r>
      <w:r>
        <w:rPr>
          <w:rFonts w:ascii="Times New Roman" w:cs="Times New Roman" w:eastAsia="Times New Roman" w:hAnsi="Times New Roman"/>
          <w:sz w:val="17"/>
          <w:szCs w:val="17"/>
          <w:color w:val="auto"/>
        </w:rPr>
        <w:t xml:space="preserve"> stockholders.</w:t>
      </w:r>
    </w:p>
    <w:p>
      <w:pPr>
        <w:spacing w:after="0" w:line="7" w:lineRule="exact"/>
        <w:rPr>
          <w:rFonts w:ascii="Times New Roman" w:cs="Times New Roman" w:eastAsia="Times New Roman" w:hAnsi="Times New Roman"/>
          <w:sz w:val="17"/>
          <w:szCs w:val="17"/>
          <w:color w:val="auto"/>
        </w:rPr>
      </w:pPr>
    </w:p>
    <w:p>
      <w:pPr>
        <w:ind w:left="1680"/>
        <w:spacing w:after="0"/>
        <w:rPr>
          <w:sz w:val="20"/>
          <w:szCs w:val="20"/>
          <w:color w:val="auto"/>
        </w:rPr>
      </w:pP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w:t>
      </w:r>
    </w:p>
    <w:p>
      <w:pPr>
        <w:sectPr>
          <w:pgSz w:w="11900" w:h="16838" w:orient="portrait"/>
          <w:cols w:equalWidth="0" w:num="1">
            <w:col w:w="11200"/>
          </w:cols>
          <w:pgMar w:left="340" w:top="1440" w:right="359" w:bottom="1440" w:gutter="0" w:footer="0" w:header="0"/>
        </w:sectPr>
      </w:pPr>
    </w:p>
    <w:p>
      <w:pPr>
        <w:spacing w:after="0" w:line="300"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Shareholder Suits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53" w:lineRule="exact"/>
        <w:rPr>
          <w:rFonts w:ascii="Times New Roman" w:cs="Times New Roman" w:eastAsia="Times New Roman" w:hAnsi="Times New Roman"/>
          <w:sz w:val="17"/>
          <w:szCs w:val="17"/>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French law provides that a shareholder, or a group of shareholders, may initiate a legal action to seek indemnification</w:t>
      </w:r>
    </w:p>
    <w:p>
      <w:pPr>
        <w:spacing w:after="0" w:line="2" w:lineRule="exact"/>
        <w:rPr>
          <w:rFonts w:ascii="Times New Roman" w:cs="Times New Roman" w:eastAsia="Times New Roman" w:hAnsi="Times New Roman"/>
          <w:sz w:val="17"/>
          <w:szCs w:val="17"/>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from the directors of a corporation in the corporation’s interest if it fails to bring such legal action itself. If so, any damages awarded by the court are paid to the corporation and any legal fees</w:t>
      </w:r>
    </w:p>
    <w:p>
      <w:pPr>
        <w:spacing w:after="0" w:line="2" w:lineRule="exact"/>
        <w:rPr>
          <w:rFonts w:ascii="Times New Roman" w:cs="Times New Roman" w:eastAsia="Times New Roman" w:hAnsi="Times New Roman"/>
          <w:sz w:val="17"/>
          <w:szCs w:val="17"/>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relating to such action are borne by the relevant shareholder or the group of shareholders.</w:t>
      </w:r>
    </w:p>
    <w:p>
      <w:pPr>
        <w:spacing w:after="0" w:line="49" w:lineRule="exact"/>
        <w:rPr>
          <w:rFonts w:ascii="Times New Roman" w:cs="Times New Roman" w:eastAsia="Times New Roman" w:hAnsi="Times New Roman"/>
          <w:sz w:val="17"/>
          <w:szCs w:val="17"/>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The plaintiff must remain a shareholder through the duration of the legal action.</w:t>
      </w:r>
    </w:p>
    <w:p>
      <w:pPr>
        <w:spacing w:after="0" w:line="2" w:lineRule="exact"/>
        <w:rPr>
          <w:rFonts w:ascii="Times New Roman" w:cs="Times New Roman" w:eastAsia="Times New Roman" w:hAnsi="Times New Roman"/>
          <w:sz w:val="17"/>
          <w:szCs w:val="17"/>
          <w:color w:val="auto"/>
        </w:rPr>
      </w:pPr>
    </w:p>
    <w:p>
      <w:pPr>
        <w:ind w:right="760"/>
        <w:spacing w:after="0" w:line="226" w:lineRule="auto"/>
        <w:rPr>
          <w:sz w:val="20"/>
          <w:szCs w:val="20"/>
          <w:color w:val="auto"/>
        </w:rPr>
      </w:pPr>
      <w:r>
        <w:rPr>
          <w:rFonts w:ascii="Times New Roman" w:cs="Times New Roman" w:eastAsia="Times New Roman" w:hAnsi="Times New Roman"/>
          <w:sz w:val="18"/>
          <w:szCs w:val="18"/>
          <w:color w:val="auto"/>
        </w:rPr>
        <w:t>There is no other case where shareholders may initiate a derivative action to enforce a right of a corporation.</w:t>
      </w:r>
    </w:p>
    <w:p>
      <w:pPr>
        <w:spacing w:after="0" w:line="63" w:lineRule="exact"/>
        <w:rPr>
          <w:rFonts w:ascii="Times New Roman" w:cs="Times New Roman" w:eastAsia="Times New Roman" w:hAnsi="Times New Roman"/>
          <w:sz w:val="17"/>
          <w:szCs w:val="17"/>
          <w:color w:val="auto"/>
        </w:rPr>
      </w:pPr>
    </w:p>
    <w:p>
      <w:pPr>
        <w:ind w:right="40"/>
        <w:spacing w:after="0" w:line="229" w:lineRule="auto"/>
        <w:rPr>
          <w:sz w:val="20"/>
          <w:szCs w:val="20"/>
          <w:color w:val="auto"/>
        </w:rPr>
      </w:pPr>
      <w:r>
        <w:rPr>
          <w:rFonts w:ascii="Times New Roman" w:cs="Times New Roman" w:eastAsia="Times New Roman" w:hAnsi="Times New Roman"/>
          <w:sz w:val="17"/>
          <w:szCs w:val="17"/>
          <w:color w:val="auto"/>
        </w:rPr>
        <w:t>A shareholder may alternatively or cumulatively bring individual legal action against the directors, provided he has suffered distinct damages from those suffered by the corporation. In this case, any</w:t>
      </w:r>
    </w:p>
    <w:p>
      <w:pPr>
        <w:ind w:right="920"/>
        <w:spacing w:after="0" w:line="226" w:lineRule="auto"/>
        <w:rPr>
          <w:sz w:val="20"/>
          <w:szCs w:val="20"/>
          <w:color w:val="auto"/>
        </w:rPr>
      </w:pPr>
      <w:r>
        <w:rPr>
          <w:rFonts w:ascii="Times New Roman" w:cs="Times New Roman" w:eastAsia="Times New Roman" w:hAnsi="Times New Roman"/>
          <w:sz w:val="18"/>
          <w:szCs w:val="18"/>
          <w:color w:val="auto"/>
        </w:rPr>
        <w:t>damages awarded by the court are paid to the relevant shareholder.</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53" w:lineRule="exact"/>
        <w:rPr>
          <w:rFonts w:ascii="Times New Roman" w:cs="Times New Roman" w:eastAsia="Times New Roman" w:hAnsi="Times New Roman"/>
          <w:sz w:val="17"/>
          <w:szCs w:val="17"/>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Under Delaware law, a stockholder may initiate a derivative action to enforce a right of a corporation if the corporation fails</w:t>
      </w:r>
    </w:p>
    <w:p>
      <w:pPr>
        <w:spacing w:after="0"/>
        <w:rPr>
          <w:sz w:val="20"/>
          <w:szCs w:val="20"/>
          <w:color w:val="auto"/>
        </w:rPr>
      </w:pPr>
      <w:r>
        <w:rPr>
          <w:rFonts w:ascii="Times New Roman" w:cs="Times New Roman" w:eastAsia="Times New Roman" w:hAnsi="Times New Roman"/>
          <w:sz w:val="18"/>
          <w:szCs w:val="18"/>
          <w:color w:val="auto"/>
        </w:rPr>
        <w:t>to enforce the right itself. The complaint must:</w:t>
      </w:r>
    </w:p>
    <w:p>
      <w:pPr>
        <w:spacing w:after="0" w:line="57" w:lineRule="exact"/>
        <w:rPr>
          <w:rFonts w:ascii="Times New Roman" w:cs="Times New Roman" w:eastAsia="Times New Roman" w:hAnsi="Times New Roman"/>
          <w:sz w:val="17"/>
          <w:szCs w:val="17"/>
          <w:color w:val="auto"/>
        </w:rPr>
      </w:pPr>
    </w:p>
    <w:p>
      <w:pPr>
        <w:ind w:left="860" w:right="40" w:hanging="327"/>
        <w:spacing w:after="0" w:line="224" w:lineRule="auto"/>
        <w:tabs>
          <w:tab w:leader="none" w:pos="77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50" w:lineRule="exact"/>
        <w:rPr>
          <w:rFonts w:ascii="Times New Roman" w:cs="Times New Roman" w:eastAsia="Times New Roman" w:hAnsi="Times New Roman"/>
          <w:sz w:val="18"/>
          <w:szCs w:val="18"/>
          <w:color w:val="auto"/>
        </w:rPr>
      </w:pPr>
    </w:p>
    <w:p>
      <w:pPr>
        <w:ind w:left="860" w:right="100" w:hanging="327"/>
        <w:spacing w:after="0" w:line="224" w:lineRule="auto"/>
        <w:tabs>
          <w:tab w:leader="none" w:pos="77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64" w:lineRule="exact"/>
        <w:rPr>
          <w:rFonts w:ascii="Times New Roman" w:cs="Times New Roman" w:eastAsia="Times New Roman" w:hAnsi="Times New Roman"/>
          <w:sz w:val="18"/>
          <w:szCs w:val="18"/>
          <w:color w:val="auto"/>
        </w:rPr>
      </w:pPr>
    </w:p>
    <w:p>
      <w:pPr>
        <w:ind w:left="780" w:hanging="247"/>
        <w:spacing w:after="0"/>
        <w:tabs>
          <w:tab w:leader="none" w:pos="7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reasons for not making the effort.</w:t>
      </w:r>
    </w:p>
    <w:p>
      <w:pPr>
        <w:spacing w:after="0" w:line="76" w:lineRule="exact"/>
        <w:rPr>
          <w:rFonts w:ascii="Times New Roman" w:cs="Times New Roman" w:eastAsia="Times New Roman" w:hAnsi="Times New Roman"/>
          <w:sz w:val="18"/>
          <w:szCs w:val="18"/>
          <w:color w:val="auto"/>
        </w:rPr>
      </w:pPr>
    </w:p>
    <w:p>
      <w:pPr>
        <w:ind w:left="860" w:hanging="327"/>
        <w:spacing w:after="0" w:line="237" w:lineRule="auto"/>
        <w:tabs>
          <w:tab w:leader="none" w:pos="76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plaintiff must remain a stockholder through the duration of the derivative suit. The action will not be dismissed or compromised without the approval of the Delaware Court of Chancery.</w:t>
      </w:r>
    </w:p>
    <w:p>
      <w:pPr>
        <w:spacing w:after="0" w:line="200" w:lineRule="exact"/>
        <w:rPr>
          <w:rFonts w:ascii="Times New Roman" w:cs="Times New Roman" w:eastAsia="Times New Roman" w:hAnsi="Times New Roman"/>
          <w:sz w:val="17"/>
          <w:szCs w:val="17"/>
          <w:color w:val="auto"/>
        </w:rPr>
      </w:pPr>
    </w:p>
    <w:p>
      <w:pPr>
        <w:sectPr>
          <w:pgSz w:w="11900" w:h="16838" w:orient="portrait"/>
          <w:cols w:equalWidth="0" w:num="3">
            <w:col w:w="1280" w:space="400"/>
            <w:col w:w="4800" w:space="40"/>
            <w:col w:w="4680"/>
          </w:cols>
          <w:pgMar w:left="340" w:top="1440" w:right="359" w:bottom="1440" w:gutter="0" w:footer="0" w:header="0"/>
          <w:type w:val="continuous"/>
        </w:sect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40" w:top="1440" w:right="359" w:bottom="1440" w:gutter="0" w:footer="0" w:header="0"/>
          <w:type w:val="continuous"/>
        </w:sectPr>
      </w:pPr>
    </w:p>
    <w:bookmarkStart w:id="246" w:name="page247"/>
    <w:bookmarkEnd w:id="246"/>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Amendment of</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Certificate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ind w:right="160"/>
        <w:spacing w:after="0" w:line="222" w:lineRule="auto"/>
        <w:rPr>
          <w:sz w:val="20"/>
          <w:szCs w:val="20"/>
          <w:color w:val="auto"/>
        </w:rPr>
      </w:pPr>
      <w:r>
        <w:rPr>
          <w:rFonts w:ascii="Times New Roman" w:cs="Times New Roman" w:eastAsia="Times New Roman" w:hAnsi="Times New Roman"/>
          <w:sz w:val="18"/>
          <w:szCs w:val="18"/>
          <w:color w:val="auto"/>
        </w:rPr>
        <w:t>Unlike companies incorporated under Delaware law, the organizational documents, which comprise both a certificate of</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incorporation and by-laws, companies incorporated under French law only have by-laws (</w:t>
      </w:r>
      <w:r>
        <w:rPr>
          <w:rFonts w:ascii="Times New Roman" w:cs="Times New Roman" w:eastAsia="Times New Roman" w:hAnsi="Times New Roman"/>
          <w:sz w:val="17"/>
          <w:szCs w:val="17"/>
          <w:i w:val="1"/>
          <w:iCs w:val="1"/>
          <w:color w:val="auto"/>
        </w:rPr>
        <w:t>statuts</w:t>
      </w:r>
      <w:r>
        <w:rPr>
          <w:rFonts w:ascii="Times New Roman" w:cs="Times New Roman" w:eastAsia="Times New Roman" w:hAnsi="Times New Roman"/>
          <w:sz w:val="17"/>
          <w:szCs w:val="17"/>
          <w:color w:val="auto"/>
        </w:rPr>
        <w:t>) as organizational documents.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in the paragraph below, only the extraordinary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shareholders’ meeting is authorized under French law to adopt or amend the by-laws.</w:t>
      </w:r>
    </w:p>
    <w:p>
      <w:pPr>
        <w:spacing w:after="0" w:line="20" w:lineRule="exact"/>
        <w:rPr>
          <w:sz w:val="20"/>
          <w:szCs w:val="20"/>
          <w:color w:val="auto"/>
        </w:rPr>
      </w:pPr>
      <w:r>
        <w:rPr>
          <w:sz w:val="20"/>
          <w:szCs w:val="20"/>
          <w:color w:val="auto"/>
        </w:rPr>
        <w:br w:type="column"/>
      </w:r>
    </w:p>
    <w:p>
      <w:pPr>
        <w:ind w:right="360"/>
        <w:spacing w:after="0" w:line="237" w:lineRule="auto"/>
        <w:rPr>
          <w:sz w:val="20"/>
          <w:szCs w:val="20"/>
          <w:color w:val="auto"/>
        </w:rPr>
      </w:pPr>
      <w:r>
        <w:rPr>
          <w:rFonts w:ascii="Times New Roman" w:cs="Times New Roman" w:eastAsia="Times New Roman" w:hAnsi="Times New Roman"/>
          <w:sz w:val="18"/>
          <w:szCs w:val="18"/>
          <w:color w:val="auto"/>
        </w:rPr>
        <w:t>Under Delaware law, generally a corporation may amend its certificate of incorporation if:</w:t>
      </w:r>
    </w:p>
    <w:p>
      <w:pPr>
        <w:spacing w:after="0" w:line="64" w:lineRule="exact"/>
        <w:rPr>
          <w:sz w:val="20"/>
          <w:szCs w:val="20"/>
          <w:color w:val="auto"/>
        </w:rPr>
      </w:pPr>
    </w:p>
    <w:p>
      <w:pPr>
        <w:ind w:left="860" w:right="100" w:hanging="327"/>
        <w:spacing w:after="0" w:line="226" w:lineRule="auto"/>
        <w:tabs>
          <w:tab w:leader="none" w:pos="77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board of directors has adopted a resolution setting forth the amendment proposed and declared its advisability; and</w:t>
      </w:r>
    </w:p>
    <w:p>
      <w:pPr>
        <w:spacing w:after="0" w:line="63" w:lineRule="exact"/>
        <w:rPr>
          <w:rFonts w:ascii="Times New Roman" w:cs="Times New Roman" w:eastAsia="Times New Roman" w:hAnsi="Times New Roman"/>
          <w:sz w:val="18"/>
          <w:szCs w:val="18"/>
          <w:color w:val="auto"/>
        </w:rPr>
      </w:pPr>
    </w:p>
    <w:p>
      <w:pPr>
        <w:ind w:left="860" w:hanging="327"/>
        <w:spacing w:after="0" w:line="215" w:lineRule="auto"/>
        <w:tabs>
          <w:tab w:leader="none" w:pos="77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200" w:lineRule="exact"/>
        <w:rPr>
          <w:sz w:val="20"/>
          <w:szCs w:val="20"/>
          <w:color w:val="auto"/>
        </w:rPr>
      </w:pPr>
    </w:p>
    <w:p>
      <w:pPr>
        <w:sectPr>
          <w:pgSz w:w="11900" w:h="16838" w:orient="portrait"/>
          <w:cols w:equalWidth="0" w:num="3">
            <w:col w:w="1120" w:space="580"/>
            <w:col w:w="4700" w:space="140"/>
            <w:col w:w="4680"/>
          </w:cols>
          <w:pgMar w:left="320" w:top="1440" w:right="359" w:bottom="1440" w:gutter="0" w:footer="0" w:header="0"/>
        </w:sectPr>
      </w:pPr>
    </w:p>
    <w:p>
      <w:pPr>
        <w:spacing w:after="0" w:line="112" w:lineRule="exact"/>
        <w:rPr>
          <w:sz w:val="20"/>
          <w:szCs w:val="20"/>
          <w:color w:val="auto"/>
        </w:rPr>
      </w:pPr>
    </w:p>
    <w:p>
      <w:pPr>
        <w:ind w:left="20"/>
        <w:spacing w:after="0" w:line="313" w:lineRule="auto"/>
        <w:rPr>
          <w:sz w:val="20"/>
          <w:szCs w:val="20"/>
          <w:color w:val="auto"/>
        </w:rPr>
      </w:pPr>
      <w:r>
        <w:rPr>
          <w:rFonts w:ascii="Times New Roman" w:cs="Times New Roman" w:eastAsia="Times New Roman" w:hAnsi="Times New Roman"/>
          <w:sz w:val="18"/>
          <w:szCs w:val="18"/>
          <w:color w:val="auto"/>
        </w:rPr>
        <w:t>Amendment of by-laws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Under French law, only the extraordinary shareholders’ meeting is Under Delaware law, the stockholders entitled to vote have the authorized to adopt or amend the by-laws (two-thirds majority). power to adopt, amend or repeal by-laws. A corporation may The extraordinary shareholders’ meeting may authorize the board also confer, in its certificate of incorporation, that power upon of directors to amend the by-laws to comply with legal provisions, the board of directors. subject to the ratification of such amendments by the next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shareholders’ meeting. The board of directors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amend the by-laws as a result of a decision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relocate the company’s registered office in France, subject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by the next ordinary shareholders’ meeting.</w:t>
      </w: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89" w:lineRule="exact"/>
        <w:rPr>
          <w:sz w:val="20"/>
          <w:szCs w:val="20"/>
          <w:color w:val="auto"/>
        </w:rPr>
      </w:pPr>
    </w:p>
    <w:p>
      <w:pPr>
        <w:sectPr>
          <w:pgSz w:w="11900" w:h="16838" w:orient="portrait"/>
          <w:cols w:equalWidth="0" w:num="2">
            <w:col w:w="1400" w:space="300"/>
            <w:col w:w="9520"/>
          </w:cols>
          <w:pgMar w:left="320" w:top="1440" w:right="359" w:bottom="1440" w:gutter="0" w:footer="0" w:header="0"/>
          <w:type w:val="continuous"/>
        </w:sectPr>
      </w:pPr>
    </w:p>
    <w:p>
      <w:pPr>
        <w:ind w:right="220" w:firstLine="441"/>
        <w:spacing w:after="0" w:line="236" w:lineRule="auto"/>
        <w:rPr>
          <w:sz w:val="20"/>
          <w:szCs w:val="20"/>
          <w:color w:val="auto"/>
        </w:rPr>
      </w:pPr>
      <w:r>
        <w:rPr>
          <w:rFonts w:ascii="Times New Roman" w:cs="Times New Roman" w:eastAsia="Times New Roman" w:hAnsi="Times New Roman"/>
          <w:sz w:val="17"/>
          <w:szCs w:val="17"/>
          <w:color w:val="auto"/>
        </w:rPr>
        <w:t>Citibank, N.A. (“Citibank”) is the depositary for the ADSs representing our ordinary shares pursuant to a deposit agreement. Citibank’s depositary offices are located at 388 Greenwich Street, New York, New York 10013. ADSs represent ownership interests in securities that are on deposit with the</w:t>
      </w: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depositary bank. ADSs may be represented by certificates that are commonly known as “American Depositary Receipts” or “ADRs.” The depositary bank typically appoints a custodian to safekeep the securities on deposit. In this case, the custodian is Citibank Europe plc located at 1 North Wall Quay, Dublin 1, Ireland.</w:t>
      </w:r>
    </w:p>
    <w:p>
      <w:pPr>
        <w:spacing w:after="0" w:line="172" w:lineRule="exact"/>
        <w:rPr>
          <w:sz w:val="20"/>
          <w:szCs w:val="20"/>
          <w:color w:val="auto"/>
        </w:rPr>
      </w:pPr>
    </w:p>
    <w:p>
      <w:pPr>
        <w:ind w:right="60" w:firstLine="441"/>
        <w:spacing w:after="0" w:line="216" w:lineRule="auto"/>
        <w:rPr>
          <w:sz w:val="20"/>
          <w:szCs w:val="20"/>
          <w:color w:val="auto"/>
        </w:rPr>
      </w:pPr>
      <w:r>
        <w:rPr>
          <w:rFonts w:ascii="Times New Roman" w:cs="Times New Roman" w:eastAsia="Times New Roman" w:hAnsi="Times New Roman"/>
          <w:sz w:val="18"/>
          <w:szCs w:val="18"/>
          <w:color w:val="auto"/>
        </w:rPr>
        <w:t>The form of the deposit agreement is on file with the SEC under cover of a registration statement on Form F-6. You may obtain a copy of the deposit agreement from the SEC’s website (www.sec.gov). Please refer to registration number 333-274845 when retrieving such copy. The portions of this summary description that are italicized describe matters that may be relevant to the ownership of ADSs but that may not be contained in the deposit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65" w:lineRule="exact"/>
        <w:rPr>
          <w:sz w:val="20"/>
          <w:szCs w:val="20"/>
          <w:color w:val="auto"/>
        </w:rPr>
      </w:pPr>
    </w:p>
    <w:p>
      <w:pPr>
        <w:ind w:right="60" w:firstLine="441"/>
        <w:spacing w:after="0" w:line="236" w:lineRule="auto"/>
        <w:rPr>
          <w:sz w:val="20"/>
          <w:szCs w:val="20"/>
          <w:color w:val="auto"/>
        </w:rPr>
      </w:pPr>
      <w:r>
        <w:rPr>
          <w:rFonts w:ascii="Times New Roman" w:cs="Times New Roman" w:eastAsia="Times New Roman" w:hAnsi="Times New Roman"/>
          <w:sz w:val="17"/>
          <w:szCs w:val="17"/>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w:t>
      </w:r>
    </w:p>
    <w:p>
      <w:pPr>
        <w:spacing w:after="0" w:line="218" w:lineRule="auto"/>
        <w:rPr>
          <w:sz w:val="20"/>
          <w:szCs w:val="20"/>
          <w:color w:val="auto"/>
        </w:rPr>
      </w:pPr>
      <w:r>
        <w:rPr>
          <w:rFonts w:ascii="Times New Roman" w:cs="Times New Roman" w:eastAsia="Times New Roman" w:hAnsi="Times New Roman"/>
          <w:sz w:val="18"/>
          <w:szCs w:val="18"/>
          <w:color w:val="auto"/>
        </w:rPr>
        <w:t>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72" w:lineRule="exact"/>
        <w:rPr>
          <w:sz w:val="20"/>
          <w:szCs w:val="20"/>
          <w:color w:val="auto"/>
        </w:rPr>
      </w:pPr>
    </w:p>
    <w:p>
      <w:pPr>
        <w:ind w:right="20" w:firstLine="441"/>
        <w:spacing w:after="0" w:line="226"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type w:val="continuous"/>
        </w:sectPr>
      </w:pPr>
    </w:p>
    <w:bookmarkStart w:id="247" w:name="page248"/>
    <w:bookmarkEnd w:id="247"/>
    <w:p>
      <w:pPr>
        <w:spacing w:after="0" w:line="180"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7"/>
          <w:szCs w:val="17"/>
          <w:color w:val="auto"/>
        </w:rPr>
        <w:t>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w:t>
      </w:r>
    </w:p>
    <w:p>
      <w:pPr>
        <w:ind w:right="60"/>
        <w:spacing w:after="0" w:line="208" w:lineRule="auto"/>
        <w:rPr>
          <w:sz w:val="20"/>
          <w:szCs w:val="20"/>
          <w:color w:val="auto"/>
        </w:rPr>
      </w:pPr>
      <w:r>
        <w:rPr>
          <w:rFonts w:ascii="Times New Roman" w:cs="Times New Roman" w:eastAsia="Times New Roman" w:hAnsi="Times New Roman"/>
          <w:sz w:val="18"/>
          <w:szCs w:val="18"/>
          <w:color w:val="auto"/>
        </w:rPr>
        <w:t>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and the depositary bank (on behalf of the owners of the corresponding ADSs) directly, or indirectly, through the custodian or their respective nominees, in each case upon the terms of the deposit agreement.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France, which may be different from the laws in the United States.</w:t>
      </w:r>
    </w:p>
    <w:p>
      <w:pPr>
        <w:spacing w:after="0" w:line="165" w:lineRule="exact"/>
        <w:rPr>
          <w:sz w:val="20"/>
          <w:szCs w:val="20"/>
          <w:color w:val="auto"/>
        </w:rPr>
      </w:pPr>
    </w:p>
    <w:p>
      <w:pPr>
        <w:ind w:right="180" w:firstLine="441"/>
        <w:spacing w:after="0" w:line="236" w:lineRule="auto"/>
        <w:rPr>
          <w:sz w:val="20"/>
          <w:szCs w:val="20"/>
          <w:color w:val="auto"/>
        </w:rPr>
      </w:pPr>
      <w:r>
        <w:rPr>
          <w:rFonts w:ascii="Times New Roman" w:cs="Times New Roman" w:eastAsia="Times New Roman" w:hAnsi="Times New Roman"/>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w:t>
      </w:r>
    </w:p>
    <w:p>
      <w:pPr>
        <w:ind w:right="220"/>
        <w:spacing w:after="0" w:line="226" w:lineRule="auto"/>
        <w:rPr>
          <w:sz w:val="20"/>
          <w:szCs w:val="20"/>
          <w:color w:val="auto"/>
        </w:rPr>
      </w:pPr>
      <w:r>
        <w:rPr>
          <w:rFonts w:ascii="Times New Roman" w:cs="Times New Roman" w:eastAsia="Times New Roman" w:hAnsi="Times New Roman"/>
          <w:sz w:val="18"/>
          <w:szCs w:val="18"/>
          <w:color w:val="auto"/>
        </w:rPr>
        <w:t>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28" w:lineRule="exact"/>
        <w:rPr>
          <w:sz w:val="20"/>
          <w:szCs w:val="20"/>
          <w:color w:val="auto"/>
        </w:rPr>
      </w:pPr>
    </w:p>
    <w:p>
      <w:pPr>
        <w:ind w:firstLine="441"/>
        <w:spacing w:after="0" w:line="229" w:lineRule="auto"/>
        <w:rPr>
          <w:sz w:val="20"/>
          <w:szCs w:val="20"/>
          <w:color w:val="auto"/>
        </w:rPr>
      </w:pPr>
      <w:r>
        <w:rPr>
          <w:rFonts w:ascii="Times New Roman" w:cs="Times New Roman" w:eastAsia="Times New Roman" w:hAnsi="Times New Roman"/>
          <w:sz w:val="17"/>
          <w:szCs w:val="17"/>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i w:val="1"/>
          <w:iCs w:val="1"/>
          <w:color w:val="auto"/>
        </w:rPr>
        <w:t>To exercise any shareholder rights not contemplated in the deposit agreement you will, as an ADS owner, need to arrange for the cancellation of your ADSs and become a direct shareholder. </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w:t>
      </w:r>
    </w:p>
    <w:p>
      <w:pPr>
        <w:spacing w:after="0" w:line="2"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7"/>
          <w:szCs w:val="17"/>
          <w:color w:val="auto"/>
        </w:rPr>
        <w:t>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2" w:lineRule="exact"/>
        <w:rPr>
          <w:sz w:val="20"/>
          <w:szCs w:val="20"/>
          <w:color w:val="auto"/>
        </w:rPr>
      </w:pPr>
    </w:p>
    <w:p>
      <w:pPr>
        <w:jc w:val="both"/>
        <w:ind w:right="20" w:firstLine="441"/>
        <w:spacing w:after="0" w:line="216"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shall at all times be entitled to exercise the beneficial ownership rights in all deposited property, in each case only on behalf of the holders and beneficial owners of the ADSs representing the deposited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a holder of ADSs, you generally have the right to receive the distributions we make on the securities deposited with the custodian. Your receipt of</w:t>
      </w:r>
    </w:p>
    <w:p>
      <w:pPr>
        <w:spacing w:after="0" w:line="14"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81" w:lineRule="exact"/>
        <w:rPr>
          <w:sz w:val="20"/>
          <w:szCs w:val="20"/>
          <w:color w:val="auto"/>
        </w:rPr>
      </w:pPr>
    </w:p>
    <w:p>
      <w:pPr>
        <w:ind w:right="80" w:firstLine="441"/>
        <w:spacing w:after="0" w:line="222"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U.S. dollars and for the distribution of the U.S. dollars to the holders, subject to the laws and regulations of France.</w:t>
      </w:r>
    </w:p>
    <w:p>
      <w:pPr>
        <w:spacing w:after="0" w:line="165" w:lineRule="exact"/>
        <w:rPr>
          <w:sz w:val="20"/>
          <w:szCs w:val="20"/>
          <w:color w:val="auto"/>
        </w:rPr>
      </w:pPr>
    </w:p>
    <w:p>
      <w:pPr>
        <w:ind w:right="160" w:firstLine="441"/>
        <w:spacing w:after="0" w:line="222"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on deposit.</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w:t>
      </w:r>
    </w:p>
    <w:p>
      <w:pPr>
        <w:spacing w:after="0" w:line="2"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Shares</w:t>
      </w:r>
    </w:p>
    <w:p>
      <w:pPr>
        <w:spacing w:after="0" w:line="81" w:lineRule="exact"/>
        <w:rPr>
          <w:sz w:val="20"/>
          <w:szCs w:val="20"/>
          <w:color w:val="auto"/>
        </w:rPr>
      </w:pPr>
    </w:p>
    <w:p>
      <w:pPr>
        <w:ind w:right="220" w:firstLine="441"/>
        <w:spacing w:after="0" w:line="222" w:lineRule="auto"/>
        <w:rPr>
          <w:sz w:val="20"/>
          <w:szCs w:val="20"/>
          <w:color w:val="auto"/>
        </w:rPr>
      </w:pPr>
      <w:r>
        <w:rPr>
          <w:rFonts w:ascii="Times New Roman" w:cs="Times New Roman" w:eastAsia="Times New Roman" w:hAnsi="Times New Roman"/>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representing the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2" w:lineRule="exact"/>
        <w:rPr>
          <w:sz w:val="20"/>
          <w:szCs w:val="20"/>
          <w:color w:val="auto"/>
        </w:rPr>
      </w:pPr>
    </w:p>
    <w:p>
      <w:pPr>
        <w:ind w:right="100" w:firstLine="441"/>
        <w:spacing w:after="0" w:line="22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9" w:lineRule="exact"/>
        <w:rPr>
          <w:sz w:val="20"/>
          <w:szCs w:val="20"/>
          <w:color w:val="auto"/>
        </w:rPr>
      </w:pPr>
    </w:p>
    <w:p>
      <w:pPr>
        <w:ind w:right="100" w:firstLine="441"/>
        <w:spacing w:after="0" w:line="22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81" w:lineRule="exact"/>
        <w:rPr>
          <w:sz w:val="20"/>
          <w:szCs w:val="20"/>
          <w:color w:val="auto"/>
        </w:rPr>
      </w:pPr>
    </w:p>
    <w:p>
      <w:pPr>
        <w:ind w:firstLine="441"/>
        <w:spacing w:after="0" w:line="237"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72" w:lineRule="exact"/>
        <w:rPr>
          <w:sz w:val="20"/>
          <w:szCs w:val="20"/>
          <w:color w:val="auto"/>
        </w:rPr>
      </w:pPr>
    </w:p>
    <w:p>
      <w:pPr>
        <w:ind w:right="60" w:firstLine="441"/>
        <w:spacing w:after="0" w:line="225" w:lineRule="auto"/>
        <w:rPr>
          <w:sz w:val="20"/>
          <w:szCs w:val="20"/>
          <w:color w:val="auto"/>
        </w:rPr>
      </w:pPr>
      <w:r>
        <w:rPr>
          <w:rFonts w:ascii="Times New Roman" w:cs="Times New Roman" w:eastAsia="Times New Roman" w:hAnsi="Times New Roman"/>
          <w:sz w:val="17"/>
          <w:szCs w:val="17"/>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facilitate the distribution and exercise by holders of rights to subscribe for new ordinary shares other than in the form of ADSs.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79" w:lineRule="exact"/>
        <w:rPr>
          <w:sz w:val="20"/>
          <w:szCs w:val="20"/>
          <w:color w:val="auto"/>
        </w:rPr>
      </w:pPr>
    </w:p>
    <w:p>
      <w:pPr>
        <w:ind w:left="900" w:hanging="231"/>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249" w:name="page250"/>
    <w:bookmarkEnd w:id="249"/>
    <w:p>
      <w:pPr>
        <w:spacing w:after="0" w:line="72" w:lineRule="exact"/>
        <w:rPr>
          <w:sz w:val="20"/>
          <w:szCs w:val="20"/>
          <w:color w:val="auto"/>
        </w:rPr>
      </w:pPr>
    </w:p>
    <w:p>
      <w:pPr>
        <w:ind w:left="900" w:hanging="231"/>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76"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98" w:lineRule="exact"/>
        <w:rPr>
          <w:sz w:val="20"/>
          <w:szCs w:val="20"/>
          <w:color w:val="auto"/>
        </w:rPr>
      </w:pPr>
    </w:p>
    <w:p>
      <w:pPr>
        <w:ind w:firstLine="441"/>
        <w:spacing w:after="0" w:line="237"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81" w:lineRule="exact"/>
        <w:rPr>
          <w:sz w:val="20"/>
          <w:szCs w:val="20"/>
          <w:color w:val="auto"/>
        </w:rPr>
      </w:pPr>
    </w:p>
    <w:p>
      <w:pPr>
        <w:ind w:right="280" w:firstLine="441"/>
        <w:spacing w:after="0" w:line="222"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bank in determining whether such distribution is lawful and reasonably practicable.</w:t>
      </w:r>
    </w:p>
    <w:p>
      <w:pPr>
        <w:spacing w:after="0" w:line="165" w:lineRule="exact"/>
        <w:rPr>
          <w:sz w:val="20"/>
          <w:szCs w:val="20"/>
          <w:color w:val="auto"/>
        </w:rPr>
      </w:pPr>
    </w:p>
    <w:p>
      <w:pPr>
        <w:ind w:right="40" w:firstLine="441"/>
        <w:spacing w:after="0" w:line="222"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each case as described in the deposit agreement.</w:t>
      </w:r>
    </w:p>
    <w:p>
      <w:pPr>
        <w:spacing w:after="0" w:line="165" w:lineRule="exact"/>
        <w:rPr>
          <w:sz w:val="20"/>
          <w:szCs w:val="20"/>
          <w:color w:val="auto"/>
        </w:rPr>
      </w:pPr>
    </w:p>
    <w:p>
      <w:pPr>
        <w:ind w:right="540" w:firstLine="441"/>
        <w:spacing w:after="0" w:line="237"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81" w:lineRule="exact"/>
        <w:rPr>
          <w:sz w:val="20"/>
          <w:szCs w:val="20"/>
          <w:color w:val="auto"/>
        </w:rPr>
      </w:pPr>
    </w:p>
    <w:p>
      <w:pPr>
        <w:ind w:right="140" w:firstLine="441"/>
        <w:spacing w:after="0" w:line="222"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such distribution to holders is lawful and reasonably practicable.</w:t>
      </w:r>
    </w:p>
    <w:p>
      <w:pPr>
        <w:spacing w:after="0" w:line="165" w:lineRule="exact"/>
        <w:rPr>
          <w:sz w:val="20"/>
          <w:szCs w:val="20"/>
          <w:color w:val="auto"/>
        </w:rPr>
      </w:pPr>
    </w:p>
    <w:p>
      <w:pPr>
        <w:ind w:right="60" w:firstLine="441"/>
        <w:spacing w:after="0" w:line="237"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2" w:lineRule="exact"/>
        <w:rPr>
          <w:sz w:val="20"/>
          <w:szCs w:val="20"/>
          <w:color w:val="auto"/>
        </w:rPr>
      </w:pPr>
    </w:p>
    <w:p>
      <w:pPr>
        <w:ind w:right="120" w:firstLine="441"/>
        <w:spacing w:after="0" w:line="237"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92" w:lineRule="exact"/>
        <w:rPr>
          <w:sz w:val="20"/>
          <w:szCs w:val="20"/>
          <w:color w:val="auto"/>
        </w:rPr>
      </w:pPr>
    </w:p>
    <w:p>
      <w:pPr>
        <w:ind w:left="900" w:hanging="231"/>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76"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76"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198"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81"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49"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 xml:space="preserve">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94" w:lineRule="exact"/>
        <w:rPr>
          <w:sz w:val="20"/>
          <w:szCs w:val="20"/>
          <w:color w:val="auto"/>
        </w:rPr>
      </w:pPr>
    </w:p>
    <w:p>
      <w:pPr>
        <w:jc w:val="both"/>
        <w:ind w:firstLine="441"/>
        <w:spacing w:after="0" w:line="226"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w:t>
      </w:r>
    </w:p>
    <w:p>
      <w:pPr>
        <w:spacing w:after="0" w:line="171" w:lineRule="exact"/>
        <w:rPr>
          <w:sz w:val="20"/>
          <w:szCs w:val="20"/>
          <w:color w:val="auto"/>
        </w:rPr>
      </w:pPr>
    </w:p>
    <w:p>
      <w:pPr>
        <w:ind w:firstLine="441"/>
        <w:spacing w:after="0" w:line="216"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w:t>
      </w:r>
    </w:p>
    <w:p>
      <w:pPr>
        <w:spacing w:after="0" w:line="1"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17"/>
          <w:szCs w:val="17"/>
          <w:color w:val="auto"/>
        </w:rPr>
        <w:t>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202" w:lineRule="exact"/>
        <w:rPr>
          <w:sz w:val="20"/>
          <w:szCs w:val="20"/>
          <w:color w:val="auto"/>
        </w:rPr>
      </w:pPr>
    </w:p>
    <w:p>
      <w:pPr>
        <w:jc w:val="both"/>
        <w:ind w:right="380" w:firstLine="441"/>
        <w:spacing w:after="0" w:line="216" w:lineRule="auto"/>
        <w:rPr>
          <w:sz w:val="20"/>
          <w:szCs w:val="20"/>
          <w:color w:val="auto"/>
        </w:rPr>
      </w:pPr>
      <w:r>
        <w:rPr>
          <w:rFonts w:ascii="Times New Roman" w:cs="Times New Roman" w:eastAsia="Times New Roman" w:hAnsi="Times New Roman"/>
          <w:sz w:val="18"/>
          <w:szCs w:val="18"/>
          <w:color w:val="auto"/>
        </w:rPr>
        <w:t>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at the time of deposit.</w:t>
      </w:r>
    </w:p>
    <w:p>
      <w:pPr>
        <w:spacing w:after="0" w:line="165" w:lineRule="exact"/>
        <w:rPr>
          <w:sz w:val="20"/>
          <w:szCs w:val="20"/>
          <w:color w:val="auto"/>
        </w:rPr>
      </w:pPr>
    </w:p>
    <w:p>
      <w:pPr>
        <w:ind w:right="220" w:firstLine="441"/>
        <w:spacing w:after="0" w:line="237"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72" w:lineRule="exact"/>
        <w:rPr>
          <w:sz w:val="20"/>
          <w:szCs w:val="20"/>
          <w:color w:val="auto"/>
        </w:rPr>
      </w:pPr>
    </w:p>
    <w:p>
      <w:pPr>
        <w:ind w:right="20" w:firstLine="441"/>
        <w:spacing w:after="0" w:line="237"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bank. As such, you will be deemed to represent and warrant that: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are duly authorized to deposit the ordinary shares.</w:t>
      </w:r>
    </w:p>
    <w:p>
      <w:pPr>
        <w:spacing w:after="0" w:line="77" w:lineRule="exact"/>
        <w:rPr>
          <w:sz w:val="20"/>
          <w:szCs w:val="20"/>
          <w:color w:val="auto"/>
        </w:rPr>
      </w:pPr>
    </w:p>
    <w:p>
      <w:pPr>
        <w:ind w:left="440" w:right="220"/>
        <w:spacing w:after="0" w:line="250" w:lineRule="auto"/>
        <w:rPr>
          <w:sz w:val="20"/>
          <w:szCs w:val="20"/>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85" w:lineRule="exact"/>
        <w:rPr>
          <w:sz w:val="20"/>
          <w:szCs w:val="20"/>
          <w:color w:val="auto"/>
        </w:rPr>
      </w:pPr>
    </w:p>
    <w:p>
      <w:pPr>
        <w:ind w:right="500" w:firstLine="441"/>
        <w:spacing w:after="0" w:line="250"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94" w:lineRule="exact"/>
        <w:rPr>
          <w:sz w:val="20"/>
          <w:szCs w:val="20"/>
          <w:color w:val="auto"/>
        </w:rPr>
      </w:pPr>
    </w:p>
    <w:p>
      <w:pPr>
        <w:ind w:right="60" w:firstLine="441"/>
        <w:spacing w:after="0" w:line="237"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50" w:lineRule="exact"/>
        <w:rPr>
          <w:sz w:val="20"/>
          <w:szCs w:val="20"/>
          <w:color w:val="auto"/>
        </w:rPr>
      </w:pPr>
    </w:p>
    <w:p>
      <w:pPr>
        <w:ind w:left="440" w:right="3360"/>
        <w:spacing w:after="0" w:line="333" w:lineRule="auto"/>
        <w:rPr>
          <w:sz w:val="20"/>
          <w:szCs w:val="20"/>
          <w:color w:val="auto"/>
        </w:rPr>
      </w:pPr>
      <w:r>
        <w:rPr>
          <w:rFonts w:ascii="Times New Roman" w:cs="Times New Roman" w:eastAsia="Times New Roman" w:hAnsi="Times New Roman"/>
          <w:sz w:val="18"/>
          <w:szCs w:val="18"/>
          <w:color w:val="auto"/>
        </w:rPr>
        <w:t>ensure that the surrendered ADR is properly endorsed or otherwise in proper form for transfer; provide such proof of identity and genuineness of signatures as the depositary bank deems appropriate; provide any transfer stamps required by the State of New York or the United States; and</w:t>
      </w:r>
    </w:p>
    <w:p>
      <w:pPr>
        <w:spacing w:after="0" w:line="2" w:lineRule="exact"/>
        <w:rPr>
          <w:sz w:val="20"/>
          <w:szCs w:val="20"/>
          <w:color w:val="auto"/>
        </w:rPr>
      </w:pPr>
    </w:p>
    <w:p>
      <w:pPr>
        <w:ind w:left="440" w:right="700"/>
        <w:spacing w:after="0" w:line="237" w:lineRule="auto"/>
        <w:rPr>
          <w:sz w:val="20"/>
          <w:szCs w:val="20"/>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72" w:lineRule="exact"/>
        <w:rPr>
          <w:sz w:val="20"/>
          <w:szCs w:val="20"/>
          <w:color w:val="auto"/>
        </w:rPr>
      </w:pPr>
    </w:p>
    <w:p>
      <w:pPr>
        <w:ind w:right="80" w:firstLine="441"/>
        <w:spacing w:after="0" w:line="22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underlying ordinary shares at the custodian’s offices. Your ability to withdraw the ordinary shares held in respect of the ADSs may be limited by U.S. and French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for delivery of all funds and securities upon withdrawal. Once canceled, the ADSs will not have any rights under the deposit agreement.</w:t>
      </w:r>
    </w:p>
    <w:p>
      <w:pPr>
        <w:spacing w:after="0" w:line="165" w:lineRule="exact"/>
        <w:rPr>
          <w:sz w:val="20"/>
          <w:szCs w:val="20"/>
          <w:color w:val="auto"/>
        </w:rPr>
      </w:pPr>
    </w:p>
    <w:p>
      <w:pPr>
        <w:ind w:right="60" w:firstLine="441"/>
        <w:spacing w:after="0" w:line="222"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90" w:lineRule="exact"/>
        <w:rPr>
          <w:sz w:val="20"/>
          <w:szCs w:val="20"/>
          <w:color w:val="auto"/>
        </w:rPr>
      </w:pPr>
    </w:p>
    <w:p>
      <w:pPr>
        <w:ind w:left="440" w:right="40"/>
        <w:spacing w:after="0" w:line="237" w:lineRule="auto"/>
        <w:rPr>
          <w:sz w:val="20"/>
          <w:szCs w:val="20"/>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Obligations to pay fees, taxes and similar charges.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185" w:lineRule="exact"/>
        <w:rPr>
          <w:sz w:val="20"/>
          <w:szCs w:val="20"/>
          <w:color w:val="auto"/>
        </w:rPr>
      </w:pPr>
    </w:p>
    <w:p>
      <w:pPr>
        <w:ind w:right="620" w:firstLine="441"/>
        <w:spacing w:after="0" w:line="237"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81" w:lineRule="exact"/>
        <w:rPr>
          <w:sz w:val="20"/>
          <w:szCs w:val="20"/>
          <w:color w:val="auto"/>
        </w:rPr>
      </w:pPr>
    </w:p>
    <w:p>
      <w:pPr>
        <w:ind w:right="280" w:firstLine="441"/>
        <w:spacing w:after="0" w:line="222"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the section of this prospectus entitled “Description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57" w:lineRule="exact"/>
        <w:rPr>
          <w:sz w:val="20"/>
          <w:szCs w:val="20"/>
          <w:color w:val="auto"/>
        </w:rPr>
      </w:pPr>
    </w:p>
    <w:p>
      <w:pPr>
        <w:ind w:right="500" w:firstLine="441"/>
        <w:spacing w:after="0" w:line="250"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w:t>
      </w:r>
    </w:p>
    <w:p>
      <w:pPr>
        <w:spacing w:after="0" w:line="149" w:lineRule="exact"/>
        <w:rPr>
          <w:sz w:val="20"/>
          <w:szCs w:val="20"/>
          <w:color w:val="auto"/>
        </w:rPr>
      </w:pPr>
    </w:p>
    <w:p>
      <w:pPr>
        <w:ind w:right="60" w:firstLine="441"/>
        <w:spacing w:after="0" w:line="222"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on deposit. We cannot assure you that you will receive voting materials in time to enable you to return voting instructions to the depositary bank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52" w:name="page253"/>
    <w:bookmarkEnd w:id="252"/>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350" w:lineRule="exact"/>
        <w:rPr>
          <w:sz w:val="20"/>
          <w:szCs w:val="20"/>
          <w:color w:val="auto"/>
        </w:rPr>
      </w:pPr>
    </w:p>
    <w:p>
      <w:pPr>
        <w:ind w:left="20"/>
        <w:spacing w:after="0"/>
        <w:tabs>
          <w:tab w:leader="none" w:pos="8280" w:val="left"/>
        </w:tabs>
        <w:rPr>
          <w:sz w:val="20"/>
          <w:szCs w:val="20"/>
          <w:color w:val="auto"/>
        </w:rPr>
      </w:pPr>
      <w:r>
        <w:rPr>
          <w:rFonts w:ascii="Times New Roman" w:cs="Times New Roman" w:eastAsia="Times New Roman" w:hAnsi="Times New Roman"/>
          <w:sz w:val="12"/>
          <w:szCs w:val="12"/>
          <w:b w:val="1"/>
          <w:bCs w:val="1"/>
          <w:color w:val="auto"/>
        </w:rPr>
        <w:t>Service</w:t>
      </w:r>
      <w:r>
        <w:rPr>
          <w:sz w:val="20"/>
          <w:szCs w:val="20"/>
          <w:color w:val="auto"/>
        </w:rPr>
        <w:tab/>
      </w:r>
      <w:r>
        <w:rPr>
          <w:rFonts w:ascii="Times New Roman" w:cs="Times New Roman" w:eastAsia="Times New Roman" w:hAnsi="Times New Roman"/>
          <w:sz w:val="20"/>
          <w:szCs w:val="20"/>
          <w:b w:val="1"/>
          <w:bCs w:val="1"/>
          <w:color w:val="auto"/>
          <w:vertAlign w:val="subscript"/>
        </w:rPr>
        <w:t>Fees</w:t>
      </w:r>
    </w:p>
    <w:p>
      <w:pPr>
        <w:sectPr>
          <w:pgSz w:w="11900" w:h="16838" w:orient="portrait"/>
          <w:cols w:equalWidth="0" w:num="1">
            <w:col w:w="11180"/>
          </w:cols>
          <w:pgMar w:left="320" w:top="1440" w:right="399" w:bottom="650" w:gutter="0" w:footer="0" w:header="0"/>
        </w:sect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ADSs (e.g., an issuance of ADS upon a deposit of ordinary</w:t>
      </w:r>
    </w:p>
    <w:p>
      <w:pPr>
        <w:spacing w:after="0" w:line="2" w:lineRule="exact"/>
        <w:rPr>
          <w:sz w:val="20"/>
          <w:szCs w:val="20"/>
          <w:color w:val="auto"/>
        </w:rPr>
      </w:pPr>
    </w:p>
    <w:p>
      <w:pPr>
        <w:ind w:left="20"/>
        <w:spacing w:after="0" w:line="218" w:lineRule="auto"/>
        <w:rPr>
          <w:sz w:val="20"/>
          <w:szCs w:val="20"/>
          <w:color w:val="auto"/>
        </w:rPr>
      </w:pPr>
      <w:r>
        <w:rPr>
          <w:rFonts w:ascii="Times New Roman" w:cs="Times New Roman" w:eastAsia="Times New Roman" w:hAnsi="Times New Roman"/>
          <w:sz w:val="18"/>
          <w:szCs w:val="18"/>
          <w:color w:val="auto"/>
        </w:rPr>
        <w:t>shares, upon a change in the ADS(s)-to-ordinary share ratio, or for any other reason), excluding ADS issuances as a result of distributions of ordinary shares)</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 deposited</w:t>
      </w:r>
    </w:p>
    <w:p>
      <w:pPr>
        <w:spacing w:after="0" w:line="2" w:lineRule="exact"/>
        <w:rPr>
          <w:sz w:val="20"/>
          <w:szCs w:val="20"/>
          <w:color w:val="auto"/>
        </w:rPr>
      </w:pPr>
    </w:p>
    <w:p>
      <w:pPr>
        <w:ind w:left="20" w:right="280"/>
        <w:spacing w:after="0" w:line="226" w:lineRule="auto"/>
        <w:rPr>
          <w:sz w:val="20"/>
          <w:szCs w:val="20"/>
          <w:color w:val="auto"/>
        </w:rPr>
      </w:pPr>
      <w:r>
        <w:rPr>
          <w:rFonts w:ascii="Times New Roman" w:cs="Times New Roman" w:eastAsia="Times New Roman" w:hAnsi="Times New Roman"/>
          <w:sz w:val="18"/>
          <w:szCs w:val="18"/>
          <w:color w:val="auto"/>
        </w:rPr>
        <w:t>property, upon a change in the ADS(s)-to-ordinary share ratio, or for any other reason)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 5¢ per ADS cancelled</w:t>
      </w:r>
    </w:p>
    <w:p>
      <w:pPr>
        <w:spacing w:after="0" w:line="657" w:lineRule="exact"/>
        <w:rPr>
          <w:sz w:val="20"/>
          <w:szCs w:val="20"/>
          <w:color w:val="auto"/>
        </w:rPr>
      </w:pPr>
    </w:p>
    <w:p>
      <w:pPr>
        <w:sectPr>
          <w:pgSz w:w="11900" w:h="16838" w:orient="portrait"/>
          <w:cols w:equalWidth="0" w:num="2">
            <w:col w:w="5540" w:space="100"/>
            <w:col w:w="5540"/>
          </w:cols>
          <w:pgMar w:left="320" w:top="1440" w:right="399" w:bottom="650" w:gutter="0" w:footer="0" w:header="0"/>
          <w:type w:val="continuous"/>
        </w:sectPr>
      </w:pPr>
    </w:p>
    <w:p>
      <w:pPr>
        <w:spacing w:after="0" w:line="173" w:lineRule="exact"/>
        <w:rPr>
          <w:sz w:val="20"/>
          <w:szCs w:val="20"/>
          <w:color w:val="auto"/>
        </w:rPr>
      </w:pPr>
    </w:p>
    <w:p>
      <w:pPr>
        <w:ind w:left="20" w:right="3500"/>
        <w:spacing w:after="0" w:line="297" w:lineRule="auto"/>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Up to U.S. 5¢ per ADS held rights and other entitlements)</w:t>
      </w:r>
    </w:p>
    <w:p>
      <w:pPr>
        <w:sectPr>
          <w:pgSz w:w="11900" w:h="16838" w:orient="portrait"/>
          <w:cols w:equalWidth="0" w:num="1">
            <w:col w:w="11180"/>
          </w:cols>
          <w:pgMar w:left="320" w:top="1440" w:right="399" w:bottom="65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20" w:right="320"/>
        <w:spacing w:after="0" w:line="297" w:lineRule="auto"/>
        <w:rPr>
          <w:sz w:val="20"/>
          <w:szCs w:val="20"/>
          <w:color w:val="auto"/>
        </w:rPr>
      </w:pPr>
      <w:r>
        <w:rPr>
          <w:rFonts w:ascii="Times New Roman" w:cs="Times New Roman" w:eastAsia="Times New Roman" w:hAnsi="Times New Roman"/>
          <w:sz w:val="18"/>
          <w:szCs w:val="18"/>
          <w:color w:val="auto"/>
        </w:rPr>
        <w:t>Distribution of ADSs pursuant to (i) share dividends or other free share distributions, or (ii) exercise of rights to purchase additional ADSs</w:t>
      </w:r>
    </w:p>
    <w:p>
      <w:pPr>
        <w:spacing w:after="0" w:line="200" w:lineRule="exact"/>
        <w:rPr>
          <w:sz w:val="20"/>
          <w:szCs w:val="20"/>
          <w:color w:val="auto"/>
        </w:rPr>
      </w:pPr>
    </w:p>
    <w:p>
      <w:pPr>
        <w:spacing w:after="0" w:line="260" w:lineRule="exact"/>
        <w:rPr>
          <w:sz w:val="20"/>
          <w:szCs w:val="20"/>
          <w:color w:val="auto"/>
        </w:rPr>
      </w:pPr>
    </w:p>
    <w:p>
      <w:pPr>
        <w:ind w:left="20" w:right="140"/>
        <w:spacing w:after="0" w:line="297" w:lineRule="auto"/>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 spin-off)</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80"/>
        <w:spacing w:after="0" w:line="226" w:lineRule="auto"/>
        <w:rPr>
          <w:sz w:val="20"/>
          <w:szCs w:val="20"/>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 or for any other reason)</w:t>
      </w:r>
    </w:p>
    <w:p>
      <w:pPr>
        <w:spacing w:after="0" w:line="266" w:lineRule="exact"/>
        <w:rPr>
          <w:sz w:val="20"/>
          <w:szCs w:val="20"/>
          <w:color w:val="auto"/>
        </w:rPr>
      </w:pPr>
    </w:p>
    <w:p>
      <w:pPr>
        <w:ind w:left="20"/>
        <w:spacing w:after="0" w:line="216" w:lineRule="auto"/>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(each as defined in the Deposit Agreement)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 converted</w:t>
      </w:r>
    </w:p>
    <w:p>
      <w:pPr>
        <w:spacing w:after="0" w:line="732" w:lineRule="exact"/>
        <w:rPr>
          <w:sz w:val="20"/>
          <w:szCs w:val="20"/>
          <w:color w:val="auto"/>
        </w:rPr>
      </w:pPr>
    </w:p>
    <w:p>
      <w:pPr>
        <w:sectPr>
          <w:pgSz w:w="11900" w:h="16838" w:orient="portrait"/>
          <w:cols w:equalWidth="0" w:num="2">
            <w:col w:w="5480" w:space="160"/>
            <w:col w:w="5540"/>
          </w:cols>
          <w:pgMar w:left="320" w:top="1440" w:right="399" w:bottom="650" w:gutter="0" w:footer="0" w:header="0"/>
          <w:type w:val="continuous"/>
        </w:sectPr>
      </w:pP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w:t>
      </w:r>
    </w:p>
    <w:p>
      <w:pPr>
        <w:spacing w:after="0" w:line="2" w:lineRule="exact"/>
        <w:rPr>
          <w:sz w:val="20"/>
          <w:szCs w:val="20"/>
          <w:color w:val="auto"/>
        </w:rPr>
      </w:pPr>
    </w:p>
    <w:p>
      <w:pPr>
        <w:ind w:left="440" w:right="860"/>
        <w:spacing w:after="0" w:line="226" w:lineRule="auto"/>
        <w:rPr>
          <w:sz w:val="20"/>
          <w:szCs w:val="20"/>
          <w:color w:val="auto"/>
        </w:rPr>
      </w:pPr>
      <w:r>
        <w:rPr>
          <w:rFonts w:ascii="Times New Roman" w:cs="Times New Roman" w:eastAsia="Times New Roman" w:hAnsi="Times New Roman"/>
          <w:sz w:val="18"/>
          <w:szCs w:val="18"/>
          <w:color w:val="auto"/>
        </w:rPr>
        <w:t>ordinary shares to or from the name of the custodian, the depositary bank or any nominees upon the making of deposits and withdrawals, respectively;</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90" w:lineRule="exact"/>
        <w:rPr>
          <w:sz w:val="20"/>
          <w:szCs w:val="20"/>
          <w:color w:val="auto"/>
        </w:rPr>
      </w:pPr>
    </w:p>
    <w:p>
      <w:pPr>
        <w:ind w:left="440" w:right="180"/>
        <w:spacing w:after="0" w:line="237" w:lineRule="auto"/>
        <w:rPr>
          <w:sz w:val="20"/>
          <w:szCs w:val="20"/>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50" w:lineRule="exact"/>
        <w:rPr>
          <w:sz w:val="20"/>
          <w:szCs w:val="20"/>
          <w:color w:val="auto"/>
        </w:rPr>
      </w:pPr>
    </w:p>
    <w:p>
      <w:pPr>
        <w:ind w:left="440" w:right="660"/>
        <w:spacing w:after="0" w:line="250" w:lineRule="auto"/>
        <w:rPr>
          <w:sz w:val="20"/>
          <w:szCs w:val="20"/>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w:t>
      </w:r>
    </w:p>
    <w:p>
      <w:pPr>
        <w:spacing w:after="0" w:line="185"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w:t>
      </w:r>
    </w:p>
    <w:p>
      <w:pPr>
        <w:sectPr>
          <w:pgSz w:w="11900" w:h="16838" w:orient="portrait"/>
          <w:cols w:equalWidth="0" w:num="1">
            <w:col w:w="11180"/>
          </w:cols>
          <w:pgMar w:left="320" w:top="1440" w:right="399" w:bottom="6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440" w:right="399" w:bottom="650" w:gutter="0" w:footer="0" w:header="0"/>
          <w:type w:val="continuous"/>
        </w:sectPr>
      </w:pPr>
    </w:p>
    <w:bookmarkStart w:id="253" w:name="page254"/>
    <w:bookmarkEnd w:id="253"/>
    <w:p>
      <w:pPr>
        <w:spacing w:after="0" w:line="180" w:lineRule="exact"/>
        <w:rPr>
          <w:sz w:val="20"/>
          <w:szCs w:val="20"/>
          <w:color w:val="auto"/>
        </w:rPr>
      </w:pPr>
    </w:p>
    <w:p>
      <w:pPr>
        <w:jc w:val="both"/>
        <w:ind w:right="140"/>
        <w:spacing w:after="0" w:line="222" w:lineRule="auto"/>
        <w:rPr>
          <w:sz w:val="20"/>
          <w:szCs w:val="20"/>
          <w:color w:val="auto"/>
        </w:rPr>
      </w:pPr>
      <w:r>
        <w:rPr>
          <w:rFonts w:ascii="Times New Roman" w:cs="Times New Roman" w:eastAsia="Times New Roman" w:hAnsi="Times New Roman"/>
          <w:sz w:val="18"/>
          <w:szCs w:val="18"/>
          <w:color w:val="auto"/>
        </w:rPr>
        <w:t>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service until payment is received or may set off the amount of the depositary bank fees from any distribution to be made to the ADS holder.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from time to time.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w:t>
      </w:r>
    </w:p>
    <w:p>
      <w:pPr>
        <w:spacing w:after="0" w:line="2" w:lineRule="exact"/>
        <w:rPr>
          <w:sz w:val="20"/>
          <w:szCs w:val="20"/>
          <w:color w:val="auto"/>
        </w:rPr>
      </w:pPr>
    </w:p>
    <w:p>
      <w:pPr>
        <w:jc w:val="both"/>
        <w:ind w:right="360"/>
        <w:spacing w:after="0" w:line="220" w:lineRule="auto"/>
        <w:rPr>
          <w:sz w:val="20"/>
          <w:szCs w:val="20"/>
          <w:color w:val="auto"/>
        </w:rPr>
      </w:pPr>
      <w:r>
        <w:rPr>
          <w:rFonts w:ascii="Times New Roman" w:cs="Times New Roman" w:eastAsia="Times New Roman" w:hAnsi="Times New Roman"/>
          <w:sz w:val="17"/>
          <w:szCs w:val="17"/>
          <w:color w:val="auto"/>
        </w:rPr>
        <w:t>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addition, we may not be able to provide you with prior notice of any modifications or supplements that are required to accommodate compliance with applicable provisions of law.</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become effective. The deposit agreement cannot be amended to prevent you from withdrawing the ordinary shares represented by your ADSs (except as permitted by law).</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own initiative terminate the deposit agreement. In either case, the depositary bank must give notice to the holders at least 30 days before termination. Until termination, your rights under the deposit agreement will be unaffected.</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depositary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81" w:lineRule="exact"/>
        <w:rPr>
          <w:sz w:val="20"/>
          <w:szCs w:val="20"/>
          <w:color w:val="auto"/>
        </w:rPr>
      </w:pPr>
    </w:p>
    <w:p>
      <w:pPr>
        <w:ind w:right="220" w:firstLine="441"/>
        <w:spacing w:after="0" w:line="279" w:lineRule="auto"/>
        <w:rPr>
          <w:sz w:val="20"/>
          <w:szCs w:val="20"/>
          <w:color w:val="auto"/>
        </w:rPr>
      </w:pPr>
      <w:r>
        <w:rPr>
          <w:rFonts w:ascii="Times New Roman" w:cs="Times New Roman" w:eastAsia="Times New Roman" w:hAnsi="Times New Roman"/>
          <w:sz w:val="17"/>
          <w:szCs w:val="17"/>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6" w:lineRule="exact"/>
        <w:rPr>
          <w:sz w:val="20"/>
          <w:szCs w:val="20"/>
          <w:color w:val="auto"/>
        </w:rPr>
      </w:pPr>
    </w:p>
    <w:p>
      <w:pPr>
        <w:ind w:right="520" w:firstLine="441"/>
        <w:spacing w:after="0" w:line="237"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81" w:lineRule="exact"/>
        <w:rPr>
          <w:sz w:val="20"/>
          <w:szCs w:val="20"/>
          <w:color w:val="auto"/>
        </w:rPr>
      </w:pPr>
    </w:p>
    <w:p>
      <w:pPr>
        <w:ind w:left="900" w:hanging="231"/>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76"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90" w:lineRule="exact"/>
        <w:rPr>
          <w:rFonts w:ascii="Times New Roman" w:cs="Times New Roman" w:eastAsia="Times New Roman" w:hAnsi="Times New Roman"/>
          <w:sz w:val="18"/>
          <w:szCs w:val="18"/>
          <w:color w:val="auto"/>
        </w:rPr>
      </w:pPr>
    </w:p>
    <w:p>
      <w:pPr>
        <w:ind w:left="1000" w:right="340" w:hanging="331"/>
        <w:spacing w:after="0" w:line="237"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50" w:lineRule="exact"/>
        <w:rPr>
          <w:rFonts w:ascii="Times New Roman" w:cs="Times New Roman" w:eastAsia="Times New Roman" w:hAnsi="Times New Roman"/>
          <w:sz w:val="18"/>
          <w:szCs w:val="18"/>
          <w:color w:val="auto"/>
        </w:rPr>
      </w:pPr>
    </w:p>
    <w:p>
      <w:pPr>
        <w:ind w:left="1000" w:hanging="331"/>
        <w:spacing w:after="0" w:line="223"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50" w:lineRule="exact"/>
        <w:rPr>
          <w:rFonts w:ascii="Times New Roman" w:cs="Times New Roman" w:eastAsia="Times New Roman" w:hAnsi="Times New Roman"/>
          <w:sz w:val="18"/>
          <w:szCs w:val="18"/>
          <w:color w:val="auto"/>
        </w:rPr>
      </w:pPr>
    </w:p>
    <w:p>
      <w:pPr>
        <w:ind w:left="900" w:hanging="231"/>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pacing w:after="0" w:line="76" w:lineRule="exact"/>
        <w:rPr>
          <w:rFonts w:ascii="Times New Roman" w:cs="Times New Roman" w:eastAsia="Times New Roman" w:hAnsi="Times New Roman"/>
          <w:sz w:val="18"/>
          <w:szCs w:val="18"/>
          <w:color w:val="auto"/>
        </w:rPr>
      </w:pPr>
    </w:p>
    <w:p>
      <w:pPr>
        <w:ind w:left="1000" w:right="20" w:hanging="331"/>
        <w:spacing w:after="0" w:line="223"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50" w:lineRule="exact"/>
        <w:rPr>
          <w:rFonts w:ascii="Times New Roman" w:cs="Times New Roman" w:eastAsia="Times New Roman" w:hAnsi="Times New Roman"/>
          <w:sz w:val="18"/>
          <w:szCs w:val="18"/>
          <w:color w:val="auto"/>
        </w:rPr>
      </w:pPr>
    </w:p>
    <w:p>
      <w:pPr>
        <w:ind w:left="1000" w:right="80" w:hanging="331"/>
        <w:spacing w:after="0" w:line="237"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by-laws or in any provisions of or governing the securities on deposit.</w:t>
      </w:r>
    </w:p>
    <w:p>
      <w:pPr>
        <w:spacing w:after="0" w:line="63" w:lineRule="exact"/>
        <w:rPr>
          <w:rFonts w:ascii="Times New Roman" w:cs="Times New Roman" w:eastAsia="Times New Roman" w:hAnsi="Times New Roman"/>
          <w:sz w:val="18"/>
          <w:szCs w:val="18"/>
          <w:color w:val="auto"/>
        </w:rPr>
      </w:pPr>
    </w:p>
    <w:p>
      <w:pPr>
        <w:ind w:left="1000" w:right="40" w:hanging="331"/>
        <w:spacing w:after="0" w:line="226"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3" w:lineRule="exact"/>
        <w:rPr>
          <w:rFonts w:ascii="Times New Roman" w:cs="Times New Roman" w:eastAsia="Times New Roman" w:hAnsi="Times New Roman"/>
          <w:sz w:val="18"/>
          <w:szCs w:val="18"/>
          <w:color w:val="auto"/>
        </w:rPr>
      </w:pPr>
    </w:p>
    <w:p>
      <w:pPr>
        <w:ind w:left="1000" w:right="180" w:hanging="331"/>
        <w:spacing w:after="0" w:line="237"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50" w:lineRule="exact"/>
        <w:rPr>
          <w:rFonts w:ascii="Times New Roman" w:cs="Times New Roman" w:eastAsia="Times New Roman" w:hAnsi="Times New Roman"/>
          <w:sz w:val="18"/>
          <w:szCs w:val="18"/>
          <w:color w:val="auto"/>
        </w:rPr>
      </w:pPr>
    </w:p>
    <w:p>
      <w:pPr>
        <w:ind w:left="1000" w:right="280" w:hanging="331"/>
        <w:spacing w:after="0" w:line="250"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41" w:lineRule="exact"/>
        <w:rPr>
          <w:rFonts w:ascii="Times New Roman" w:cs="Times New Roman" w:eastAsia="Times New Roman" w:hAnsi="Times New Roman"/>
          <w:sz w:val="18"/>
          <w:szCs w:val="18"/>
          <w:color w:val="auto"/>
        </w:rPr>
      </w:pPr>
    </w:p>
    <w:p>
      <w:pPr>
        <w:ind w:left="1000" w:right="640" w:hanging="331"/>
        <w:spacing w:after="0" w:line="237" w:lineRule="auto"/>
        <w:tabs>
          <w:tab w:leader="none" w:pos="9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63"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76" w:lineRule="exact"/>
        <w:rPr>
          <w:rFonts w:ascii="Times New Roman" w:cs="Times New Roman" w:eastAsia="Times New Roman" w:hAnsi="Times New Roman"/>
          <w:sz w:val="18"/>
          <w:szCs w:val="18"/>
          <w:color w:val="auto"/>
        </w:rPr>
      </w:pPr>
    </w:p>
    <w:p>
      <w:pPr>
        <w:ind w:left="1000" w:right="220" w:hanging="331"/>
        <w:spacing w:after="0" w:line="237" w:lineRule="auto"/>
        <w:tabs>
          <w:tab w:leader="none" w:pos="9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50" w:lineRule="exact"/>
        <w:rPr>
          <w:rFonts w:ascii="Times New Roman" w:cs="Times New Roman" w:eastAsia="Times New Roman" w:hAnsi="Times New Roman"/>
          <w:sz w:val="18"/>
          <w:szCs w:val="18"/>
          <w:color w:val="auto"/>
        </w:rPr>
      </w:pPr>
    </w:p>
    <w:p>
      <w:pPr>
        <w:ind w:left="1000" w:right="100" w:hanging="331"/>
        <w:spacing w:after="0" w:line="247" w:lineRule="auto"/>
        <w:tabs>
          <w:tab w:leader="none" w:pos="913"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78" w:lineRule="exact"/>
        <w:rPr>
          <w:sz w:val="20"/>
          <w:szCs w:val="20"/>
          <w:color w:val="auto"/>
        </w:rPr>
      </w:pPr>
    </w:p>
    <w:p>
      <w:pPr>
        <w:ind w:right="40" w:firstLine="441"/>
        <w:spacing w:after="0" w:line="237" w:lineRule="auto"/>
        <w:rPr>
          <w:sz w:val="20"/>
          <w:szCs w:val="20"/>
          <w:color w:val="auto"/>
        </w:rPr>
      </w:pPr>
      <w:r>
        <w:rPr>
          <w:rFonts w:ascii="Times New Roman" w:cs="Times New Roman" w:eastAsia="Times New Roman" w:hAnsi="Times New Roman"/>
          <w:sz w:val="17"/>
          <w:szCs w:val="17"/>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w:t>
      </w:r>
    </w:p>
    <w:p>
      <w:pPr>
        <w:jc w:val="both"/>
        <w:ind w:right="260"/>
        <w:spacing w:after="0" w:line="218" w:lineRule="auto"/>
        <w:rPr>
          <w:sz w:val="20"/>
          <w:szCs w:val="20"/>
          <w:color w:val="auto"/>
        </w:rPr>
      </w:pPr>
      <w:r>
        <w:rPr>
          <w:rFonts w:ascii="Times New Roman" w:cs="Times New Roman" w:eastAsia="Times New Roman" w:hAnsi="Times New Roman"/>
          <w:sz w:val="18"/>
          <w:szCs w:val="18"/>
          <w:i w:val="1"/>
          <w:iCs w:val="1"/>
          <w:color w:val="auto"/>
        </w:rPr>
        <w:t>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w:t>
      </w:r>
    </w:p>
    <w:p>
      <w:pPr>
        <w:spacing w:after="0" w:line="203" w:lineRule="auto"/>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 In fact, you cannot waive our or the depositary’s compliance with U.S.</w:t>
      </w: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81" w:lineRule="exact"/>
        <w:rPr>
          <w:sz w:val="20"/>
          <w:szCs w:val="20"/>
          <w:color w:val="auto"/>
        </w:rPr>
      </w:pPr>
    </w:p>
    <w:p>
      <w:pPr>
        <w:ind w:right="440" w:firstLine="441"/>
        <w:spacing w:after="0" w:line="236" w:lineRule="auto"/>
        <w:rPr>
          <w:sz w:val="20"/>
          <w:szCs w:val="20"/>
          <w:color w:val="auto"/>
        </w:rPr>
      </w:pPr>
      <w:r>
        <w:rPr>
          <w:rFonts w:ascii="Times New Roman" w:cs="Times New Roman" w:eastAsia="Times New Roman" w:hAnsi="Times New Roman"/>
          <w:sz w:val="17"/>
          <w:szCs w:val="17"/>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w:t>
      </w:r>
    </w:p>
    <w:p>
      <w:pPr>
        <w:ind w:right="200"/>
        <w:spacing w:after="0" w:line="226" w:lineRule="auto"/>
        <w:rPr>
          <w:sz w:val="20"/>
          <w:szCs w:val="20"/>
          <w:color w:val="auto"/>
        </w:rPr>
      </w:pPr>
      <w:r>
        <w:rPr>
          <w:rFonts w:ascii="Times New Roman" w:cs="Times New Roman" w:eastAsia="Times New Roman" w:hAnsi="Times New Roman"/>
          <w:sz w:val="18"/>
          <w:szCs w:val="18"/>
          <w:color w:val="auto"/>
        </w:rPr>
        <w:t>property on deposit to pay the taxes and governmental charges payable by holders. You will be liable for any deficiency if the sale proceeds do not cover the taxes that are due.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 bank may refuse to issue ADSs, to deliver, transfer, split and combine ADRs or to release securities on deposit until all taxes and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indemnify us, the depositary bank and the custodian for any claims with respect to taxes based on any tax benefit obtained for you.</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 bank will arrange for the conversion of all foreign currency received into U.S. dollars if such conversion is practical, and it will</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57"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41" w:lineRule="exact"/>
        <w:rPr>
          <w:sz w:val="20"/>
          <w:szCs w:val="20"/>
          <w:color w:val="auto"/>
        </w:rPr>
      </w:pPr>
    </w:p>
    <w:p>
      <w:pPr>
        <w:ind w:left="440" w:right="20"/>
        <w:spacing w:after="0" w:line="237" w:lineRule="auto"/>
        <w:rPr>
          <w:sz w:val="20"/>
          <w:szCs w:val="20"/>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94" w:lineRule="exact"/>
        <w:rPr>
          <w:sz w:val="20"/>
          <w:szCs w:val="20"/>
          <w:color w:val="auto"/>
        </w:rPr>
      </w:pPr>
    </w:p>
    <w:p>
      <w:pPr>
        <w:ind w:right="220" w:firstLine="441"/>
        <w:spacing w:after="0" w:line="237"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58"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us or the Depositary may only be instituted in a state or federal court in the city of New York.</w:t>
      </w:r>
    </w:p>
    <w:p>
      <w:pPr>
        <w:spacing w:after="0" w:line="145" w:lineRule="exact"/>
        <w:rPr>
          <w:sz w:val="20"/>
          <w:szCs w:val="20"/>
          <w:color w:val="auto"/>
        </w:rPr>
      </w:pPr>
    </w:p>
    <w:p>
      <w:pPr>
        <w:ind w:right="560" w:firstLine="441"/>
        <w:spacing w:after="0" w:line="227" w:lineRule="auto"/>
        <w:rPr>
          <w:sz w:val="20"/>
          <w:szCs w:val="20"/>
          <w:color w:val="auto"/>
        </w:rPr>
      </w:pPr>
      <w:r>
        <w:rPr>
          <w:rFonts w:ascii="Times New Roman" w:cs="Times New Roman" w:eastAsia="Times New Roman" w:hAnsi="Times New Roman"/>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1440" w:right="379" w:bottom="1440" w:gutter="0" w:footer="0" w:header="0"/>
        </w:sectPr>
      </w:pPr>
    </w:p>
    <w:bookmarkStart w:id="256" w:name="page257"/>
    <w:bookmarkEnd w:id="256"/>
    <w:p>
      <w:pPr>
        <w:spacing w:after="0" w:line="180"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i w:val="1"/>
          <w:iCs w:val="1"/>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Summary of BSA Plans</w:t>
      </w:r>
    </w:p>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at February 28, 2026, seven BSA share warrant plans were outstanding: BSA 2015-11, BSA 2015-12, BSA 2017-1, BSA 2018-1, BSA 2024-1, BSA 2024-2, BSA-2025-1, BSA-2025-2 and BSA-2026-1</w:t>
      </w:r>
      <w:r>
        <w:rPr>
          <w:rFonts w:ascii="Arial" w:cs="Arial" w:eastAsia="Arial" w:hAnsi="Arial"/>
          <w:sz w:val="18"/>
          <w:szCs w:val="18"/>
          <w:color w:val="auto"/>
        </w:rPr>
        <w:t>.</w:t>
      </w:r>
    </w:p>
    <w:p>
      <w:pPr>
        <w:spacing w:after="0" w:line="16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Share warrants (</w:t>
      </w:r>
      <w:r>
        <w:rPr>
          <w:rFonts w:ascii="Times New Roman" w:cs="Times New Roman" w:eastAsia="Times New Roman" w:hAnsi="Times New Roman"/>
          <w:sz w:val="18"/>
          <w:szCs w:val="18"/>
          <w:i w:val="1"/>
          <w:iCs w:val="1"/>
          <w:color w:val="auto"/>
        </w:rPr>
        <w:t>bons de souscription d’actions</w:t>
      </w:r>
      <w:r>
        <w:rPr>
          <w:rFonts w:ascii="Times New Roman" w:cs="Times New Roman" w:eastAsia="Times New Roman" w:hAnsi="Times New Roman"/>
          <w:sz w:val="18"/>
          <w:szCs w:val="18"/>
          <w:color w:val="auto"/>
        </w:rPr>
        <w:t>), or BSAs, entitle a holder to exercise the warrant for the underlying vested shares at an exercise price per share determined by our board of directors and at least equal to the fair market value of an ordinary share on the date of grant. In addition to any exercise</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price payable by a holder upon the exercise of any share warrant, share warrants need to be subscribed for at a price which is determined by the board of directors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Pursuant to delegations granted at our annual meeting, our board of directors determines the recipients, dates of grant and exercise price of</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share warrants, the number of share warrants to be granted and the terms and conditions of the share warrants, including their exercise period and their vesting period. In its discretion, the board of directors has the authority to extend the exercise period of share warrants post-termination.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Underlying shares</w:t>
      </w:r>
      <w:r>
        <w:rPr>
          <w:rFonts w:ascii="Times New Roman" w:cs="Times New Roman" w:eastAsia="Times New Roman" w:hAnsi="Times New Roman"/>
          <w:sz w:val="18"/>
          <w:szCs w:val="18"/>
          <w:color w:val="auto"/>
        </w:rPr>
        <w:t>. Each BSA 2014-4, each BSA 2014-5, each BSA 2015-11, each BSA 2015-12, each BSA 2017-1, each BSA 2018-1, each BSA-2024-1,</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each BSA-2024-2, each BSA-2025-1, each BSA-2025-2 and each BSA-2026-1 gives the holder the right to purchase one (1) ordinary share. The number of shares to which the exercise of the BSAs entitles the holder has been multiplied by 100 for all BSAs issued prior to the division by 100 of the nominal value of the shares, decided by our general meeting on February 20, 2015.</w:t>
      </w:r>
    </w:p>
    <w:p>
      <w:pPr>
        <w:spacing w:after="0" w:line="19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Allocation</w:t>
      </w:r>
      <w:r>
        <w:rPr>
          <w:rFonts w:ascii="Times New Roman" w:cs="Times New Roman" w:eastAsia="Times New Roman" w:hAnsi="Times New Roman"/>
          <w:sz w:val="18"/>
          <w:szCs w:val="18"/>
          <w:color w:val="auto"/>
        </w:rPr>
        <w:t>. Our BSAs are generally subscribed by officers, directors, employees, consultants or partners of our company. BSAs 2024-1, BSAs 2024-2,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BSAs 2025-1 and BSAs 2025-2 may not be transferred. BSAs 2017-1 and BSAs 2018-1 may not be transferred except specific authorization granted by the Board of the Company. BSAs 2014-4 and BSAs 2014-5 may not be transferred save in case (i) the board of directors expressly authorizes such transfer or</w:t>
      </w:r>
    </w:p>
    <w:p>
      <w:pPr>
        <w:spacing w:after="0" w:line="3" w:lineRule="exact"/>
        <w:rPr>
          <w:sz w:val="20"/>
          <w:szCs w:val="20"/>
          <w:color w:val="auto"/>
        </w:rPr>
      </w:pPr>
    </w:p>
    <w:p>
      <w:pPr>
        <w:jc w:val="both"/>
        <w:ind w:firstLine="8"/>
        <w:spacing w:after="0" w:line="218" w:lineRule="auto"/>
        <w:tabs>
          <w:tab w:leader="none" w:pos="27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holder’s death to his/her heirs, who may exercise the exercisable BSAs as of the holder’s death and for a period of 6 months thereafter, failing which the BSAs will become null and void. BSAs 2015-12 may not be transferred save in case (i) the board of directors expressly authorizes such transfer or (ii) of the holder’s death.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terms</w:t>
      </w:r>
      <w:r>
        <w:rPr>
          <w:rFonts w:ascii="Times New Roman" w:cs="Times New Roman" w:eastAsia="Times New Roman" w:hAnsi="Times New Roman"/>
          <w:sz w:val="18"/>
          <w:szCs w:val="18"/>
          <w:color w:val="auto"/>
        </w:rPr>
        <w:t>. The conditions to exercise our BSAs are as follows:</w:t>
      </w: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25" w:lineRule="auto"/>
        <w:tabs>
          <w:tab w:leader="none" w:pos="65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BSAs 2015-11 will be exercisable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number of months elapsed from their allocation over a total period of thirty-six (36) months, in one or several occasions. In any event, except in the event of dismissal for serious misconduct or gross negligence, the exercisable BSAs must be exercised by the holder within ninety (90) days of ceasing to be a member of the Company’s Board of Directors. If they are not exercised within this period or in the event of dismissal for serious misconduct or gross negligence, the exercisable BSAs will become null and void.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BSAs 2015-12 will be exercisable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number of months elapsed from their allocation over a total period of forty-eight (48) months, in one or several occasions, it being specified that the beneficiary may only exercise the BSAs at the end of a period of one (1) year from their allocation. In any event, except in the event of dismissal for serious misconduct or gross negligence, the exercisable BSAs must be exercised by the holder within ninety (90) days of ceasing to be a member of the Company’s Scientific Committee. If they are not exercised within this period or in the event of dismissal for serious misconduct or gross negligence, the exercisable BSAs will become null and void.</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BSAs 2017-1 will be exercisable for one third on the allocation date, for one third on March 18, 2018 and the balance on September 19, 2019,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98" w:lineRule="exact"/>
        <w:rPr>
          <w:rFonts w:ascii="Times New Roman" w:cs="Times New Roman" w:eastAsia="Times New Roman" w:hAnsi="Times New Roman"/>
          <w:sz w:val="20"/>
          <w:szCs w:val="20"/>
          <w:color w:val="auto"/>
        </w:rPr>
      </w:pPr>
    </w:p>
    <w:p>
      <w:pPr>
        <w:jc w:val="both"/>
        <w:ind w:left="660" w:hanging="328"/>
        <w:spacing w:after="0" w:line="223" w:lineRule="auto"/>
        <w:tabs>
          <w:tab w:leader="none" w:pos="64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BSAs 2018-1 will be exercisable for one third on the allocation date, for one third on July 22, 2018 and the balance on January 22, 2019, in one or several occasions. In any event, except in the event of dismissal for serious misconduct or gross negligence, the exercisable BSAs must be exercised by the holder within three (3) months of ceasing to be a member of the Company’s board of directors. If they are not exercised</w:t>
      </w:r>
    </w:p>
    <w:p>
      <w:pPr>
        <w:sectPr>
          <w:pgSz w:w="11900" w:h="16838" w:orient="portrait"/>
          <w:cols w:equalWidth="0" w:num="1">
            <w:col w:w="11240"/>
          </w:cols>
          <w:pgMar w:left="320" w:top="106"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i w:val="1"/>
          <w:iCs w:val="1"/>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328"/>
        <w:spacing w:after="0" w:line="222" w:lineRule="auto"/>
        <w:rPr>
          <w:sz w:val="20"/>
          <w:szCs w:val="20"/>
          <w:color w:val="auto"/>
        </w:rPr>
      </w:pPr>
      <w:r>
        <w:rPr>
          <w:rFonts w:ascii="Times New Roman" w:cs="Times New Roman" w:eastAsia="Times New Roman" w:hAnsi="Times New Roman"/>
          <w:sz w:val="18"/>
          <w:szCs w:val="18"/>
          <w:color w:val="auto"/>
        </w:rPr>
        <w:t>within this period or in the event of dismissal for serious misconduct or gross negligence, the exercisable BSAs will become null and void. Additionally, the BSAs will become fully exercisable (i) upon a change of control of the Company, (ii) if the Company is absorbed by another</w:t>
      </w:r>
    </w:p>
    <w:p>
      <w:pPr>
        <w:spacing w:after="0" w:line="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company or (iii) if the Company merges with one or several other companies resulting in the creation of a new entity or (iv) in case of a demerger.</w:t>
      </w:r>
    </w:p>
    <w:p>
      <w:pPr>
        <w:spacing w:after="0" w:line="232" w:lineRule="exact"/>
        <w:rPr>
          <w:sz w:val="20"/>
          <w:szCs w:val="20"/>
          <w:color w:val="auto"/>
        </w:rPr>
      </w:pPr>
    </w:p>
    <w:p>
      <w:pPr>
        <w:jc w:val="both"/>
        <w:ind w:left="328" w:hanging="328"/>
        <w:spacing w:after="0" w:line="261" w:lineRule="auto"/>
        <w:tabs>
          <w:tab w:leader="none" w:pos="3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BSAs 2024-1 will be exercisable for one fourth on January 1st, 2025, for one fourth on January 1st, 2026, for one fourth on January 1st, 2027 and the balance on January 1st, 2028,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13" w:lineRule="exact"/>
        <w:rPr>
          <w:rFonts w:ascii="Times New Roman" w:cs="Times New Roman" w:eastAsia="Times New Roman" w:hAnsi="Times New Roman"/>
          <w:sz w:val="20"/>
          <w:szCs w:val="20"/>
          <w:color w:val="auto"/>
        </w:rPr>
      </w:pPr>
    </w:p>
    <w:p>
      <w:pPr>
        <w:jc w:val="both"/>
        <w:ind w:left="328" w:hanging="328"/>
        <w:spacing w:after="0" w:line="266" w:lineRule="auto"/>
        <w:tabs>
          <w:tab w:leader="none" w:pos="3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BSAs 2024-2 will be exercisable for one fourth on April 1st, 2025, for one fourth on April 1st, 2026, for one fourth on April 1st, 2027 and the balance on April 1st, 2028,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0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BSAs 2025-1 will be exercisable for one fourth on January 1st, 2026, for one fourth on January 1st, 2027, for one fourth on January 1st, 2028 and the balance on January 1st, 2029,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22"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BSAs 2025-2 will be exercisable for one fourth on January 1st, 2026, for one fourth on January 1st, 2027, for one fourth on January 1st, 2028 and the balance on January 1st, 2029,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08" w:lineRule="exact"/>
        <w:rPr>
          <w:rFonts w:ascii="Times New Roman" w:cs="Times New Roman" w:eastAsia="Times New Roman" w:hAnsi="Times New Roman"/>
          <w:sz w:val="18"/>
          <w:szCs w:val="18"/>
          <w:color w:val="auto"/>
        </w:rPr>
      </w:pPr>
    </w:p>
    <w:p>
      <w:pPr>
        <w:jc w:val="both"/>
        <w:ind w:left="328" w:hanging="328"/>
        <w:spacing w:after="0" w:line="264" w:lineRule="auto"/>
        <w:tabs>
          <w:tab w:leader="none" w:pos="3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BSAs 2026-1 will be exercisable for one fourth on February 1st, 2027, for one fourth on February 1st, 2028, for one fourth on February 1st, 2029 and the balance on February 1st, 2030, in one or several occasions. In any event, except in the event of dismissal for serious misconduct or gross negligence, the exercisable BSAs must be exercised by the holder within three (3) months of ceasing to be a member of the Company’s board of directors. If they are not exercised within this period or in the event of dismissal for serious misconduct or gross negligence, the exercisable BSAs will become null and void. Additionally, the BSAs will become fully exercisable (i) upon a change of control of the Company,</w:t>
      </w:r>
    </w:p>
    <w:p>
      <w:pPr>
        <w:ind w:left="588" w:hanging="264"/>
        <w:spacing w:after="0"/>
        <w:tabs>
          <w:tab w:leader="none" w:pos="58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w:t>
      </w:r>
    </w:p>
    <w:p>
      <w:pPr>
        <w:sectPr>
          <w:pgSz w:w="11900" w:h="16838" w:orient="portrait"/>
          <w:cols w:equalWidth="0" w:num="1">
            <w:col w:w="10908"/>
          </w:cols>
          <w:pgMar w:left="652" w:top="106"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i w:val="1"/>
          <w:iCs w:val="1"/>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absorbed by another company or (iii) if the Company merges with one or several other companies resulting in the creation of a new entity or (iv) in case of a demerger.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Validity period. </w:t>
      </w:r>
      <w:r>
        <w:rPr>
          <w:rFonts w:ascii="Times New Roman" w:cs="Times New Roman" w:eastAsia="Times New Roman" w:hAnsi="Times New Roman"/>
          <w:sz w:val="18"/>
          <w:szCs w:val="18"/>
          <w:color w:val="auto"/>
        </w:rPr>
        <w:t>All BSAs have a maximum validity period of 10 years as from their issuance.</w:t>
      </w:r>
    </w:p>
    <w:p>
      <w:pPr>
        <w:sectPr>
          <w:pgSz w:w="11900" w:h="16838" w:orient="portrait"/>
          <w:cols w:equalWidth="0" w:num="1">
            <w:col w:w="11240"/>
          </w:cols>
          <w:pgMar w:left="320" w:top="106"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i w:val="1"/>
          <w:i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Summary of BCE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February 28, 2026, five BCE share warrant plans were outstanding: BCE 2017-1, BCE 2017-2, BCE 2017-4, BCE 2017-5 and BCE 2018-4.</w:t>
      </w:r>
    </w:p>
    <w:p>
      <w:pPr>
        <w:spacing w:after="0" w:line="2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Founder’s share warrants (</w:t>
      </w:r>
      <w:r>
        <w:rPr>
          <w:rFonts w:ascii="Times New Roman" w:cs="Times New Roman" w:eastAsia="Times New Roman" w:hAnsi="Times New Roman"/>
          <w:sz w:val="18"/>
          <w:szCs w:val="18"/>
          <w:i w:val="1"/>
          <w:iCs w:val="1"/>
          <w:color w:val="auto"/>
        </w:rPr>
        <w:t>bons de souscription de parts de créateur d’entreprise</w:t>
      </w:r>
      <w:r>
        <w:rPr>
          <w:rFonts w:ascii="Times New Roman" w:cs="Times New Roman" w:eastAsia="Times New Roman" w:hAnsi="Times New Roman"/>
          <w:sz w:val="18"/>
          <w:szCs w:val="18"/>
          <w:color w:val="auto"/>
        </w:rPr>
        <w:t>), or BCEs, entitle a holder to exercise the warrant for the underlying vested shares at an exercise price per share determined by our board of directors and at least equal to the fair market value of an ordinary share on the date of grant. Founder’s share warrants may only be issued by growth companies meeting certain criteria. Since our initial public offering in France,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eligibility to issue founder’s share warrants is subject to certain conditions, including that our market capitalization does not exceed €150M. Therefore, we are no longer eligible to issue founder’s share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Pursuant to delegations granted at our annual meeting of shareholders, our board of directors determines the recipients, dates of grant and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exercise price of founder’s share warrants, the number of founder’s share warrants to be granted and the terms and conditions of the founder’s share warrants, including the period of their exercisability and their vesting schedule.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Underlying shares. </w:t>
      </w:r>
      <w:r>
        <w:rPr>
          <w:rFonts w:ascii="Times New Roman" w:cs="Times New Roman" w:eastAsia="Times New Roman" w:hAnsi="Times New Roman"/>
          <w:sz w:val="18"/>
          <w:szCs w:val="18"/>
          <w:color w:val="auto"/>
        </w:rPr>
        <w:t>The securities to which the BCE 2017-1 issued on January 23, 2017, BCE 2017-2 issued on November 20, 2017, BCE 2017-4 issued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20 November 2017, BCE 2017-5 issued on November 20, 2017, and BCE 2018-4 issued on May 14, 2018 (together, the “</w:t>
      </w:r>
      <w:r>
        <w:rPr>
          <w:rFonts w:ascii="Times New Roman" w:cs="Times New Roman" w:eastAsia="Times New Roman" w:hAnsi="Times New Roman"/>
          <w:sz w:val="18"/>
          <w:szCs w:val="18"/>
          <w:b w:val="1"/>
          <w:bCs w:val="1"/>
          <w:color w:val="auto"/>
        </w:rPr>
        <w:t>BCE</w:t>
      </w:r>
      <w:r>
        <w:rPr>
          <w:rFonts w:ascii="Times New Roman" w:cs="Times New Roman" w:eastAsia="Times New Roman" w:hAnsi="Times New Roman"/>
          <w:sz w:val="18"/>
          <w:szCs w:val="18"/>
          <w:color w:val="auto"/>
        </w:rPr>
        <w:t>”) give rights are ordinary shares. Each BCE gives the holder the right to purchase one (1) ordinary share.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Allocation</w:t>
      </w:r>
      <w:r>
        <w:rPr>
          <w:rFonts w:ascii="Times New Roman" w:cs="Times New Roman" w:eastAsia="Times New Roman" w:hAnsi="Times New Roman"/>
          <w:sz w:val="18"/>
          <w:szCs w:val="18"/>
          <w:color w:val="auto"/>
        </w:rPr>
        <w:t>. Our founder’s share warrants are generally granted to executive officers, directors or employees of our company and its subsidiaries. Founder’s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warrants may not be transferred other than by inheritance.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terms</w:t>
      </w:r>
      <w:r>
        <w:rPr>
          <w:rFonts w:ascii="Times New Roman" w:cs="Times New Roman" w:eastAsia="Times New Roman" w:hAnsi="Times New Roman"/>
          <w:sz w:val="18"/>
          <w:szCs w:val="18"/>
          <w:color w:val="auto"/>
        </w:rPr>
        <w:t>. The vested BCE may be exercised in all or in part at the election of each holder as follows :</w:t>
      </w:r>
    </w:p>
    <w:p>
      <w:pPr>
        <w:spacing w:after="0" w:line="216" w:lineRule="exact"/>
        <w:rPr>
          <w:sz w:val="20"/>
          <w:szCs w:val="20"/>
          <w:color w:val="auto"/>
        </w:rPr>
      </w:pPr>
    </w:p>
    <w:p>
      <w:pPr>
        <w:jc w:val="both"/>
        <w:ind w:left="660" w:hanging="328"/>
        <w:spacing w:after="0" w:line="212" w:lineRule="auto"/>
        <w:tabs>
          <w:tab w:leader="none" w:pos="65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BCEs 2017-1 and of the BCEs 2017-2 will be exercisable pro rata to the number of months elapsed from their allocation over a total period of 48 months, it being specified that the beneficiary may only exercise the BCEs at the end of a period of one year from their allocation, while the rest of the BCEs will be exercisable only if qualitative and/or quantitative objective(s) set by the Board are met. In any event, except in the event of dismissal for serious misconduct or gross negligence, the exercisable BCEs must be exercised by the beneficiary within ninety (90) days of ceasing to be an employee. If they are not exercised within this period or in the event of dismissal for serious misconduct or gross negligence, the exercisable BCEs will become null and void.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14" w:lineRule="auto"/>
        <w:tabs>
          <w:tab w:leader="none" w:pos="64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BCEs 2017-4, BCEs 2017-5 and BCEs 2018-4 became exercisable as from a specific date specified in their terms and conditions, another portion will be exercisable pro rata to the number of months elapsed from their allocation over a total period of 24 months, it being specified that the beneficiary may only exercise the BCEs at the end of a period of one year from their allocation, while the rest of the BCEs will be exercisable only if qualitative and/or quantitative objectives set by the Board are met. In any event, except in the event of dismissal for serious misconduct or gross negligence, the exercisable BCEs must be exercised by the beneficiary within ninety (90) days of ceasing to be an employee. If they are not exercised within this period or in the event of dismissal for serious misconduct or gross negligence, the exercisable BCEs will become null and void.</w:t>
      </w:r>
    </w:p>
    <w:p>
      <w:pPr>
        <w:spacing w:after="0" w:line="20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each beneficiary will be able to subscribe for and exercise all of such BCEs even if the above-mentioned conditions have not been met, in the event of a Change of Control of the Company, defined as the execution of an agreement under which an industrial company or a member of an industrial group, acting alone or in concert industrial group, within the meaning of Article L. 233-10 of the French Commercial Code, comes to hold, directly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more than 50% of the Company's capital or voting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Validity period</w:t>
      </w:r>
      <w:r>
        <w:rPr>
          <w:rFonts w:ascii="Times New Roman" w:cs="Times New Roman" w:eastAsia="Times New Roman" w:hAnsi="Times New Roman"/>
          <w:sz w:val="18"/>
          <w:szCs w:val="18"/>
          <w:color w:val="auto"/>
        </w:rPr>
        <w:t>. All BCEs have a maximum validity period of 10 years as from their issuance.</w:t>
      </w:r>
    </w:p>
    <w:p>
      <w:pPr>
        <w:sectPr>
          <w:pgSz w:w="11900" w:h="16838" w:orient="portrait"/>
          <w:cols w:equalWidth="0" w:num="1">
            <w:col w:w="11240"/>
          </w:cols>
          <w:pgMar w:left="320" w:top="106"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i w:val="1"/>
          <w:i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Summary of Free Share Plans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at February 28, 2026, sixteen free share plans were outstanding: AGA-2023-1, AGA-2023-2, AGA-2023-3, AGA-2023-4, AGA-2023-5, AGA-2024-1, AGA-2024-2, AGA-2024-3, AGA-2024-4, AGA-2024-5, AGA-2024-6, AGA-2024-7, AGA-2025-1, AGA-2025-2, AGA 2025-3, AGA-2025-4, AGA-2025-5, AGA-2025-6, AGA-2025-7, AGA-2025-8 and AGA-2026-1. 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are allotted for free to holders. The issuance of the Free Shares occurs automatically at the end of the vesting period (</w:t>
      </w:r>
      <w:r>
        <w:rPr>
          <w:rFonts w:ascii="Times New Roman" w:cs="Times New Roman" w:eastAsia="Times New Roman" w:hAnsi="Times New Roman"/>
          <w:sz w:val="18"/>
          <w:szCs w:val="18"/>
          <w:i w:val="1"/>
          <w:iCs w:val="1"/>
          <w:color w:val="auto"/>
        </w:rPr>
        <w:t>période d’acquisition</w:t>
      </w:r>
      <w:r>
        <w:rPr>
          <w:rFonts w:ascii="Times New Roman" w:cs="Times New Roman" w:eastAsia="Times New Roman" w:hAnsi="Times New Roman"/>
          <w:sz w:val="18"/>
          <w:szCs w:val="18"/>
          <w:color w:val="auto"/>
        </w:rPr>
        <w:t>), subject to the fulfilment of the vesting conditions (if any), by way of a capital increase, which will be realized by debiting the unavailable reserve (</w:t>
      </w:r>
      <w:r>
        <w:rPr>
          <w:rFonts w:ascii="Times New Roman" w:cs="Times New Roman" w:eastAsia="Times New Roman" w:hAnsi="Times New Roman"/>
          <w:sz w:val="18"/>
          <w:szCs w:val="18"/>
          <w:i w:val="1"/>
          <w:iCs w:val="1"/>
          <w:color w:val="auto"/>
        </w:rPr>
        <w:t>réserve non disponible</w:t>
      </w:r>
      <w:r>
        <w:rPr>
          <w:rFonts w:ascii="Times New Roman" w:cs="Times New Roman" w:eastAsia="Times New Roman" w:hAnsi="Times New Roman"/>
          <w:sz w:val="18"/>
          <w:szCs w:val="18"/>
          <w:color w:val="auto"/>
        </w:rPr>
        <w:t>) established for this matter.</w:t>
      </w:r>
    </w:p>
    <w:p>
      <w:pPr>
        <w:spacing w:after="0" w:line="10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Pursuant to authorizations granted at our annual meeting, our board of directors determines the recipients, the number of free shares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and the terms and conditions of the free shares, including their vesting calendar and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Underlying shares. </w:t>
      </w:r>
      <w:r>
        <w:rPr>
          <w:rFonts w:ascii="Times New Roman" w:cs="Times New Roman" w:eastAsia="Times New Roman" w:hAnsi="Times New Roman"/>
          <w:sz w:val="18"/>
          <w:szCs w:val="18"/>
          <w:color w:val="auto"/>
        </w:rPr>
        <w:t>Each Free Share gives the right to one (1) ordinary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w:t>
      </w:r>
      <w:r>
        <w:rPr>
          <w:rFonts w:ascii="Times New Roman" w:cs="Times New Roman" w:eastAsia="Times New Roman" w:hAnsi="Times New Roman"/>
          <w:sz w:val="18"/>
          <w:szCs w:val="18"/>
          <w:color w:val="auto"/>
        </w:rPr>
        <w:t>. Our Free Shares are generally granted to executive officers, directors, employees, or consultants of our company or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periods and conditions</w:t>
      </w:r>
      <w:r>
        <w:rPr>
          <w:rFonts w:ascii="Times New Roman" w:cs="Times New Roman" w:eastAsia="Times New Roman" w:hAnsi="Times New Roman"/>
          <w:sz w:val="18"/>
          <w:szCs w:val="18"/>
          <w:color w:val="auto"/>
        </w:rPr>
        <w:t>. The Free Shares vest as follows:</w:t>
      </w:r>
    </w:p>
    <w:p>
      <w:pPr>
        <w:spacing w:after="0" w:line="137" w:lineRule="exact"/>
        <w:rPr>
          <w:sz w:val="20"/>
          <w:szCs w:val="20"/>
          <w:color w:val="auto"/>
        </w:rPr>
      </w:pPr>
    </w:p>
    <w:p>
      <w:pPr>
        <w:ind w:left="320" w:hanging="312"/>
        <w:spacing w:after="0"/>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2023-1:</w:t>
      </w:r>
    </w:p>
    <w:p>
      <w:pPr>
        <w:ind w:left="960" w:hanging="314"/>
        <w:spacing w:after="0" w:line="219" w:lineRule="auto"/>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212,738 Free Shares 2023-1 shall vest one year from the grant (i.e., on July 11, 2024);</w:t>
      </w:r>
    </w:p>
    <w:p>
      <w:pPr>
        <w:jc w:val="both"/>
        <w:ind w:left="980" w:right="140" w:hanging="334"/>
        <w:spacing w:after="0" w:line="215" w:lineRule="auto"/>
        <w:tabs>
          <w:tab w:leader="none" w:pos="975"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638,214 Free Shares 2023-1 shall progressively vest on a monthly basis over a period of three (3) years starting one year from the grant (i.e., 17,728 Free Shares 2023-1 per month except for the last month of the three-year period where 17,734 Free Shares 2023-1 shall be acquired);</w:t>
      </w:r>
    </w:p>
    <w:p>
      <w:pPr>
        <w:ind w:left="980" w:right="80" w:hanging="334"/>
        <w:spacing w:after="0" w:line="211" w:lineRule="auto"/>
        <w:tabs>
          <w:tab w:leader="none" w:pos="9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212,738 Free Shares 2023-1 shall vest on the latest date between (i) one year from the grant (i.e., on July 11, 2024), and (ii) the date on which a performance condition related to regulatory approvals is fulfilled;</w:t>
      </w:r>
    </w:p>
    <w:p>
      <w:pPr>
        <w:ind w:left="980" w:right="80" w:hanging="334"/>
        <w:spacing w:after="0" w:line="208" w:lineRule="auto"/>
        <w:tabs>
          <w:tab w:leader="none" w:pos="9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106,369 Free Shares 2023-1 shall vest on the latest date between (i) one year from the grant (i.e., on July 11, 2024), and (ii) the date on which the Group successfully completes a public offering raising at least $100 million in gross proceeds (the condition was met on October 24, 2023);</w:t>
      </w:r>
    </w:p>
    <w:p>
      <w:pPr>
        <w:spacing w:after="0" w:line="1" w:lineRule="exact"/>
        <w:rPr>
          <w:rFonts w:ascii="Times New Roman" w:cs="Times New Roman" w:eastAsia="Times New Roman" w:hAnsi="Times New Roman"/>
          <w:sz w:val="18"/>
          <w:szCs w:val="18"/>
          <w:color w:val="auto"/>
        </w:rPr>
      </w:pPr>
    </w:p>
    <w:p>
      <w:pPr>
        <w:ind w:left="980" w:right="80" w:hanging="334"/>
        <w:spacing w:after="0" w:line="211" w:lineRule="auto"/>
        <w:tabs>
          <w:tab w:leader="none" w:pos="9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106,369 Free Shares 2023-1 shall vest on the latest date between (i) one year from the grant (i.e., on July 11, 2024), and (ii) the date on which a specific performance condition related to the Group’s market capitalization is fulfilled; and</w:t>
      </w:r>
    </w:p>
    <w:p>
      <w:pPr>
        <w:ind w:left="980" w:right="60" w:hanging="334"/>
        <w:spacing w:after="0" w:line="226" w:lineRule="auto"/>
        <w:tabs>
          <w:tab w:leader="none" w:pos="9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106,368 Free Shares 2023-1 shall vest one year from the grant (i.e., on July 11, 2024) subject to the completion, prior to such date, of a tender offer on the securities issued by the Group, at a predetermined minimum price, and resulting in a change of control of the Group.</w:t>
      </w:r>
    </w:p>
    <w:p>
      <w:pPr>
        <w:spacing w:after="0" w:line="18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of presence is applicable to all Free Shares 2023-1.</w:t>
      </w:r>
    </w:p>
    <w:p>
      <w:pPr>
        <w:spacing w:after="0" w:line="2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2023-2:</w:t>
      </w:r>
    </w:p>
    <w:p>
      <w:pPr>
        <w:ind w:left="960" w:hanging="314"/>
        <w:spacing w:after="0" w:line="203" w:lineRule="auto"/>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2023-2 allocated shall vest one year from the grant (i.e., on July 11, 2024); and</w:t>
      </w:r>
    </w:p>
    <w:p>
      <w:pPr>
        <w:ind w:left="980" w:hanging="334"/>
        <w:spacing w:after="0" w:line="233" w:lineRule="auto"/>
        <w:tabs>
          <w:tab w:leader="none" w:pos="9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Free Shares 2023-2 allocated shall vest on the latest date between (i) one year from the grant, on July 11, 2024, and (ii) the date on which a performance condition related to regulatory approvals is fulfilled.</w:t>
      </w:r>
    </w:p>
    <w:p>
      <w:pPr>
        <w:spacing w:after="0" w:line="18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condition of presence applicable to the Free Shares 2023-2.</w:t>
      </w:r>
    </w:p>
    <w:p>
      <w:pPr>
        <w:spacing w:after="0" w:line="21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2023-3 and the Free Shares 2023-4:</w:t>
      </w:r>
    </w:p>
    <w:p>
      <w:pPr>
        <w:spacing w:after="0" w:line="2" w:lineRule="exact"/>
        <w:rPr>
          <w:rFonts w:ascii="Times New Roman" w:cs="Times New Roman" w:eastAsia="Times New Roman" w:hAnsi="Times New Roman"/>
          <w:sz w:val="18"/>
          <w:szCs w:val="18"/>
          <w:color w:val="auto"/>
        </w:rPr>
      </w:pPr>
    </w:p>
    <w:p>
      <w:pPr>
        <w:ind w:left="960" w:hanging="314"/>
        <w:spacing w:after="0" w:line="203" w:lineRule="auto"/>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ordinary shares allocated shall vest two years from the grant (i.e., on September 28, 2025);</w:t>
      </w:r>
    </w:p>
    <w:p>
      <w:pPr>
        <w:ind w:left="960" w:hanging="314"/>
        <w:spacing w:after="0" w:line="203" w:lineRule="auto"/>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ordinary shares allocated shall vest three years from the grant, (i.e., on September 28, 2026); and</w:t>
      </w:r>
    </w:p>
    <w:p>
      <w:pPr>
        <w:ind w:left="960" w:hanging="314"/>
        <w:spacing w:after="0"/>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ordinary shares allocated shall vest four years from the grant, (i.e., on September 28, 2027).</w:t>
      </w:r>
    </w:p>
    <w:p>
      <w:pPr>
        <w:spacing w:after="0" w:line="205" w:lineRule="exact"/>
        <w:rPr>
          <w:rFonts w:ascii="Times New Roman" w:cs="Times New Roman" w:eastAsia="Times New Roman" w:hAnsi="Times New Roman"/>
          <w:sz w:val="18"/>
          <w:szCs w:val="18"/>
          <w:color w:val="auto"/>
        </w:rPr>
      </w:pPr>
    </w:p>
    <w:p>
      <w:pPr>
        <w:ind w:left="98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 Shares 2023-4 were subject to a performance condition of the successful completion of a public offering raising at least $200 million in gross proceeds. This condition was met on October 24, 2024.</w:t>
      </w:r>
    </w:p>
    <w:p>
      <w:pPr>
        <w:spacing w:after="0" w:line="18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of presence is applicable to all Free Shares 2023-3 and 2023-4.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2024-1:</w:t>
      </w:r>
    </w:p>
    <w:p>
      <w:pPr>
        <w:sectPr>
          <w:pgSz w:w="11900" w:h="16838" w:orient="portrait"/>
          <w:cols w:equalWidth="0" w:num="1">
            <w:col w:w="11240"/>
          </w:cols>
          <w:pgMar w:left="320" w:top="106"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i w:val="1"/>
          <w:i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60" w:hanging="314"/>
        <w:spacing w:after="0"/>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2024-1 allocated shall vest two years from the grant (i.e., on February 1, 2026);</w:t>
      </w:r>
    </w:p>
    <w:p>
      <w:pPr>
        <w:ind w:left="960" w:hanging="314"/>
        <w:spacing w:after="0" w:line="219"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2024-1 allocated shall vest two years from the grant (i.e., on February 1, 2027); and</w:t>
      </w:r>
    </w:p>
    <w:p>
      <w:pPr>
        <w:ind w:left="980" w:right="2840" w:hanging="334"/>
        <w:spacing w:after="0" w:line="493"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2024-1 allocated shall vest two years from the grant (i.e., on February 1, 2028). A condition of presence is applicable to all Free Shares 2024-1.</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2024-2:</w:t>
      </w:r>
    </w:p>
    <w:p>
      <w:pPr>
        <w:ind w:left="960" w:hanging="314"/>
        <w:spacing w:after="0" w:line="219"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2024-2 allocated shall vest two years from the grant (i.e., on March 28, 2026);</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2024-2 allocated shall vest three years from the grant (i.e., on March 28, 2027); and</w:t>
      </w:r>
    </w:p>
    <w:p>
      <w:pPr>
        <w:ind w:left="980" w:right="3120" w:hanging="334"/>
        <w:spacing w:after="0" w:line="481"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2024-2 allocated shall vest four years from the grant (i.e., on March, 2028). A condition of presence is applicable to all Free Shares 2024-2.</w:t>
      </w: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2024-3:</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2024-3 allocated shall vest two years from the grant (i.e., on May 23, 2026);</w:t>
      </w:r>
    </w:p>
    <w:p>
      <w:pPr>
        <w:ind w:left="960" w:hanging="314"/>
        <w:spacing w:after="0" w:line="219"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2024-3 allocated shall vest three years from the grant (i.e., on May 23, 2027); and</w:t>
      </w:r>
    </w:p>
    <w:p>
      <w:pPr>
        <w:ind w:left="980" w:right="3040" w:hanging="334"/>
        <w:spacing w:after="0" w:line="473"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2024-3 allocated shall vest four years from the grant (i.e., on May 23, 2028). A condition of presence is applicable to all Free Shares 2024-3.</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2024-4:</w:t>
      </w:r>
    </w:p>
    <w:p>
      <w:pPr>
        <w:spacing w:after="0" w:line="2" w:lineRule="exact"/>
        <w:rPr>
          <w:rFonts w:ascii="Times New Roman" w:cs="Times New Roman" w:eastAsia="Times New Roman" w:hAnsi="Times New Roman"/>
          <w:sz w:val="18"/>
          <w:szCs w:val="18"/>
          <w:color w:val="auto"/>
        </w:rPr>
      </w:pP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2024-4 allocated shall vest two years from the grant (i.e., on July 11, 2026);</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2024-4 allocated shall vest three years from the grant (i.e., on July 11, 2027); and</w:t>
      </w:r>
    </w:p>
    <w:p>
      <w:pPr>
        <w:ind w:left="980" w:right="3080" w:hanging="334"/>
        <w:spacing w:after="0" w:line="481"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2024-4 allocated shall vest four years from the grant (i.e., on July 11, 2028). A condition of presence is applicable to all Free Shares 2024-4.</w:t>
      </w: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2024-5:</w:t>
      </w:r>
    </w:p>
    <w:p>
      <w:pPr>
        <w:ind w:left="960" w:hanging="314"/>
        <w:spacing w:after="0" w:line="219"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2024-5 allocated shall vest two years from the grant (i.e., on July 11, 2026);</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2024-5 allocated shall vest three years from the grant (i.e., on July 11, 2027); and</w:t>
      </w:r>
    </w:p>
    <w:p>
      <w:pPr>
        <w:ind w:left="980" w:right="3080" w:hanging="334"/>
        <w:spacing w:after="0" w:line="481"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2024-5 allocated shall vest four years from the grant (i.e., on July 11, 2028). A condition of presence is applicable to all Free Shares 2024-5.</w:t>
      </w: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2024-6:</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2024-6 allocated shall vest one year from the grant (i.e., on July 11, 2026); and</w:t>
      </w:r>
    </w:p>
    <w:p>
      <w:pPr>
        <w:ind w:left="980" w:hanging="334"/>
        <w:spacing w:after="0" w:line="233"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2024-6 allocated shall vest on the latest date between (i) one year from the grant (i.e., on July 11, 2026) and (ii) the date on which the performance condition is fulfilled.</w:t>
      </w:r>
    </w:p>
    <w:p>
      <w:pPr>
        <w:spacing w:after="0" w:line="18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of presence is applicable to all Free Shares 2024-6.</w:t>
      </w:r>
    </w:p>
    <w:p>
      <w:pPr>
        <w:spacing w:after="0" w:line="21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2024-7:</w:t>
      </w:r>
    </w:p>
    <w:p>
      <w:pPr>
        <w:spacing w:after="0" w:line="2" w:lineRule="exact"/>
        <w:rPr>
          <w:rFonts w:ascii="Times New Roman" w:cs="Times New Roman" w:eastAsia="Times New Roman" w:hAnsi="Times New Roman"/>
          <w:sz w:val="18"/>
          <w:szCs w:val="18"/>
          <w:color w:val="auto"/>
        </w:rPr>
      </w:pP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2024-7 allocated shall vest two years from the grant (i.e., on September 5, 2026);</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2024-7 allocated shall vest three years from the grant (i.e., on September 5, 2027); and</w:t>
      </w:r>
    </w:p>
    <w:p>
      <w:pPr>
        <w:ind w:left="980" w:right="2680" w:hanging="334"/>
        <w:spacing w:after="0" w:line="481" w:lineRule="auto"/>
        <w:tabs>
          <w:tab w:leader="none" w:pos="9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2024-7 allocated shall vest four years from the grant (i.e., on September 5, 2028). A condition of presence is applicable to all Free Shares 2024-7.</w:t>
      </w: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2025-1:</w:t>
      </w:r>
    </w:p>
    <w:p>
      <w:pPr>
        <w:ind w:left="960" w:hanging="314"/>
        <w:spacing w:after="0" w:line="203"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Presence Free Shares 2025-1 allocated shall vest two years from the grant (i.e., on February 6, 2027);</w:t>
      </w:r>
    </w:p>
    <w:p>
      <w:pPr>
        <w:ind w:left="960" w:hanging="314"/>
        <w:spacing w:after="0" w:line="219" w:lineRule="auto"/>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Presence Free Shares 2025-1 allocated shall vest three years from the grant (i.e., on February 6, 2028);</w:t>
      </w:r>
    </w:p>
    <w:p>
      <w:pPr>
        <w:ind w:left="960" w:hanging="314"/>
        <w:spacing w:after="0"/>
        <w:tabs>
          <w:tab w:leader="none" w:pos="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Presence Free Shares 2025-1 allocated shall vest four years from the grant (i.e., on February 6, 2029); and</w:t>
      </w:r>
    </w:p>
    <w:p>
      <w:pPr>
        <w:sectPr>
          <w:pgSz w:w="11900" w:h="16838" w:orient="portrait"/>
          <w:cols w:equalWidth="0" w:num="1">
            <w:col w:w="11240"/>
          </w:cols>
          <w:pgMar w:left="320" w:top="106"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i w:val="1"/>
          <w:i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hanging="334"/>
        <w:spacing w:after="0" w:line="237"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Free Shares shall vest on the latest date between (i) the second anniversary of the grant (i.e. on February 6, 2027), and (ii) the date on which M&amp;A Performance Condition is fulfilled.</w:t>
      </w:r>
    </w:p>
    <w:p>
      <w:pPr>
        <w:spacing w:after="0" w:line="19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of presence is applicable to all Free Shares 2025-1.</w:t>
      </w:r>
    </w:p>
    <w:p>
      <w:pPr>
        <w:spacing w:after="0" w:line="211" w:lineRule="exact"/>
        <w:rPr>
          <w:rFonts w:ascii="Times New Roman" w:cs="Times New Roman" w:eastAsia="Times New Roman" w:hAnsi="Times New Roman"/>
          <w:sz w:val="18"/>
          <w:szCs w:val="18"/>
          <w:color w:val="auto"/>
        </w:rPr>
      </w:pPr>
    </w:p>
    <w:p>
      <w:pPr>
        <w:ind w:left="340" w:right="20" w:hanging="332"/>
        <w:spacing w:after="0" w:line="237" w:lineRule="auto"/>
        <w:tabs>
          <w:tab w:leader="none" w:pos="32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2025-2: 100% of the Free Shares 2025-2 allocated shall vest two years from the grant (i.e., on February 6, 2027). A condition of presence is applicable to all Free Shares 2025-2.</w:t>
      </w:r>
    </w:p>
    <w:p>
      <w:pPr>
        <w:spacing w:after="0" w:line="18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2025-3:</w:t>
      </w: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2025-3 allocated shall vest two years from the grant (i.e., on February 6, 2027);</w:t>
      </w:r>
    </w:p>
    <w:p>
      <w:pPr>
        <w:ind w:left="960" w:hanging="314"/>
        <w:spacing w:after="0" w:line="219"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2025-3 allocated shall vest three years from the grant (i.e., on February 6, 2028); and</w:t>
      </w:r>
    </w:p>
    <w:p>
      <w:pPr>
        <w:ind w:left="980" w:right="2800" w:hanging="334"/>
        <w:spacing w:after="0" w:line="473"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2025-3 allocated shall vest four years from the grant (i.e., on February 6, 2029). A condition of presence is applicable to all Free Shares 2025-3.</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2025-4:</w:t>
      </w:r>
    </w:p>
    <w:p>
      <w:pPr>
        <w:spacing w:after="0" w:line="2" w:lineRule="exact"/>
        <w:rPr>
          <w:rFonts w:ascii="Times New Roman" w:cs="Times New Roman" w:eastAsia="Times New Roman" w:hAnsi="Times New Roman"/>
          <w:sz w:val="18"/>
          <w:szCs w:val="18"/>
          <w:color w:val="auto"/>
        </w:rPr>
      </w:pP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2025-4 allocated shall vest two years from the grant (i.e., on February 6, 2027);</w:t>
      </w: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2025-4 allocated shall vest three years from the grant (i.e., on February 6, 2028); and</w:t>
      </w:r>
    </w:p>
    <w:p>
      <w:pPr>
        <w:ind w:left="980" w:right="2800" w:hanging="334"/>
        <w:spacing w:after="0" w:line="481"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2025-4 allocated shall vest four years from the grant (i.e., on February 6, 2029). A condition of presence is applicable to all Free Shares 2025-4.</w:t>
      </w: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2025-5:</w:t>
      </w:r>
    </w:p>
    <w:p>
      <w:pPr>
        <w:ind w:left="980" w:hanging="334"/>
        <w:spacing w:after="0" w:line="211"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2025-5 allocated shall vest on the latest date between (i) the first anniversary of the grant date (i.e., on March 20, 2026) and (ii) the date on which Performance Condition 1 is fuflilled; and</w:t>
      </w:r>
    </w:p>
    <w:p>
      <w:pPr>
        <w:ind w:left="980" w:hanging="334"/>
        <w:spacing w:after="0" w:line="226"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2025-5 allocated shall vest on the latest date between (i) the first anniversary of the grant date (i.e., on March 20, 2026) and (ii) the date on which Performance Condition 2 is fuflilled</w:t>
      </w:r>
    </w:p>
    <w:p>
      <w:pPr>
        <w:spacing w:after="0" w:line="19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of presence is applicable to all Free Shares 2025-5.</w:t>
      </w:r>
    </w:p>
    <w:p>
      <w:pPr>
        <w:spacing w:after="0" w:line="20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2025-6:</w:t>
      </w:r>
    </w:p>
    <w:p>
      <w:pPr>
        <w:ind w:left="960" w:hanging="314"/>
        <w:spacing w:after="0" w:line="219"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2025-6 allocated shall vest two years from the grant (i.e., on May 28, 2027);</w:t>
      </w: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2025-6 allocated shall vest three years from the grant (i.e., on May 28, 2028); and</w:t>
      </w:r>
    </w:p>
    <w:p>
      <w:pPr>
        <w:ind w:left="980" w:right="3040" w:hanging="334"/>
        <w:spacing w:after="0" w:line="481"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2025-6 allocated shall vest four years from the grant (i.e., on May 28, 2029). A condition of presence is applicable to all Free Shares 2025-6.</w:t>
      </w: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2025-7:</w:t>
      </w: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2025-7 allocated shall vest two years from the grant (i.e., on August 1, 2027);</w:t>
      </w:r>
    </w:p>
    <w:p>
      <w:pPr>
        <w:ind w:left="960" w:hanging="314"/>
        <w:spacing w:after="0" w:line="219"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2025-4 allocated shall vest three years from the grant (i.e., on August 1, 2028); and</w:t>
      </w:r>
    </w:p>
    <w:p>
      <w:pPr>
        <w:ind w:left="980" w:right="2940" w:hanging="334"/>
        <w:spacing w:after="0" w:line="473"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2025-4 allocated shall vest four years from the grant (i.e., on August 1, 2029). A condition of presence is applicable to all Free Shares 2025-7.</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2025-8:</w:t>
      </w:r>
    </w:p>
    <w:p>
      <w:pPr>
        <w:spacing w:after="0" w:line="2" w:lineRule="exact"/>
        <w:rPr>
          <w:rFonts w:ascii="Times New Roman" w:cs="Times New Roman" w:eastAsia="Times New Roman" w:hAnsi="Times New Roman"/>
          <w:sz w:val="18"/>
          <w:szCs w:val="18"/>
          <w:color w:val="auto"/>
        </w:rPr>
      </w:pP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2025-8 allocated shall vest two years from the grant (i.e., on November 13, 2027);</w:t>
      </w:r>
    </w:p>
    <w:p>
      <w:pPr>
        <w:ind w:left="960" w:hanging="314"/>
        <w:spacing w:after="0" w:line="203" w:lineRule="auto"/>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2025-8 allocated shall vest three years from the grant (i.e., on November 13, 2028); and</w:t>
      </w:r>
    </w:p>
    <w:p>
      <w:pPr>
        <w:ind w:left="980" w:right="2600" w:hanging="334"/>
        <w:spacing w:after="0" w:line="481" w:lineRule="auto"/>
        <w:tabs>
          <w:tab w:leader="none" w:pos="97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2025-8 allocated shall vest four years from the grant (i.e., on November 13, 2028). A condition of presence is applicable to all Free Shares 2025-8.</w:t>
      </w: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2026-1:</w:t>
      </w:r>
    </w:p>
    <w:p>
      <w:pPr>
        <w:ind w:left="960" w:hanging="314"/>
        <w:spacing w:after="0"/>
        <w:tabs>
          <w:tab w:leader="none" w:pos="9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2026-1 allocated shall vest two years from the grant (i.e., on February 5, 2028);</w:t>
      </w:r>
    </w:p>
    <w:p>
      <w:pPr>
        <w:sectPr>
          <w:pgSz w:w="11900" w:h="16838" w:orient="portrait"/>
          <w:cols w:equalWidth="0" w:num="1">
            <w:col w:w="11240"/>
          </w:cols>
          <w:pgMar w:left="320" w:top="106"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i w:val="1"/>
          <w:i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60" w:hanging="314"/>
        <w:spacing w:after="0"/>
        <w:tabs>
          <w:tab w:leader="none" w:pos="9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2026-1 allocated shall vest three years from the grant (i.e., on February 5, 2029); and</w:t>
      </w:r>
    </w:p>
    <w:p>
      <w:pPr>
        <w:ind w:left="980" w:right="2800" w:hanging="334"/>
        <w:spacing w:after="0" w:line="509" w:lineRule="auto"/>
        <w:tabs>
          <w:tab w:leader="none" w:pos="9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2026-1 allocated shall vest four years from the grant (i.e., on February 5, 2029). A condition of presence is applicable to all Free Shares 2026-1.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terms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Article L.225-197-3, if a holder deceases during the vesting period, heirs may request, within six (6) months of the holder’s death, the immediate allocation of the Free Shares for which the condition of presence and/or the applicable performance condition(s), if any, have been met as of the date of the holder’s death.</w:t>
      </w:r>
    </w:p>
    <w:p>
      <w:pPr>
        <w:spacing w:after="0" w:line="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event that the vesting period expires prior to the second anniversary of the grant of the Free Shares, a lock-up period is applicable to the Free Shares until the date of the second anniversary of the grant. Free Shares vesting after the second anniversary of the grant are not subject to lock-up.</w:t>
      </w:r>
    </w:p>
    <w:p>
      <w:pPr>
        <w:spacing w:after="0" w:line="1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Additionally, all Free Shares are subject to a vesting acceleration condition in case of a tender offer on the securities issued by the company and resulting in a change of control of the company.</w:t>
      </w:r>
    </w:p>
    <w:p>
      <w:pPr>
        <w:sectPr>
          <w:pgSz w:w="11900" w:h="16838" w:orient="portrait"/>
          <w:cols w:equalWidth="0" w:num="1">
            <w:col w:w="11240"/>
          </w:cols>
          <w:pgMar w:left="320" w:top="106" w:right="33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2763520</wp:posOffset>
            </wp:positionV>
            <wp:extent cx="7123430" cy="9601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ABIVAX</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Code of Market Conduct</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concerning the confidentiality of information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the prevention of insider dealing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Note: Translation into English for information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March 19, 2026</w:t>
      </w:r>
    </w:p>
    <w:p>
      <w:pPr>
        <w:sectPr>
          <w:pgSz w:w="11900" w:h="16838" w:orient="portrait"/>
          <w:cols w:equalWidth="0" w:num="1">
            <w:col w:w="9019"/>
          </w:cols>
          <w:pgMar w:left="1440" w:top="1440" w:right="14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Shares in Abivax SA (“</w:t>
      </w:r>
      <w:r>
        <w:rPr>
          <w:rFonts w:ascii="Times New Roman" w:cs="Times New Roman" w:eastAsia="Times New Roman" w:hAnsi="Times New Roman"/>
          <w:sz w:val="20"/>
          <w:szCs w:val="20"/>
          <w:b w:val="1"/>
          <w:bCs w:val="1"/>
          <w:color w:val="auto"/>
        </w:rPr>
        <w:t>Abivax</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are admitted to trading on the regulated Euronext Paris market and in the form of American Depositary Shares/Receipts (ADS), on the Nasdaq Global Market in the United States. The Company is therefore required to comply with the regulations applicable to:</w:t>
      </w:r>
    </w:p>
    <w:p>
      <w:pPr>
        <w:spacing w:after="0" w:line="1" w:lineRule="exact"/>
        <w:rPr>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of “Inside Information”;</w:t>
      </w:r>
    </w:p>
    <w:p>
      <w:pPr>
        <w:spacing w:after="0" w:line="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prevention of market offences by persons in possession of Inside Information; and</w:t>
      </w:r>
    </w:p>
    <w:p>
      <w:pPr>
        <w:spacing w:after="0" w:line="1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the Company’s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objective is to ensure compliance with all of these rules, the purpose of which is to protect market integrity, and to follow recommendations made by the market authorities concerning the management of risk associated with the possession, disclosure and use of Inside Information.</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Therefore, this Code of Market Conduct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sets out the market regulations applicable to the Members of Abivax and, generally, to all other persons who need to be aware of it. It will be sent to all persons likely to be classed as “Occasional Insiders”, who will be informed of the reason why they have been classed as such.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Code therefore draws the attention of the Members of Abivax to:</w:t>
      </w:r>
    </w:p>
    <w:p>
      <w:pPr>
        <w:spacing w:after="0" w:line="22" w:lineRule="exact"/>
        <w:rPr>
          <w:sz w:val="20"/>
          <w:szCs w:val="20"/>
          <w:color w:val="auto"/>
        </w:rPr>
      </w:pPr>
    </w:p>
    <w:p>
      <w:pPr>
        <w:ind w:left="980" w:hanging="648"/>
        <w:spacing w:after="0" w:line="250" w:lineRule="auto"/>
        <w:tabs>
          <w:tab w:leader="none" w:pos="97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laws and regulations in force as well as the administrative and criminal sanctions imposed for failure to comply with those laws and regulations; and</w:t>
      </w:r>
    </w:p>
    <w:p>
      <w:pPr>
        <w:ind w:left="980" w:hanging="648"/>
        <w:spacing w:after="0" w:line="253" w:lineRule="auto"/>
        <w:tabs>
          <w:tab w:leader="none" w:pos="979"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preventive measures implemented to enable everyone to invest in Financial Instruments in accordance with the rules governing market integrity.</w:t>
      </w:r>
    </w:p>
    <w:p>
      <w:pPr>
        <w:spacing w:after="0" w:line="21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These rules come mainly from (i) the European Regulation of 16 April 2014 on market abuse, which came into force on 3 July 2016</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Market Abuse Regulation</w:t>
      </w:r>
      <w:r>
        <w:rPr>
          <w:rFonts w:ascii="Times New Roman" w:cs="Times New Roman" w:eastAsia="Times New Roman" w:hAnsi="Times New Roman"/>
          <w:sz w:val="20"/>
          <w:szCs w:val="20"/>
          <w:color w:val="auto"/>
        </w:rPr>
        <w:t>”), the relevant implementing decrees, and the positions and recommendations of the ESMA and the AMF and</w:t>
      </w:r>
    </w:p>
    <w:p>
      <w:pPr>
        <w:spacing w:after="0" w:line="1" w:lineRule="exact"/>
        <w:rPr>
          <w:sz w:val="20"/>
          <w:szCs w:val="20"/>
          <w:color w:val="auto"/>
        </w:rPr>
      </w:pPr>
    </w:p>
    <w:p>
      <w:pPr>
        <w:ind w:firstLine="8"/>
        <w:spacing w:after="0" w:line="267" w:lineRule="auto"/>
        <w:tabs>
          <w:tab w:leader="none" w:pos="3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Securities Exchange Act of 1934, as amended, from its rules of application, as adopted by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from the jurisprudence of the United States federal courts.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Capitalised terms that are not defined elsewhere in this Code have the meaning given to them in </w:t>
      </w:r>
      <w:r>
        <w:rPr>
          <w:rFonts w:ascii="Times New Roman" w:cs="Times New Roman" w:eastAsia="Times New Roman" w:hAnsi="Times New Roman"/>
          <w:sz w:val="20"/>
          <w:szCs w:val="20"/>
          <w:b w:val="1"/>
          <w:bCs w:val="1"/>
          <w:u w:val="single" w:color="auto"/>
          <w:color w:val="auto"/>
        </w:rPr>
        <w:t>Annex 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0575" cy="11830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7140575" cy="11830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IMPORTANT</w:t>
      </w:r>
    </w:p>
    <w:p>
      <w:pPr>
        <w:spacing w:after="0" w:line="26" w:lineRule="exact"/>
        <w:rPr>
          <w:sz w:val="20"/>
          <w:szCs w:val="20"/>
          <w:color w:val="auto"/>
        </w:rPr>
      </w:pPr>
    </w:p>
    <w:p>
      <w:pPr>
        <w:jc w:val="both"/>
        <w:ind w:left="60" w:right="40"/>
        <w:spacing w:after="0" w:line="260" w:lineRule="auto"/>
        <w:rPr>
          <w:sz w:val="20"/>
          <w:szCs w:val="20"/>
          <w:color w:val="auto"/>
        </w:rPr>
      </w:pPr>
      <w:r>
        <w:rPr>
          <w:rFonts w:ascii="Times New Roman" w:cs="Times New Roman" w:eastAsia="Times New Roman" w:hAnsi="Times New Roman"/>
          <w:sz w:val="20"/>
          <w:szCs w:val="20"/>
          <w:b w:val="1"/>
          <w:bCs w:val="1"/>
          <w:color w:val="auto"/>
        </w:rPr>
        <w:t>Each Member of Abivax must read and comply with this Code and ensure that their investment activities and, generally, the Transactions executed by them in the Financial Instruments of the Company or third parties, comply with the regulations in force.</w:t>
      </w:r>
    </w:p>
    <w:p>
      <w:pPr>
        <w:spacing w:after="0" w:line="205" w:lineRule="exact"/>
        <w:rPr>
          <w:sz w:val="20"/>
          <w:szCs w:val="20"/>
          <w:color w:val="auto"/>
        </w:rPr>
      </w:pPr>
    </w:p>
    <w:p>
      <w:pPr>
        <w:jc w:val="both"/>
        <w:ind w:left="60" w:right="40"/>
        <w:spacing w:after="0" w:line="263" w:lineRule="auto"/>
        <w:rPr>
          <w:sz w:val="20"/>
          <w:szCs w:val="20"/>
          <w:color w:val="auto"/>
        </w:rPr>
      </w:pPr>
      <w:r>
        <w:rPr>
          <w:rFonts w:ascii="Times New Roman" w:cs="Times New Roman" w:eastAsia="Times New Roman" w:hAnsi="Times New Roman"/>
          <w:sz w:val="20"/>
          <w:szCs w:val="20"/>
          <w:b w:val="1"/>
          <w:bCs w:val="1"/>
          <w:color w:val="auto"/>
        </w:rPr>
        <w:t>Failure to comply with this Code or, generally, with the regulations in force, could result in criminal, administrative, civil or disciplinary sanctions. Individuals who do not work for Abivax are required to comply with market regulations but will not receive this Code.</w:t>
      </w:r>
    </w:p>
    <w:p>
      <w:pPr>
        <w:spacing w:after="0" w:line="3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actions of each and every Member of Abivax could affect the Company’s image in the eyes of our partners and members of the public. Furthermore, Members of Abivax may enter into management mandates in relation to the Company’s Financial Instruments in order to protect themselves against the risk of executing Transactions which do not comply with the regulations in force or with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6459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0" w:hanging="92"/>
        <w:spacing w:after="0"/>
        <w:tabs>
          <w:tab w:leader="none" w:pos="100" w:val="left"/>
        </w:tabs>
        <w:numPr>
          <w:ilvl w:val="0"/>
          <w:numId w:val="1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Regulation (EU) No 596/2014 of the European Parliament and of the Council of 16 April 2014 on market abuse.</w:t>
      </w:r>
    </w:p>
    <w:p>
      <w:pPr>
        <w:sectPr>
          <w:pgSz w:w="11900" w:h="16838" w:orient="portrait"/>
          <w:cols w:equalWidth="0" w:num="1">
            <w:col w:w="11240"/>
          </w:cols>
          <w:pgMar w:left="320" w:top="1382" w:right="339" w:bottom="1440" w:gutter="0" w:footer="0" w:header="0"/>
        </w:sectPr>
      </w:pPr>
    </w:p>
    <w:bookmarkStart w:id="267" w:name="page268"/>
    <w:bookmarkEnd w:id="267"/>
    <w:p>
      <w:pPr>
        <w:spacing w:after="0" w:line="287" w:lineRule="auto"/>
        <w:rPr>
          <w:sz w:val="20"/>
          <w:szCs w:val="20"/>
          <w:color w:val="auto"/>
        </w:rPr>
      </w:pPr>
      <w:r>
        <w:rPr>
          <w:rFonts w:ascii="Times New Roman" w:cs="Times New Roman" w:eastAsia="Times New Roman" w:hAnsi="Times New Roman"/>
          <w:sz w:val="20"/>
          <w:szCs w:val="20"/>
          <w:color w:val="auto"/>
        </w:rPr>
        <w:t>Please do not hesitate to contact our designated “</w:t>
      </w:r>
      <w:r>
        <w:rPr>
          <w:rFonts w:ascii="Times New Roman" w:cs="Times New Roman" w:eastAsia="Times New Roman" w:hAnsi="Times New Roman"/>
          <w:sz w:val="20"/>
          <w:szCs w:val="20"/>
          <w:b w:val="1"/>
          <w:bCs w:val="1"/>
          <w:color w:val="auto"/>
        </w:rPr>
        <w:t>Point of Contact</w:t>
      </w:r>
      <w:r>
        <w:rPr>
          <w:rFonts w:ascii="Times New Roman" w:cs="Times New Roman" w:eastAsia="Times New Roman" w:hAnsi="Times New Roman"/>
          <w:sz w:val="20"/>
          <w:szCs w:val="20"/>
          <w:color w:val="auto"/>
        </w:rPr>
        <w:t>”, Mr Didier Blondel ([***]), for any additional information concerning the interpretation, use or enforcement of this Code.</w:t>
      </w:r>
    </w:p>
    <w:p>
      <w:pPr>
        <w:sectPr>
          <w:pgSz w:w="11900" w:h="16838" w:orient="portrait"/>
          <w:cols w:equalWidth="0" w:num="1">
            <w:col w:w="11220"/>
          </w:cols>
          <w:pgMar w:left="320" w:top="1382" w:right="359" w:bottom="1440" w:gutter="0" w:footer="0" w:header="0"/>
        </w:sectPr>
      </w:pPr>
    </w:p>
    <w:bookmarkStart w:id="268" w:name="page269"/>
    <w:bookmarkEnd w:id="268"/>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071995" cy="3600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7071995" cy="36004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principles of financial communication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Company must </w:t>
      </w:r>
      <w:r>
        <w:rPr>
          <w:rFonts w:ascii="Times New Roman" w:cs="Times New Roman" w:eastAsia="Times New Roman" w:hAnsi="Times New Roman"/>
          <w:sz w:val="20"/>
          <w:szCs w:val="20"/>
          <w:b w:val="1"/>
          <w:bCs w:val="1"/>
          <w:color w:val="auto"/>
        </w:rPr>
        <w:t>disclose to the public, “as soon as possible”, any Inside Information</w:t>
      </w:r>
      <w:r>
        <w:rPr>
          <w:rFonts w:ascii="Times New Roman" w:cs="Times New Roman" w:eastAsia="Times New Roman" w:hAnsi="Times New Roman"/>
          <w:sz w:val="20"/>
          <w:szCs w:val="20"/>
          <w:color w:val="auto"/>
        </w:rPr>
        <w:t xml:space="preserve"> which directly concerns the Company.</w:t>
      </w:r>
    </w:p>
    <w:p>
      <w:pPr>
        <w:spacing w:after="0" w:line="1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However, the Company may postpone the public disclosure of such information subject to the exceptions provided for by the Market Abuse Regulation, as set out in Section 2.1 of this Code.</w:t>
      </w:r>
    </w:p>
    <w:p>
      <w:pPr>
        <w:spacing w:after="0" w:line="3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purpose of Abivax’s financial communication policy is to ensure the effective, full and timely dissemination of accurate, precise and true information, which must be communicated to market players at the same time.</w:t>
      </w:r>
    </w:p>
    <w:p>
      <w:pPr>
        <w:spacing w:after="0" w:line="3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Only authorised persons within the Company are permitted to provide information concerning the Company to the financial market, either in the press or in any other media.</w:t>
      </w:r>
    </w:p>
    <w:p>
      <w:pPr>
        <w:spacing w:after="0" w:line="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In addition to the non-disclosure obligation referred to in Section 3 below, the Company implements quiet periods of 15 days before publicly disclosing its annual and half-yearly results, and quarterly results, so as not to risk communicating fragmented financial information. During these periods, the Company generally refrains from contacting the financial community (financial analysts and investors), but is nevertheless required to provide the market with information pursuant to its ongoing information obligation during these quiet periods.</w:t>
      </w:r>
    </w:p>
    <w:p>
      <w:pPr>
        <w:spacing w:after="0" w:line="200" w:lineRule="exact"/>
        <w:rPr>
          <w:sz w:val="20"/>
          <w:szCs w:val="20"/>
          <w:color w:val="auto"/>
        </w:rPr>
      </w:pPr>
    </w:p>
    <w:p>
      <w:pPr>
        <w:spacing w:after="0" w:line="209" w:lineRule="exact"/>
        <w:rPr>
          <w:sz w:val="20"/>
          <w:szCs w:val="20"/>
          <w:color w:val="auto"/>
        </w:rPr>
      </w:pPr>
    </w:p>
    <w:p>
      <w:pPr>
        <w:ind w:right="8980" w:firstLine="8"/>
        <w:spacing w:after="0" w:line="359" w:lineRule="auto"/>
        <w:tabs>
          <w:tab w:leader="none" w:pos="648"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 Information 2.1 Definition</w:t>
      </w:r>
    </w:p>
    <w:p>
      <w:pPr>
        <w:spacing w:after="0" w:line="287" w:lineRule="auto"/>
        <w:rPr>
          <w:sz w:val="20"/>
          <w:szCs w:val="20"/>
          <w:color w:val="auto"/>
        </w:rPr>
      </w:pPr>
      <w:r>
        <w:rPr>
          <w:rFonts w:ascii="Times New Roman" w:cs="Times New Roman" w:eastAsia="Times New Roman" w:hAnsi="Times New Roman"/>
          <w:sz w:val="20"/>
          <w:szCs w:val="20"/>
          <w:color w:val="auto"/>
        </w:rPr>
        <w:t>Inside information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is information which directly or indirectly concerns the Company or one or more of its Financial Instruments:</w:t>
      </w:r>
    </w:p>
    <w:p>
      <w:pPr>
        <w:spacing w:after="0" w:line="30" w:lineRule="exact"/>
        <w:rPr>
          <w:sz w:val="20"/>
          <w:szCs w:val="20"/>
          <w:color w:val="auto"/>
        </w:rPr>
      </w:pPr>
    </w:p>
    <w:p>
      <w:pPr>
        <w:ind w:left="660" w:hanging="328"/>
        <w:spacing w:after="0"/>
        <w:tabs>
          <w:tab w:leader="none" w:pos="66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is </w:t>
      </w:r>
      <w:r>
        <w:rPr>
          <w:rFonts w:ascii="Times New Roman" w:cs="Times New Roman" w:eastAsia="Times New Roman" w:hAnsi="Times New Roman"/>
          <w:sz w:val="20"/>
          <w:szCs w:val="20"/>
          <w:b w:val="1"/>
          <w:bCs w:val="1"/>
          <w:color w:val="auto"/>
        </w:rPr>
        <w:t>of a precise nature</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w:t>
      </w:r>
      <w:r>
        <w:rPr>
          <w:rFonts w:ascii="Times New Roman" w:cs="Times New Roman" w:eastAsia="Times New Roman" w:hAnsi="Times New Roman"/>
          <w:sz w:val="20"/>
          <w:szCs w:val="20"/>
          <w:b w:val="1"/>
          <w:bCs w:val="1"/>
          <w:color w:val="auto"/>
        </w:rPr>
        <w:t>has not been made public</w:t>
      </w:r>
      <w:r>
        <w:rPr>
          <w:rFonts w:ascii="Times New Roman" w:cs="Times New Roman" w:eastAsia="Times New Roman" w:hAnsi="Times New Roman"/>
          <w:sz w:val="20"/>
          <w:szCs w:val="20"/>
          <w:color w:val="auto"/>
        </w:rPr>
        <w:t>; and</w:t>
      </w:r>
    </w:p>
    <w:p>
      <w:pPr>
        <w:spacing w:after="0" w:line="107"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5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if it were made public, </w:t>
      </w:r>
      <w:r>
        <w:rPr>
          <w:rFonts w:ascii="Times New Roman" w:cs="Times New Roman" w:eastAsia="Times New Roman" w:hAnsi="Times New Roman"/>
          <w:sz w:val="20"/>
          <w:szCs w:val="20"/>
          <w:b w:val="1"/>
          <w:bCs w:val="1"/>
          <w:color w:val="auto"/>
        </w:rPr>
        <w:t>would be likely to have a significant effect on the price of those Financial Instruments or 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 of related derivative Financial Instruments</w:t>
      </w:r>
      <w:r>
        <w:rPr>
          <w:rFonts w:ascii="Times New Roman" w:cs="Times New Roman" w:eastAsia="Times New Roman" w:hAnsi="Times New Roman"/>
          <w:sz w:val="20"/>
          <w:szCs w:val="20"/>
          <w:color w:val="auto"/>
        </w:rPr>
        <w:t>.</w:t>
      </w:r>
    </w:p>
    <w:p>
      <w:pPr>
        <w:spacing w:after="0" w:line="4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Information is deemed to be “of a precise nature” if</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20"/>
          <w:szCs w:val="20"/>
          <w:b w:val="1"/>
          <w:bCs w:val="1"/>
          <w:color w:val="auto"/>
        </w:rPr>
      </w:pPr>
    </w:p>
    <w:p>
      <w:pPr>
        <w:ind w:left="660" w:hanging="328"/>
        <w:spacing w:after="0" w:line="283" w:lineRule="auto"/>
        <w:tabs>
          <w:tab w:leader="none" w:pos="65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indicates a set of circumstances which exists or which may reasonably be expected to come into existence, or an event which has occurred or which may reasonably be expected to occur; and</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5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specific enough to enable a conclusion to be drawn as to the possible effect of that set of circumstances or event on the price of the relevant Financial Instruments.</w:t>
      </w:r>
    </w:p>
    <w:p>
      <w:pPr>
        <w:spacing w:after="0" w:line="4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Information must only be deemed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it has been disclosed by the Company and/or has been lawfully made public.</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6459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4" w:lineRule="exact"/>
        <w:rPr>
          <w:sz w:val="20"/>
          <w:szCs w:val="20"/>
          <w:color w:val="auto"/>
        </w:rPr>
      </w:pPr>
    </w:p>
    <w:p>
      <w:pPr>
        <w:jc w:val="both"/>
        <w:ind w:firstLine="8"/>
        <w:spacing w:after="0" w:line="230" w:lineRule="auto"/>
        <w:tabs>
          <w:tab w:leader="none" w:pos="138" w:val="left"/>
        </w:tabs>
        <w:numPr>
          <w:ilvl w:val="0"/>
          <w:numId w:val="20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In compliance, in particular, with the dispositions of the Commission Implementing Regulation (EU) 2016/1055 of June 29, 2016 laying down implementing technical standards with regard to the technical means for appropriate public disclosure of inside information and for delaying the public disclosure of inside information in accordance with Regulation (EU) No 596/2014 of the European Parliament and of the Council.</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5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Please be advised that the publication in the press or in any other media of rumours concerning information which has not been officially “publicly” confirmed by the Company remains inside information.</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required, as a matter of principle, to make public, as soon as possible, any Inside Information which concerns it. The Company may nevertheless decide to postpone the public disclosure of Inside Information, providing that each of the following three requirements are fulfilled:</w:t>
      </w:r>
    </w:p>
    <w:p>
      <w:pPr>
        <w:spacing w:after="0" w:line="73" w:lineRule="exact"/>
        <w:rPr>
          <w:sz w:val="20"/>
          <w:szCs w:val="20"/>
          <w:color w:val="auto"/>
        </w:rPr>
      </w:pPr>
    </w:p>
    <w:p>
      <w:pPr>
        <w:ind w:left="960" w:hanging="315"/>
        <w:spacing w:after="0"/>
        <w:tabs>
          <w:tab w:leader="none" w:pos="9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immediate public disclosure would potentially harm the Company’s legitimate interests;</w:t>
      </w:r>
    </w:p>
    <w:p>
      <w:pPr>
        <w:spacing w:after="0" w:line="121" w:lineRule="exact"/>
        <w:rPr>
          <w:rFonts w:ascii="Times New Roman" w:cs="Times New Roman" w:eastAsia="Times New Roman" w:hAnsi="Times New Roman"/>
          <w:sz w:val="20"/>
          <w:szCs w:val="20"/>
          <w:color w:val="auto"/>
        </w:rPr>
      </w:pPr>
    </w:p>
    <w:p>
      <w:pPr>
        <w:ind w:left="960" w:hanging="315"/>
        <w:spacing w:after="0"/>
        <w:tabs>
          <w:tab w:leader="none" w:pos="9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postponing a public disclosure would not be likely to mislead the public; and</w:t>
      </w:r>
    </w:p>
    <w:p>
      <w:pPr>
        <w:spacing w:after="0" w:line="107" w:lineRule="exact"/>
        <w:rPr>
          <w:rFonts w:ascii="Times New Roman" w:cs="Times New Roman" w:eastAsia="Times New Roman" w:hAnsi="Times New Roman"/>
          <w:sz w:val="20"/>
          <w:szCs w:val="20"/>
          <w:color w:val="auto"/>
        </w:rPr>
      </w:pPr>
    </w:p>
    <w:p>
      <w:pPr>
        <w:ind w:left="960" w:hanging="315"/>
        <w:spacing w:after="0"/>
        <w:tabs>
          <w:tab w:leader="none" w:pos="9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able to ensure that the information remains confidential.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such scenario, the Company must estimate the date on which it must publicly disclose the Inside Information. The Company is therefore required to implement adequate internal procedures in order to protect the data which it may use in the future to prove that the requirements for postponing the public disclosure of Inside Information have indeed been satisfied.</w:t>
      </w:r>
    </w:p>
    <w:p>
      <w:pPr>
        <w:spacing w:after="0" w:line="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requirements for postponing a public disclosure cease to be satisfied, the Company must make the information public and immediately notify the AMF of the public disclosure of Inside Information which it had previously decided to postpone.</w:t>
      </w:r>
    </w:p>
    <w:p>
      <w:pPr>
        <w:spacing w:after="0" w:line="61" w:lineRule="exact"/>
        <w:rPr>
          <w:sz w:val="20"/>
          <w:szCs w:val="20"/>
          <w:color w:val="auto"/>
        </w:rPr>
      </w:pPr>
    </w:p>
    <w:p>
      <w:pPr>
        <w:jc w:val="both"/>
        <w:ind w:left="340" w:hanging="332"/>
        <w:spacing w:after="0" w:line="263" w:lineRule="auto"/>
        <w:tabs>
          <w:tab w:leader="none" w:pos="332"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Sensitive information, which is to say, information which is likely to have a significant effect on the price of the Financial Instruments or on the price of related derivative Financial Instruments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defined as information which a reasonable investor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be likely to use as part of the basis of their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23430" cy="12344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223" w:lineRule="exact"/>
        <w:rPr>
          <w:sz w:val="20"/>
          <w:szCs w:val="20"/>
          <w:color w:val="auto"/>
        </w:rPr>
      </w:pPr>
    </w:p>
    <w:p>
      <w:pPr>
        <w:jc w:val="both"/>
        <w:ind w:left="80" w:right="100"/>
        <w:spacing w:after="0" w:line="263" w:lineRule="auto"/>
        <w:rPr>
          <w:sz w:val="20"/>
          <w:szCs w:val="20"/>
          <w:color w:val="auto"/>
        </w:rPr>
      </w:pPr>
      <w:r>
        <w:rPr>
          <w:rFonts w:ascii="Times New Roman" w:cs="Times New Roman" w:eastAsia="Times New Roman" w:hAnsi="Times New Roman"/>
          <w:sz w:val="20"/>
          <w:szCs w:val="20"/>
          <w:b w:val="1"/>
          <w:bCs w:val="1"/>
          <w:color w:val="auto"/>
        </w:rPr>
        <w:t>The Company will take appropriate steps in order to prevent the undue circulation of Inside Information and reduce the number of persons who have access to Inside Information, by limiting the number of people who attend meetings, using code names for transactions, regularly checking IT access rights and having the persons concerned sign non-disclosure letters.</w:t>
      </w:r>
    </w:p>
    <w:p>
      <w:pPr>
        <w:spacing w:after="0" w:line="54" w:lineRule="exact"/>
        <w:rPr>
          <w:sz w:val="20"/>
          <w:szCs w:val="20"/>
          <w:color w:val="auto"/>
        </w:rPr>
      </w:pPr>
    </w:p>
    <w:p>
      <w:pPr>
        <w:jc w:val="both"/>
        <w:ind w:left="80" w:right="100"/>
        <w:spacing w:after="0" w:line="287" w:lineRule="auto"/>
        <w:rPr>
          <w:sz w:val="20"/>
          <w:szCs w:val="20"/>
          <w:color w:val="auto"/>
        </w:rPr>
      </w:pPr>
      <w:r>
        <w:rPr>
          <w:rFonts w:ascii="Times New Roman" w:cs="Times New Roman" w:eastAsia="Times New Roman" w:hAnsi="Times New Roman"/>
          <w:sz w:val="20"/>
          <w:szCs w:val="20"/>
          <w:b w:val="1"/>
          <w:bCs w:val="1"/>
          <w:color w:val="auto"/>
        </w:rPr>
        <w:t>The Company also restricts data rooms solely to material transactions, as data rooms involve, or could potentially involve, the transmission of Inside Information.</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Access to Inside Information is on a need-to-know basis, according to the duties and responsibilities of the relevant person.</w:t>
      </w:r>
    </w:p>
    <w:p>
      <w:pPr>
        <w:spacing w:after="0" w:line="200" w:lineRule="exact"/>
        <w:rPr>
          <w:sz w:val="20"/>
          <w:szCs w:val="20"/>
          <w:color w:val="auto"/>
        </w:rPr>
      </w:pPr>
    </w:p>
    <w:p>
      <w:pPr>
        <w:spacing w:after="0" w:line="3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Examples of Inside Information</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practice, and by way of a non-exhaustive guide, the following can be deemed Inside Information, provided that it has not been made public:</w:t>
      </w:r>
    </w:p>
    <w:p>
      <w:pPr>
        <w:spacing w:after="0" w:line="65" w:lineRule="exact"/>
        <w:rPr>
          <w:sz w:val="20"/>
          <w:szCs w:val="20"/>
          <w:color w:val="auto"/>
        </w:rPr>
      </w:pPr>
    </w:p>
    <w:p>
      <w:pPr>
        <w:jc w:val="both"/>
        <w:ind w:left="660" w:hanging="328"/>
        <w:spacing w:after="0" w:line="261" w:lineRule="auto"/>
        <w:tabs>
          <w:tab w:leader="none" w:pos="65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which concerns the Company’s quarterly, half-yearly or annual results, forecasts concerning the Company’s cash runway and, generally, any anticipated change to a financial aggregate and any report which shows a significant discrepancy compared to the forecasts communicated by the Company or the market consensus;</w:t>
      </w:r>
    </w:p>
    <w:p>
      <w:pPr>
        <w:spacing w:after="0" w:line="73"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plan to dispose of or acquire Company assets for €10 million or more, any plan for the Company to merge or enter into a material partnership (including any M&amp;A transaction), as well as any draft material agreement or contract (including any licence concerning any of the Company’s products);</w:t>
      </w:r>
    </w:p>
    <w:p>
      <w:pPr>
        <w:spacing w:after="0" w:line="73" w:lineRule="exact"/>
        <w:rPr>
          <w:rFonts w:ascii="Times New Roman" w:cs="Times New Roman" w:eastAsia="Times New Roman" w:hAnsi="Times New Roman"/>
          <w:sz w:val="20"/>
          <w:szCs w:val="20"/>
          <w:color w:val="auto"/>
        </w:rPr>
      </w:pPr>
    </w:p>
    <w:p>
      <w:pPr>
        <w:ind w:left="660" w:hanging="328"/>
        <w:spacing w:after="0" w:line="269" w:lineRule="auto"/>
        <w:tabs>
          <w:tab w:leader="none" w:pos="65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legal proceedings, dispute, financial transaction (such as a capital increase, bank financing or a bond issue) or restructuring likely to have a significant effect on the Company’s financial position;</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54" w:lineRule="exact"/>
        <w:rPr>
          <w:sz w:val="20"/>
          <w:szCs w:val="20"/>
          <w:color w:val="auto"/>
        </w:rPr>
      </w:pPr>
    </w:p>
    <w:p>
      <w:pPr>
        <w:jc w:val="both"/>
        <w:ind w:left="660" w:hanging="328"/>
        <w:spacing w:after="0" w:line="261" w:lineRule="auto"/>
        <w:tabs>
          <w:tab w:leader="none" w:pos="65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a clinical trial conducted by the Company, a material change to the Company’s product portfolio, the chances of obtaining marketing authorisation for a product, any important notification from a regulatory authority concerning a clinical trial (such as a clinical hold) and any material information concerning the safety of the Company’s products; and</w:t>
      </w:r>
    </w:p>
    <w:p>
      <w:pPr>
        <w:spacing w:after="0" w:line="7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plan to replace the Company’s Chief Executive Officer or material change to its management team or governing bodies.</w:t>
      </w:r>
    </w:p>
    <w:p>
      <w:pPr>
        <w:spacing w:after="0" w:line="10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Defining Inside Information</w:t>
      </w:r>
    </w:p>
    <w:p>
      <w:pPr>
        <w:spacing w:after="0" w:line="1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is responsible for determining whether information in its possession, and which concerns the Company directly or indirectly, is likely to constitute Inside Information.</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this purpose, the Company has adopted internal procedures to ensure the reporting of Inside Information and has determined its own specific criteria, by defining materiality thresholds and identifying events which must be subject to close scrutiny in order to determine whether information is inside information or not.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appointed a Point of Contact who is in charge of enforcing these criteria.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Anyone who receives information which is likely to be considered as inside information must immediately inform the Point of Contact who, following a discussion with the Board of Directors and (if necessary) the Company’s advisers, will issue an opinion as to whether he believes that the information is “inside” information, and will consider the consequences of disseminating the information.</w:t>
      </w:r>
    </w:p>
    <w:p>
      <w:pPr>
        <w:spacing w:after="0" w:line="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Point of Contact will then inform the person concerned of his opinion. If the information is considered to be inside information, the Point of Contact will notify the person of their inclusion on the Company’s insider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23430" cy="3003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7123430" cy="300355"/>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Information should only be classified as Inside Information if all of the criteria set out in Section 2.1 above have been fulfilled.</w:t>
      </w:r>
    </w:p>
    <w:p>
      <w:pPr>
        <w:spacing w:after="0" w:line="200" w:lineRule="exact"/>
        <w:rPr>
          <w:sz w:val="20"/>
          <w:szCs w:val="20"/>
          <w:color w:val="auto"/>
        </w:rPr>
      </w:pPr>
    </w:p>
    <w:p>
      <w:pPr>
        <w:spacing w:after="0" w:line="2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20"/>
          <w:szCs w:val="20"/>
          <w:b w:val="1"/>
          <w:bCs w:val="1"/>
          <w:color w:val="auto"/>
        </w:rPr>
        <w:t>Insider lists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Market Abuse Regulation, the Company is required to draw up a list of all persons who have access to inside information and who work for the Company under a contract of employment, or otherwise perform tasks through which they have access to inside information, such as advisers or accountants.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These insider lists are kept by the Company for at least five years after they were drawn up or updated, and are intended to protect market integrity and permit the monitoring of Inside Information within the Company. They are confidential, but must be provided to the AMF upon request.</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Pursuant to Regulation (EU) 2016/679 of the European Parliament and of the Council of 27 April 2016 on the protection of natural persons with regard to the processing of personal data and on the free movement of such data (the General Data Protection Regulation), each person who is included on an insider list may exercise their right to access their personal data and to rectify any incorrect data by contacting the Data Protection Officer, Mr. Didier Blondel.</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person who is included on an insider list will be notified by the Company of their inclusion and provided (if necessary) with information on the obligations and sanctions imposed on holders of Inside Information.</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23430" cy="10115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23430" cy="1011555"/>
                    </a:xfrm>
                    <a:prstGeom prst="rect">
                      <a:avLst/>
                    </a:prstGeom>
                    <a:noFill/>
                  </pic:spPr>
                </pic:pic>
              </a:graphicData>
            </a:graphic>
          </wp:anchor>
        </w:drawing>
      </w:r>
    </w:p>
    <w:p>
      <w:pPr>
        <w:jc w:val="both"/>
        <w:ind w:left="80" w:right="10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By countersigning this Code, you confirm that you have familiarised yourself with the Company’s obligations to draw up an insider list using the template attached as </w:t>
      </w:r>
      <w:r>
        <w:rPr>
          <w:rFonts w:ascii="Times New Roman" w:cs="Times New Roman" w:eastAsia="Times New Roman" w:hAnsi="Times New Roman"/>
          <w:sz w:val="20"/>
          <w:szCs w:val="20"/>
          <w:b w:val="1"/>
          <w:bCs w:val="1"/>
          <w:u w:val="single" w:color="auto"/>
          <w:color w:val="auto"/>
        </w:rPr>
        <w:t>Annex 2</w:t>
      </w:r>
      <w:r>
        <w:rPr>
          <w:rFonts w:ascii="Times New Roman" w:cs="Times New Roman" w:eastAsia="Times New Roman" w:hAnsi="Times New Roman"/>
          <w:sz w:val="20"/>
          <w:szCs w:val="20"/>
          <w:b w:val="1"/>
          <w:bCs w:val="1"/>
          <w:color w:val="auto"/>
        </w:rPr>
        <w:t xml:space="preserve"> to this Code.</w:t>
      </w:r>
    </w:p>
    <w:p>
      <w:pPr>
        <w:spacing w:after="0" w:line="30" w:lineRule="exact"/>
        <w:rPr>
          <w:sz w:val="20"/>
          <w:szCs w:val="20"/>
          <w:color w:val="auto"/>
        </w:rPr>
      </w:pPr>
    </w:p>
    <w:p>
      <w:pPr>
        <w:jc w:val="both"/>
        <w:ind w:left="80" w:right="100"/>
        <w:spacing w:after="0" w:line="263" w:lineRule="auto"/>
        <w:rPr>
          <w:sz w:val="20"/>
          <w:szCs w:val="20"/>
          <w:color w:val="auto"/>
        </w:rPr>
      </w:pPr>
      <w:r>
        <w:rPr>
          <w:rFonts w:ascii="Times New Roman" w:cs="Times New Roman" w:eastAsia="Times New Roman" w:hAnsi="Times New Roman"/>
          <w:sz w:val="20"/>
          <w:szCs w:val="20"/>
          <w:b w:val="1"/>
          <w:bCs w:val="1"/>
          <w:color w:val="auto"/>
        </w:rPr>
        <w:t>You agree to provide the information needed to include you on the Company’s insider list and therefore acknowledge that you are aware of the obligations imposed by law and regulations, and of the sanctions applicable to Insider Dealing and the unlawful disclosure of Inside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Non-disclosure obligations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 xml:space="preserve">Any Member of Abivax who possesses Inside Information must </w:t>
      </w:r>
      <w:r>
        <w:rPr>
          <w:rFonts w:ascii="Times New Roman" w:cs="Times New Roman" w:eastAsia="Times New Roman" w:hAnsi="Times New Roman"/>
          <w:sz w:val="20"/>
          <w:szCs w:val="20"/>
          <w:b w:val="1"/>
          <w:bCs w:val="1"/>
          <w:color w:val="auto"/>
        </w:rPr>
        <w:t>refrain from disclosing it to any other person</w:t>
      </w:r>
      <w:r>
        <w:rPr>
          <w:rFonts w:ascii="Times New Roman" w:cs="Times New Roman" w:eastAsia="Times New Roman" w:hAnsi="Times New Roman"/>
          <w:sz w:val="20"/>
          <w:szCs w:val="20"/>
          <w:color w:val="auto"/>
        </w:rPr>
        <w:t>, including within the Company, other than in the ordinary course of their work, occupation or duties, providing that they first take steps to ensure that the recipient of Inside Information is bound by a legal, statutory, regulatory and/or contractual non-disclosure obligation.</w:t>
      </w:r>
    </w:p>
    <w:p>
      <w:pPr>
        <w:spacing w:after="0" w:line="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The Inside Information must therefore not be disclosed to anyone</w:t>
      </w:r>
      <w:r>
        <w:rPr>
          <w:rFonts w:ascii="Times New Roman" w:cs="Times New Roman" w:eastAsia="Times New Roman" w:hAnsi="Times New Roman"/>
          <w:sz w:val="20"/>
          <w:szCs w:val="20"/>
          <w:color w:val="auto"/>
        </w:rPr>
        <w:t>, including within the Company, who does not require such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order to carry out their work or tasks.</w:t>
      </w:r>
    </w:p>
    <w:p>
      <w:pPr>
        <w:spacing w:after="0" w:line="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Furthermore, it is </w:t>
      </w:r>
      <w:r>
        <w:rPr>
          <w:rFonts w:ascii="Times New Roman" w:cs="Times New Roman" w:eastAsia="Times New Roman" w:hAnsi="Times New Roman"/>
          <w:sz w:val="20"/>
          <w:szCs w:val="20"/>
          <w:b w:val="1"/>
          <w:bCs w:val="1"/>
          <w:color w:val="auto"/>
        </w:rPr>
        <w:t>strictly prohibited to disseminate information or to spread rumours</w:t>
      </w:r>
      <w:r>
        <w:rPr>
          <w:rFonts w:ascii="Times New Roman" w:cs="Times New Roman" w:eastAsia="Times New Roman" w:hAnsi="Times New Roman"/>
          <w:sz w:val="20"/>
          <w:szCs w:val="20"/>
          <w:color w:val="auto"/>
        </w:rPr>
        <w:t>, in the media or by any other means, which gives, or is likely to give, false or misleading information about the Financial Instruments and/or the position, results or prospects of the Company. No interview, meeting or discussion with the press, investors or financial analysts may be held without the prior consent of a communications officer within the Company or the Point of Contact.</w:t>
      </w:r>
    </w:p>
    <w:p>
      <w:pPr>
        <w:spacing w:after="0" w:line="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Furthermore, the Company is not required to respond to any rumours which concern it. Therefore, all Members of Abivax must </w:t>
      </w:r>
      <w:r>
        <w:rPr>
          <w:rFonts w:ascii="Times New Roman" w:cs="Times New Roman" w:eastAsia="Times New Roman" w:hAnsi="Times New Roman"/>
          <w:sz w:val="20"/>
          <w:szCs w:val="20"/>
          <w:b w:val="1"/>
          <w:bCs w:val="1"/>
          <w:color w:val="auto"/>
        </w:rPr>
        <w:t>refrain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commenting on any rumour </w:t>
      </w:r>
      <w:r>
        <w:rPr>
          <w:rFonts w:ascii="Times New Roman" w:cs="Times New Roman" w:eastAsia="Times New Roman" w:hAnsi="Times New Roman"/>
          <w:sz w:val="20"/>
          <w:szCs w:val="20"/>
          <w:color w:val="auto"/>
        </w:rPr>
        <w:t>which concerns the Company, if the rumour has not been confirmed or denied by the Company.</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rumour is sufficiently precise and if it explicitly refers to Inside Information the public disclosure of which has been postponed, the Company must promptly disclose the Inside Information, as the confidentiality of the information is no longer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23430" cy="4546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123430" cy="454660"/>
                    </a:xfrm>
                    <a:prstGeom prst="rect">
                      <a:avLst/>
                    </a:prstGeom>
                    <a:noFill/>
                  </pic:spPr>
                </pic:pic>
              </a:graphicData>
            </a:graphic>
          </wp:anchor>
        </w:drawing>
      </w:r>
    </w:p>
    <w:p>
      <w:pPr>
        <w:spacing w:after="0" w:line="122" w:lineRule="exact"/>
        <w:rPr>
          <w:sz w:val="20"/>
          <w:szCs w:val="20"/>
          <w:color w:val="auto"/>
        </w:rPr>
      </w:pPr>
    </w:p>
    <w:p>
      <w:pPr>
        <w:ind w:left="40" w:right="140"/>
        <w:spacing w:after="0" w:line="287" w:lineRule="auto"/>
        <w:rPr>
          <w:sz w:val="20"/>
          <w:szCs w:val="20"/>
          <w:color w:val="auto"/>
        </w:rPr>
      </w:pPr>
      <w:r>
        <w:rPr>
          <w:rFonts w:ascii="Times New Roman" w:cs="Times New Roman" w:eastAsia="Times New Roman" w:hAnsi="Times New Roman"/>
          <w:sz w:val="20"/>
          <w:szCs w:val="20"/>
          <w:b w:val="1"/>
          <w:bCs w:val="1"/>
          <w:color w:val="auto"/>
        </w:rPr>
        <w:t>All Members of Abivax are required to notify the Point of Contact immediately upon becoming aware of the disclosure or suspected disclosure of Inside Information (for example at an internal or external meeting).</w:t>
      </w:r>
    </w:p>
    <w:p>
      <w:pPr>
        <w:spacing w:after="0" w:line="206"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Abstention obligations applicable to Insiders</w:t>
      </w:r>
    </w:p>
    <w:p>
      <w:pPr>
        <w:spacing w:after="0" w:line="21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abstention obligation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Member of Abivax who possesses Inside Information must refrain from the following until the information has been made public:</w:t>
      </w:r>
    </w:p>
    <w:p>
      <w:pPr>
        <w:spacing w:after="0" w:line="104" w:lineRule="exact"/>
        <w:rPr>
          <w:sz w:val="20"/>
          <w:szCs w:val="20"/>
          <w:color w:val="auto"/>
        </w:rPr>
      </w:pPr>
    </w:p>
    <w:p>
      <w:pPr>
        <w:jc w:val="both"/>
        <w:ind w:left="1160" w:hanging="642"/>
        <w:spacing w:after="0" w:line="258" w:lineRule="auto"/>
        <w:tabs>
          <w:tab w:leader="none" w:pos="115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using or attempting to use the Inside Information by buying or selling, for their own account or for the account of a third party, directly or indirectly, Financial Instruments of the Company to which the Inside Information relates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Insider Dealing</w:t>
      </w:r>
      <w:r>
        <w:rPr>
          <w:rFonts w:ascii="Times New Roman" w:cs="Times New Roman" w:eastAsia="Times New Roman" w:hAnsi="Times New Roman"/>
          <w:sz w:val="20"/>
          <w:szCs w:val="20"/>
          <w:color w:val="auto"/>
        </w:rPr>
        <w:t>”). Using Inside Information to cancel or amend an order concerning a Financial Instrument to which the Inside Information relates is also deemed to constitute Insider Dealing if the order was placed before the person concerned obtained the Inside Information; and</w:t>
      </w:r>
    </w:p>
    <w:p>
      <w:pPr>
        <w:spacing w:after="0" w:line="59" w:lineRule="exact"/>
        <w:rPr>
          <w:rFonts w:ascii="Times New Roman" w:cs="Times New Roman" w:eastAsia="Times New Roman" w:hAnsi="Times New Roman"/>
          <w:sz w:val="20"/>
          <w:szCs w:val="20"/>
          <w:color w:val="auto"/>
        </w:rPr>
      </w:pPr>
    </w:p>
    <w:p>
      <w:pPr>
        <w:ind w:left="1160" w:hanging="642"/>
        <w:spacing w:after="0" w:line="287" w:lineRule="auto"/>
        <w:tabs>
          <w:tab w:leader="none" w:pos="115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making a recommendation or inducing another person to engage in Insider Dealing</w:t>
      </w:r>
      <w:r>
        <w:rPr>
          <w:rFonts w:ascii="Times New Roman" w:cs="Times New Roman" w:eastAsia="Times New Roman" w:hAnsi="Times New Roman"/>
          <w:sz w:val="20"/>
          <w:szCs w:val="20"/>
          <w:color w:val="auto"/>
        </w:rPr>
        <w:t>. Using a recommendation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inducement with the knowledge that it is based on Inside Information also constitutes Insider Dealing.</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5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If the third person to whom a recommendation is made is a legal person, the above abstention obligations also apply to the natural persons who decide to carry out the acquisition, disposal, cancellation or amendment of an order on behalf of the legal person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23430" cy="1680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7123430" cy="1680210"/>
                    </a:xfrm>
                    <a:prstGeom prst="rect">
                      <a:avLst/>
                    </a:prstGeom>
                    <a:noFill/>
                  </pic:spPr>
                </pic:pic>
              </a:graphicData>
            </a:graphic>
          </wp:anchor>
        </w:drawing>
      </w:r>
    </w:p>
    <w:p>
      <w:pPr>
        <w:spacing w:after="0" w:line="190" w:lineRule="exact"/>
        <w:rPr>
          <w:sz w:val="20"/>
          <w:szCs w:val="20"/>
          <w:color w:val="auto"/>
        </w:rPr>
      </w:pPr>
    </w:p>
    <w:p>
      <w:pPr>
        <w:jc w:val="both"/>
        <w:ind w:left="80" w:right="100"/>
        <w:spacing w:after="0" w:line="263" w:lineRule="auto"/>
        <w:rPr>
          <w:sz w:val="20"/>
          <w:szCs w:val="20"/>
          <w:color w:val="auto"/>
        </w:rPr>
      </w:pPr>
      <w:r>
        <w:rPr>
          <w:rFonts w:ascii="Times New Roman" w:cs="Times New Roman" w:eastAsia="Times New Roman" w:hAnsi="Times New Roman"/>
          <w:sz w:val="20"/>
          <w:szCs w:val="20"/>
          <w:b w:val="1"/>
          <w:bCs w:val="1"/>
          <w:color w:val="auto"/>
        </w:rPr>
        <w:t>All Members of Abivax must therefore refrain from executing any transaction and from using any recommendation or inducement for as long as the Inside Information in their possession remains Inside Information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b w:val="1"/>
          <w:bCs w:val="1"/>
          <w:color w:val="auto"/>
        </w:rPr>
        <w:t xml:space="preserve"> for as long as it has not been disclosed to the public or the project has not been abandoned).</w:t>
      </w:r>
    </w:p>
    <w:p>
      <w:pPr>
        <w:spacing w:after="0" w:line="67" w:lineRule="exact"/>
        <w:rPr>
          <w:sz w:val="20"/>
          <w:szCs w:val="20"/>
          <w:color w:val="auto"/>
        </w:rPr>
      </w:pPr>
    </w:p>
    <w:p>
      <w:pPr>
        <w:jc w:val="both"/>
        <w:ind w:left="80" w:right="100"/>
        <w:spacing w:after="0" w:line="263" w:lineRule="auto"/>
        <w:rPr>
          <w:sz w:val="20"/>
          <w:szCs w:val="20"/>
          <w:color w:val="auto"/>
        </w:rPr>
      </w:pPr>
      <w:r>
        <w:rPr>
          <w:rFonts w:ascii="Times New Roman" w:cs="Times New Roman" w:eastAsia="Times New Roman" w:hAnsi="Times New Roman"/>
          <w:sz w:val="20"/>
          <w:szCs w:val="20"/>
          <w:b w:val="1"/>
          <w:bCs w:val="1"/>
          <w:color w:val="auto"/>
        </w:rPr>
        <w:t>Any Member of Abivax who possesses Inside Information must notably refrain from imparting the Inside Information to persons close to them (including Persons Closely Associated) and, generally, to any person who, owing to their relationship with Members of Abivax, could be suspected of having relied on Inside Information.</w:t>
      </w:r>
    </w:p>
    <w:p>
      <w:pPr>
        <w:spacing w:after="0" w:line="67" w:lineRule="exact"/>
        <w:rPr>
          <w:sz w:val="20"/>
          <w:szCs w:val="20"/>
          <w:color w:val="auto"/>
        </w:rPr>
      </w:pPr>
    </w:p>
    <w:p>
      <w:pPr>
        <w:jc w:val="both"/>
        <w:ind w:left="80" w:right="100"/>
        <w:spacing w:after="0" w:line="263" w:lineRule="auto"/>
        <w:rPr>
          <w:sz w:val="20"/>
          <w:szCs w:val="20"/>
          <w:color w:val="auto"/>
        </w:rPr>
      </w:pPr>
      <w:r>
        <w:rPr>
          <w:rFonts w:ascii="Times New Roman" w:cs="Times New Roman" w:eastAsia="Times New Roman" w:hAnsi="Times New Roman"/>
          <w:sz w:val="20"/>
          <w:szCs w:val="20"/>
          <w:b w:val="1"/>
          <w:bCs w:val="1"/>
          <w:color w:val="auto"/>
        </w:rPr>
        <w:t>Any Member of Abivax who has any doubts about the information which they are authorised to disclose, particularly during an oral presentation or in a written presentation, may seek advice from the Point of Contact. In case of doubt or if the Point of Contact does not reply immediately, the information must not be disclosed.</w:t>
      </w:r>
    </w:p>
    <w:p>
      <w:pPr>
        <w:spacing w:after="0" w:line="200" w:lineRule="exact"/>
        <w:rPr>
          <w:sz w:val="20"/>
          <w:szCs w:val="20"/>
          <w:color w:val="auto"/>
        </w:rPr>
      </w:pPr>
    </w:p>
    <w:p>
      <w:pPr>
        <w:spacing w:after="0" w:line="3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Blackout periods</w:t>
      </w:r>
    </w:p>
    <w:p>
      <w:pPr>
        <w:spacing w:after="0" w:line="121"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4.2.1</w:t>
      </w:r>
      <w:r>
        <w:rPr>
          <w:sz w:val="20"/>
          <w:szCs w:val="20"/>
          <w:color w:val="auto"/>
        </w:rPr>
        <w:tab/>
      </w:r>
      <w:r>
        <w:rPr>
          <w:rFonts w:ascii="Times New Roman" w:cs="Times New Roman" w:eastAsia="Times New Roman" w:hAnsi="Times New Roman"/>
          <w:sz w:val="19"/>
          <w:szCs w:val="19"/>
          <w:b w:val="1"/>
          <w:bCs w:val="1"/>
          <w:color w:val="auto"/>
        </w:rPr>
        <w:t>General rules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addition to the general abstention obligation described in Section 4.1 above, and even if they are not in possession of Inside Information, every Person Discharging Managerial Responsibilities as well as every Permanent Insider and every Occasional Insider must </w:t>
      </w:r>
      <w:r>
        <w:rPr>
          <w:rFonts w:ascii="Times New Roman" w:cs="Times New Roman" w:eastAsia="Times New Roman" w:hAnsi="Times New Roman"/>
          <w:sz w:val="20"/>
          <w:szCs w:val="20"/>
          <w:b w:val="1"/>
          <w:bCs w:val="1"/>
          <w:color w:val="auto"/>
        </w:rPr>
        <w:t>refrain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executing Transactions </w:t>
      </w:r>
      <w:r>
        <w:rPr>
          <w:rFonts w:ascii="Times New Roman" w:cs="Times New Roman" w:eastAsia="Times New Roman" w:hAnsi="Times New Roman"/>
          <w:sz w:val="20"/>
          <w:szCs w:val="20"/>
          <w:color w:val="auto"/>
        </w:rPr>
        <w:t>in the Company’s Financial Instruments, for their own account or for the account of a third party,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w:t>
      </w:r>
    </w:p>
    <w:p>
      <w:pPr>
        <w:spacing w:after="0" w:line="60" w:lineRule="exact"/>
        <w:rPr>
          <w:sz w:val="20"/>
          <w:szCs w:val="20"/>
          <w:color w:val="auto"/>
        </w:rPr>
      </w:pPr>
    </w:p>
    <w:p>
      <w:pPr>
        <w:ind w:left="1160" w:right="20" w:hanging="642"/>
        <w:spacing w:after="0" w:line="287" w:lineRule="auto"/>
        <w:tabs>
          <w:tab w:leader="none" w:pos="115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 period of </w:t>
      </w:r>
      <w:r>
        <w:rPr>
          <w:rFonts w:ascii="Times New Roman" w:cs="Times New Roman" w:eastAsia="Times New Roman" w:hAnsi="Times New Roman"/>
          <w:sz w:val="20"/>
          <w:szCs w:val="20"/>
          <w:b w:val="1"/>
          <w:bCs w:val="1"/>
          <w:color w:val="auto"/>
        </w:rPr>
        <w:t>30 calendar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prior</w:t>
      </w:r>
      <w:r>
        <w:rPr>
          <w:rFonts w:ascii="Times New Roman" w:cs="Times New Roman" w:eastAsia="Times New Roman" w:hAnsi="Times New Roman"/>
          <w:sz w:val="20"/>
          <w:szCs w:val="20"/>
          <w:color w:val="auto"/>
        </w:rPr>
        <w:t xml:space="preserve"> to the date on which the Company publishes its annual and half-yearly results, including the date of publication; and</w:t>
      </w:r>
    </w:p>
    <w:p>
      <w:pPr>
        <w:spacing w:after="0" w:line="43" w:lineRule="exact"/>
        <w:rPr>
          <w:rFonts w:ascii="Times New Roman" w:cs="Times New Roman" w:eastAsia="Times New Roman" w:hAnsi="Times New Roman"/>
          <w:sz w:val="20"/>
          <w:szCs w:val="20"/>
          <w:color w:val="auto"/>
        </w:rPr>
      </w:pPr>
    </w:p>
    <w:p>
      <w:pPr>
        <w:ind w:left="1160" w:hanging="642"/>
        <w:spacing w:after="0" w:line="273" w:lineRule="auto"/>
        <w:tabs>
          <w:tab w:leader="none" w:pos="115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 period of </w:t>
      </w:r>
      <w:r>
        <w:rPr>
          <w:rFonts w:ascii="Times New Roman" w:cs="Times New Roman" w:eastAsia="Times New Roman" w:hAnsi="Times New Roman"/>
          <w:sz w:val="20"/>
          <w:szCs w:val="20"/>
          <w:b w:val="1"/>
          <w:bCs w:val="1"/>
          <w:color w:val="auto"/>
        </w:rPr>
        <w:t>15 calendar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prior</w:t>
      </w:r>
      <w:r>
        <w:rPr>
          <w:rFonts w:ascii="Times New Roman" w:cs="Times New Roman" w:eastAsia="Times New Roman" w:hAnsi="Times New Roman"/>
          <w:sz w:val="20"/>
          <w:szCs w:val="20"/>
          <w:color w:val="auto"/>
        </w:rPr>
        <w:t xml:space="preserve"> to the date on which the Company voluntarily publishes quarterly financial information, including the date of publication.</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 should be noted that, under exceptional circumstances, these periods could begin earlier than the dates indicated above, in which case every Person Discharging Managerial Responsibilities as well as every Permanent Insider and every Occasional Insider would be so informed (this information could constitute Inside Information).</w:t>
      </w:r>
    </w:p>
    <w:p>
      <w:pPr>
        <w:spacing w:after="0" w:line="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financial calendar containing the dates on which the Company plans to publish financial information is prepared annually by the Board of Directors and published on the Company’s website.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form of blackout notice is attached as </w:t>
      </w:r>
      <w:r>
        <w:rPr>
          <w:rFonts w:ascii="Times New Roman" w:cs="Times New Roman" w:eastAsia="Times New Roman" w:hAnsi="Times New Roman"/>
          <w:sz w:val="20"/>
          <w:szCs w:val="20"/>
          <w:b w:val="1"/>
          <w:bCs w:val="1"/>
          <w:u w:val="single" w:color="auto"/>
          <w:color w:val="auto"/>
        </w:rPr>
        <w:t>Annex 3</w:t>
      </w:r>
      <w:r>
        <w:rPr>
          <w:rFonts w:ascii="Times New Roman" w:cs="Times New Roman" w:eastAsia="Times New Roman" w:hAnsi="Times New Roman"/>
          <w:sz w:val="20"/>
          <w:szCs w:val="20"/>
          <w:color w:val="auto"/>
        </w:rPr>
        <w:t xml:space="preserve"> to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23430" cy="4540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7123430" cy="454025"/>
                    </a:xfrm>
                    <a:prstGeom prst="rect">
                      <a:avLst/>
                    </a:prstGeom>
                    <a:noFill/>
                  </pic:spPr>
                </pic:pic>
              </a:graphicData>
            </a:graphic>
          </wp:anchor>
        </w:drawing>
      </w:r>
    </w:p>
    <w:p>
      <w:pPr>
        <w:spacing w:after="0" w:line="169" w:lineRule="exact"/>
        <w:rPr>
          <w:sz w:val="20"/>
          <w:szCs w:val="20"/>
          <w:color w:val="auto"/>
        </w:rPr>
      </w:pPr>
    </w:p>
    <w:p>
      <w:pPr>
        <w:ind w:left="40" w:right="140"/>
        <w:spacing w:after="0" w:line="301" w:lineRule="auto"/>
        <w:rPr>
          <w:sz w:val="20"/>
          <w:szCs w:val="20"/>
          <w:color w:val="auto"/>
        </w:rPr>
      </w:pPr>
      <w:r>
        <w:rPr>
          <w:rFonts w:ascii="Times New Roman" w:cs="Times New Roman" w:eastAsia="Times New Roman" w:hAnsi="Times New Roman"/>
          <w:sz w:val="20"/>
          <w:szCs w:val="20"/>
          <w:b w:val="1"/>
          <w:bCs w:val="1"/>
          <w:color w:val="auto"/>
        </w:rPr>
        <w:t>All persons who have regular or occasional access to Inside Information are required to fulfil these obligations of abstention during Blackout Periods.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4.2.2</w:t>
      </w:r>
      <w:r>
        <w:rPr>
          <w:sz w:val="20"/>
          <w:szCs w:val="20"/>
          <w:color w:val="auto"/>
        </w:rPr>
        <w:tab/>
      </w:r>
      <w:r>
        <w:rPr>
          <w:rFonts w:ascii="Times New Roman" w:cs="Times New Roman" w:eastAsia="Times New Roman" w:hAnsi="Times New Roman"/>
          <w:sz w:val="20"/>
          <w:szCs w:val="20"/>
          <w:b w:val="1"/>
          <w:bCs w:val="1"/>
          <w:color w:val="auto"/>
        </w:rPr>
        <w:t>Exceptions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may authorise a Person Discharging Managerial Responsibilities to trade during a Blackout Period, for their own account or for the account of a third party:</w:t>
      </w:r>
    </w:p>
    <w:p>
      <w:pPr>
        <w:spacing w:after="0" w:line="61" w:lineRule="exact"/>
        <w:rPr>
          <w:sz w:val="20"/>
          <w:szCs w:val="20"/>
          <w:color w:val="auto"/>
        </w:rPr>
      </w:pPr>
    </w:p>
    <w:p>
      <w:pPr>
        <w:jc w:val="both"/>
        <w:ind w:left="660" w:hanging="328"/>
        <w:spacing w:after="0" w:line="263" w:lineRule="auto"/>
        <w:tabs>
          <w:tab w:leader="none" w:pos="65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 a case-by-case basis due to exceptional circumstances</w:t>
      </w:r>
      <w:r>
        <w:rPr>
          <w:rFonts w:ascii="Times New Roman" w:cs="Times New Roman" w:eastAsia="Times New Roman" w:hAnsi="Times New Roman"/>
          <w:sz w:val="20"/>
          <w:szCs w:val="20"/>
          <w:color w:val="auto"/>
        </w:rPr>
        <w:t>, on the understanding that circumstances are considered as exceptional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they are extremely urgent, unforeseeable and compelling, if they were not caused by the Person Discharging Managerial Responsibilities</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concerned and if they are beyond the latter’s control (such as serious financial issues which require the immediate sale of shares); or</w:t>
      </w:r>
    </w:p>
    <w:p>
      <w:pPr>
        <w:spacing w:after="0" w:line="129" w:lineRule="exact"/>
        <w:rPr>
          <w:sz w:val="20"/>
          <w:szCs w:val="20"/>
          <w:color w:val="auto"/>
        </w:rPr>
      </w:pPr>
    </w:p>
    <w:p>
      <w:pPr>
        <w:jc w:val="both"/>
        <w:ind w:left="660" w:hanging="328"/>
        <w:spacing w:after="0" w:line="254" w:lineRule="auto"/>
        <w:tabs>
          <w:tab w:leader="none" w:pos="65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due to the specific nature of the trade concerned </w:t>
      </w:r>
      <w:r>
        <w:rPr>
          <w:rFonts w:ascii="Times New Roman" w:cs="Times New Roman" w:eastAsia="Times New Roman" w:hAnsi="Times New Roman"/>
          <w:sz w:val="20"/>
          <w:szCs w:val="20"/>
          <w:color w:val="auto"/>
        </w:rPr>
        <w:t>for transactions executed in the context of, or in relation to, a shareholding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system or an employee savings scheme, the completion of formalities or the exercise of rights attached to the shares, or transactions that do not involve a change in ownership of the relevant security. In particular, the Company authorizes trades by a Person Discharging Managerial Responsibilities during a Blackout Period in the framework of a pre-established “sell to cover process” with the Company’s depositary (Uptevia) connected to the issuance of shares to such Person Discharging Managerial Responsibilities under a free share plan.</w:t>
      </w: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Person Discharging Managerial Responsibilities must submit their request in writing, give the reason for the request and describe the proposed Transaction. The request must be sent to the Point of Contact, who will issue his reply within eight business days of receipt of the request, following consultation with the Board of Directors and the Company’s advisers.</w:t>
      </w:r>
    </w:p>
    <w:p>
      <w:pPr>
        <w:spacing w:after="0" w:line="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When the Point of Contact determines whether the circumstances described in the written request are exceptional, he will determine whether and to what extent the Person Discharging Managerial Responsibilities:</w:t>
      </w:r>
    </w:p>
    <w:p>
      <w:pPr>
        <w:spacing w:after="0" w:line="38" w:lineRule="exact"/>
        <w:rPr>
          <w:sz w:val="20"/>
          <w:szCs w:val="20"/>
          <w:color w:val="auto"/>
        </w:rPr>
      </w:pPr>
    </w:p>
    <w:p>
      <w:pPr>
        <w:ind w:left="660" w:hanging="328"/>
        <w:spacing w:after="0"/>
        <w:tabs>
          <w:tab w:leader="none" w:pos="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bound, at the time of submitting their request, by a financial commitment or an enforceable claim; or</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to make, or has put themselves in a situation prior to the beginning of the Blackout Period as a result of which they must make, a payment to a third party, including a tax liability, and cannot reasonably fulfil a financial commitment or claim other than by an immediate sale of shares.</w:t>
      </w:r>
    </w:p>
    <w:p>
      <w:pPr>
        <w:spacing w:after="0" w:line="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any case, the Person Discharging Managerial Responsibilities to whom permission is given must refrain from engaging in Insider Dealing under any circumstances.</w:t>
      </w:r>
    </w:p>
    <w:p>
      <w:pPr>
        <w:spacing w:after="0" w:line="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Section 4.2.2 of this Code also applies, in the same circumstances, to Permanent Insiders and Occasional Insiders, who must comply with the statutory Blackout Period pursuant to Section 4.2.1 above.</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Specific terms applicable to stock options (if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options may not be granted:</w:t>
      </w:r>
    </w:p>
    <w:p>
      <w:pPr>
        <w:spacing w:after="0" w:line="108" w:lineRule="exact"/>
        <w:rPr>
          <w:sz w:val="20"/>
          <w:szCs w:val="20"/>
          <w:color w:val="auto"/>
        </w:rPr>
      </w:pPr>
    </w:p>
    <w:p>
      <w:pPr>
        <w:ind w:left="660" w:right="20" w:hanging="328"/>
        <w:spacing w:after="0" w:line="283" w:lineRule="auto"/>
        <w:tabs>
          <w:tab w:leader="none" w:pos="65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than 20 trading sessions after the detachment of the shares from a coupon which entitles its holder to a dividend or a capital increase;</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5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10 trading sessions before and after the date on which the Company’s consolidated (annual or half-yearly) financial statements are made public; or</w:t>
      </w:r>
    </w:p>
    <w:p>
      <w:pPr>
        <w:spacing w:after="0" w:line="51" w:lineRule="exact"/>
        <w:rPr>
          <w:rFonts w:ascii="Times New Roman" w:cs="Times New Roman" w:eastAsia="Times New Roman" w:hAnsi="Times New Roman"/>
          <w:sz w:val="20"/>
          <w:szCs w:val="20"/>
          <w:color w:val="auto"/>
        </w:rPr>
      </w:pPr>
    </w:p>
    <w:p>
      <w:pPr>
        <w:ind w:left="660" w:hanging="328"/>
        <w:spacing w:after="0" w:line="269" w:lineRule="auto"/>
        <w:tabs>
          <w:tab w:leader="none" w:pos="65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between the date on which the Company’s corporate bodies become aware of Inside Information and the date on which the information was made public.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provisions will apply solely in the event that the Company decides to implement a stock option plan in the future.</w:t>
      </w:r>
    </w:p>
    <w:p>
      <w:pPr>
        <w:spacing w:after="0" w:line="3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Specific terms applicable to free shares (if applicable)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periods of abstention referred to above are without prejudice to the specific period of abstention provided for by the regulations applicable to allotments of free shares, which state that free shares may not be transferred at the end of the lock-up period:</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50" w:lineRule="exact"/>
        <w:rPr>
          <w:sz w:val="20"/>
          <w:szCs w:val="20"/>
          <w:color w:val="auto"/>
        </w:rPr>
      </w:pPr>
    </w:p>
    <w:p>
      <w:pPr>
        <w:ind w:left="660" w:hanging="328"/>
        <w:spacing w:after="0" w:line="287" w:lineRule="auto"/>
        <w:tabs>
          <w:tab w:leader="none" w:pos="65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 period of </w:t>
      </w:r>
      <w:r>
        <w:rPr>
          <w:rFonts w:ascii="Times New Roman" w:cs="Times New Roman" w:eastAsia="Times New Roman" w:hAnsi="Times New Roman"/>
          <w:sz w:val="20"/>
          <w:szCs w:val="20"/>
          <w:b w:val="1"/>
          <w:bCs w:val="1"/>
          <w:color w:val="auto"/>
        </w:rPr>
        <w:t>30 calendar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prior</w:t>
      </w:r>
      <w:r>
        <w:rPr>
          <w:rFonts w:ascii="Times New Roman" w:cs="Times New Roman" w:eastAsia="Times New Roman" w:hAnsi="Times New Roman"/>
          <w:sz w:val="20"/>
          <w:szCs w:val="20"/>
          <w:color w:val="auto"/>
        </w:rPr>
        <w:t xml:space="preserve"> to the date on which the Company publishes its annual and half-yearly results, including the date of publication; or</w:t>
      </w:r>
    </w:p>
    <w:p>
      <w:pPr>
        <w:spacing w:after="0" w:line="34" w:lineRule="exact"/>
        <w:rPr>
          <w:rFonts w:ascii="Times New Roman" w:cs="Times New Roman" w:eastAsia="Times New Roman" w:hAnsi="Times New Roman"/>
          <w:sz w:val="20"/>
          <w:szCs w:val="20"/>
          <w:color w:val="auto"/>
        </w:rPr>
      </w:pPr>
    </w:p>
    <w:p>
      <w:pPr>
        <w:ind w:left="660" w:hanging="328"/>
        <w:spacing w:after="0" w:line="270" w:lineRule="auto"/>
        <w:tabs>
          <w:tab w:leader="none" w:pos="65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between the date on which the Company’s corporate bodies become aware of Inside Information and the date on which the information was made public</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It is specified that the foregoing provisions shall not apply to sales of shares executed at the end of the acquisition period of free shares in the framework of a pre-established “sell to cover process” with the Company’s depositary (Uptevia).</w:t>
      </w:r>
    </w:p>
    <w:p>
      <w:pPr>
        <w:spacing w:after="0" w:line="52" w:lineRule="exact"/>
        <w:rPr>
          <w:sz w:val="20"/>
          <w:szCs w:val="20"/>
          <w:color w:val="auto"/>
        </w:rPr>
      </w:pPr>
    </w:p>
    <w:p>
      <w:pPr>
        <w:ind w:left="660" w:hanging="652"/>
        <w:spacing w:after="0"/>
        <w:tabs>
          <w:tab w:leader="none" w:pos="660"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 and lock-up obligations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Major shareholding notification to the Company and the AMF in relation to thresholds laid down by law</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 xml:space="preserve">Any Member of Abivax, acting alone or in concert, who acquires, by any means, directly or indirectly, a </w:t>
      </w:r>
      <w:r>
        <w:rPr>
          <w:rFonts w:ascii="Times New Roman" w:cs="Times New Roman" w:eastAsia="Times New Roman" w:hAnsi="Times New Roman"/>
          <w:sz w:val="20"/>
          <w:szCs w:val="20"/>
          <w:b w:val="1"/>
          <w:bCs w:val="1"/>
          <w:color w:val="auto"/>
        </w:rPr>
        <w:t>number of shares representing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more than 5%, 10%, 15%, 20</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25%, 30%, 33.33%, 50%, 66.66%, 90% or 95% of the Company’s share capital or voting rights </w:t>
      </w:r>
      <w:r>
        <w:rPr>
          <w:rFonts w:ascii="Times New Roman" w:cs="Times New Roman" w:eastAsia="Times New Roman" w:hAnsi="Times New Roman"/>
          <w:sz w:val="20"/>
          <w:szCs w:val="20"/>
          <w:color w:val="auto"/>
        </w:rPr>
        <w:t>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notify the Company and the AMF accordingly.</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notification made to the Company must state the nature of the transaction (purchase or sale) as a result of which the applicable threshold has been exceeded, as well as the total number of shares and voting rights held before and after the transaction. It must be sent by registered letter (with acknowledgement of receipt requested) to the registered office before the close of trading on the fourth trading day after the date on which the shareholding threshold was exceeded.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 order to make a notification to the AMF, the standard major shareholding notification and letter of intent must be completed (the Company may also complete it on the relevant person’s behalf). The form must be sent by e-mail, </w:t>
      </w:r>
      <w:r>
        <w:rPr>
          <w:rFonts w:ascii="Times New Roman" w:cs="Times New Roman" w:eastAsia="Times New Roman" w:hAnsi="Times New Roman"/>
          <w:sz w:val="20"/>
          <w:szCs w:val="20"/>
          <w:u w:val="single" w:color="auto"/>
          <w:color w:val="auto"/>
        </w:rPr>
        <w:t>before close of trading on the fourth trading day</w:t>
      </w:r>
      <w:r>
        <w:rPr>
          <w:rFonts w:ascii="Times New Roman" w:cs="Times New Roman" w:eastAsia="Times New Roman" w:hAnsi="Times New Roman"/>
          <w:sz w:val="20"/>
          <w:szCs w:val="20"/>
          <w:color w:val="auto"/>
        </w:rPr>
        <w:t xml:space="preserve"> after the date on which the shareholding threshold was exceeded, to the following address: </w:t>
      </w:r>
      <w:r>
        <w:rPr>
          <w:rFonts w:ascii="Times New Roman" w:cs="Times New Roman" w:eastAsia="Times New Roman" w:hAnsi="Times New Roman"/>
          <w:sz w:val="20"/>
          <w:szCs w:val="20"/>
          <w:color w:val="4472C4"/>
        </w:rPr>
        <w:t>declarationseuil@amf-france.org</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these obligations are not fulfilled, the person concerned will forfeit the voting rights attached to the number of shares over and above the percentage not notified as required, for any general shareholders’ meeting held within two years of the date a notification is made.</w:t>
      </w:r>
    </w:p>
    <w:p>
      <w:pPr>
        <w:spacing w:after="0" w:line="200" w:lineRule="exact"/>
        <w:rPr>
          <w:sz w:val="20"/>
          <w:szCs w:val="20"/>
          <w:color w:val="auto"/>
        </w:rPr>
      </w:pP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Major shareholding notification to the Company in relation to thresholds imposed under the Articles of Association</w:t>
      </w:r>
    </w:p>
    <w:p>
      <w:pPr>
        <w:spacing w:after="0" w:line="12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Any Member of Abivax who is also a shareholder of the Company, acting alone or in concert, and who acquires, by any means, </w:t>
      </w:r>
      <w:r>
        <w:rPr>
          <w:rFonts w:ascii="Times New Roman" w:cs="Times New Roman" w:eastAsia="Times New Roman" w:hAnsi="Times New Roman"/>
          <w:sz w:val="20"/>
          <w:szCs w:val="20"/>
          <w:b w:val="1"/>
          <w:bCs w:val="1"/>
          <w:color w:val="auto"/>
        </w:rPr>
        <w:t>2% or more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the Company’s share capital or voting rights, or any multiple of that percentage</w:t>
      </w:r>
      <w:r>
        <w:rPr>
          <w:rFonts w:ascii="Times New Roman" w:cs="Times New Roman" w:eastAsia="Times New Roman" w:hAnsi="Times New Roman"/>
          <w:sz w:val="20"/>
          <w:szCs w:val="20"/>
          <w:color w:val="auto"/>
        </w:rPr>
        <w:t>, must notify the Company accordingly.</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notification must state the nature of the transaction (purchase or sale) as a result of which the applicable threshold has been exceeded, as well as the total number of shares and voting rights held before and after the transaction.</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notification must be sent to the Company by registered letter (with acknowledgement of receipt requested) to the registered office </w:t>
      </w:r>
      <w:r>
        <w:rPr>
          <w:rFonts w:ascii="Times New Roman" w:cs="Times New Roman" w:eastAsia="Times New Roman" w:hAnsi="Times New Roman"/>
          <w:sz w:val="20"/>
          <w:szCs w:val="20"/>
          <w:u w:val="single" w:color="auto"/>
          <w:color w:val="auto"/>
        </w:rPr>
        <w:t>before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close of trading on the fourth trading day</w:t>
      </w:r>
      <w:r>
        <w:rPr>
          <w:rFonts w:ascii="Times New Roman" w:cs="Times New Roman" w:eastAsia="Times New Roman" w:hAnsi="Times New Roman"/>
          <w:sz w:val="20"/>
          <w:szCs w:val="20"/>
          <w:color w:val="auto"/>
        </w:rPr>
        <w:t xml:space="preserve"> after the date on which the shareholding threshold was exceeded.</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this obligation is not fulfilled, the person concerned may forfeit the voting rights attached to the number of shares over and above the percentage not notified as required, for any general shareholders’ meeting held within two years of the date a notification is made in accordance with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6459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7" w:lineRule="exact"/>
        <w:rPr>
          <w:sz w:val="20"/>
          <w:szCs w:val="20"/>
          <w:color w:val="auto"/>
        </w:rPr>
      </w:pPr>
    </w:p>
    <w:p>
      <w:pPr>
        <w:ind w:left="100" w:hanging="92"/>
        <w:spacing w:after="0"/>
        <w:tabs>
          <w:tab w:leader="none" w:pos="100" w:val="left"/>
        </w:tabs>
        <w:numPr>
          <w:ilvl w:val="0"/>
          <w:numId w:val="2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Article L. 22-10-59 of the French Commercial Code.</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Notifications made by Persons Discharging Managerial Responsibilities and persons closely associated to them</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Persons Discharging Managerial Responsibilities and persons closely associated to them </w:t>
      </w:r>
      <w:r>
        <w:rPr>
          <w:rFonts w:ascii="Times New Roman" w:cs="Times New Roman" w:eastAsia="Times New Roman" w:hAnsi="Times New Roman"/>
          <w:sz w:val="20"/>
          <w:szCs w:val="20"/>
          <w:color w:val="auto"/>
        </w:rPr>
        <w:t>(Persons Closely Associated)</w:t>
      </w:r>
      <w:r>
        <w:rPr>
          <w:rFonts w:ascii="Times New Roman" w:cs="Times New Roman" w:eastAsia="Times New Roman" w:hAnsi="Times New Roman"/>
          <w:sz w:val="20"/>
          <w:szCs w:val="20"/>
          <w:b w:val="1"/>
          <w:bCs w:val="1"/>
          <w:color w:val="auto"/>
        </w:rPr>
        <w:t xml:space="preserve"> are required to notify </w:t>
      </w:r>
      <w:r>
        <w:rPr>
          <w:rFonts w:ascii="Times New Roman" w:cs="Times New Roman" w:eastAsia="Times New Roman" w:hAnsi="Times New Roman"/>
          <w:sz w:val="20"/>
          <w:szCs w:val="20"/>
          <w:color w:val="auto"/>
        </w:rPr>
        <w:t>the Company and the AMF, by e-mail, of</w:t>
      </w:r>
      <w:r>
        <w:rPr>
          <w:rFonts w:ascii="Times New Roman" w:cs="Times New Roman" w:eastAsia="Times New Roman" w:hAnsi="Times New Roman"/>
          <w:sz w:val="20"/>
          <w:szCs w:val="20"/>
          <w:b w:val="1"/>
          <w:bCs w:val="1"/>
          <w:color w:val="auto"/>
        </w:rPr>
        <w:t xml:space="preserve"> any Transaction executed by them or by a third party acting on their behalf in the Company’s Financial Instruments </w:t>
      </w:r>
      <w:r>
        <w:rPr>
          <w:rFonts w:ascii="Times New Roman" w:cs="Times New Roman" w:eastAsia="Times New Roman" w:hAnsi="Times New Roman"/>
          <w:sz w:val="20"/>
          <w:szCs w:val="20"/>
          <w:color w:val="auto"/>
        </w:rPr>
        <w:t>(as listed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Annex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Code),</w:t>
      </w:r>
      <w:r>
        <w:rPr>
          <w:rFonts w:ascii="Times New Roman" w:cs="Times New Roman" w:eastAsia="Times New Roman" w:hAnsi="Times New Roman"/>
          <w:sz w:val="20"/>
          <w:szCs w:val="20"/>
          <w:b w:val="1"/>
          <w:bCs w:val="1"/>
          <w:color w:val="auto"/>
        </w:rPr>
        <w:t xml:space="preserve"> within three business days </w:t>
      </w:r>
      <w:r>
        <w:rPr>
          <w:rFonts w:ascii="Times New Roman" w:cs="Times New Roman" w:eastAsia="Times New Roman" w:hAnsi="Times New Roman"/>
          <w:sz w:val="20"/>
          <w:szCs w:val="20"/>
          <w:color w:val="auto"/>
        </w:rPr>
        <w:t>following the date of the Transaction,</w:t>
      </w:r>
      <w:r>
        <w:rPr>
          <w:rFonts w:ascii="Times New Roman" w:cs="Times New Roman" w:eastAsia="Times New Roman" w:hAnsi="Times New Roman"/>
          <w:sz w:val="20"/>
          <w:szCs w:val="20"/>
          <w:b w:val="1"/>
          <w:bCs w:val="1"/>
          <w:color w:val="auto"/>
        </w:rPr>
        <w:t xml:space="preserve"> if the total amount of the Transactions executed in the relevant calendar year exceeds €50,000</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It is not necessary to combine Transactions executed by Persons Discharging Managerial Responsibilities and Transactions executed by Persons Closely Associated to them in order to calculate this threshold.</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notification must be sent to the AMF within the above time limit, exclusively in electronic format, via an extranet system called “ONDE”, which is accessible on the AMF’s website at the following address: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472C4"/>
        </w:rPr>
        <w:t>https://onde.amf-france.org/RemiseInformationEmetteur/Client/PTRemiseInformationEmetteur.aspx</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filing of information with the AMF via ONDE requires the use of an account and associated login details. Such details can be obtained by creating an account at the above address. Notifications may be sent by a third party on behalf of the persons required to make them. The identity of the third party must be clearly stated in the notification accessible on the AMF’s website.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 must be completed under the responsibility of the person making them and are not examined by the AMF prior to publication.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Notifications may be examined by the AMF in the future and are made public by the AMF.</w:t>
      </w:r>
    </w:p>
    <w:p>
      <w:pPr>
        <w:spacing w:after="0" w:line="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Notifications made by Persons Discharging Managerial Responsibilities and Persons Closely Associated to them must also be sent to the Company within the same timeframe.</w:t>
      </w:r>
    </w:p>
    <w:p>
      <w:pPr>
        <w:spacing w:after="0" w:line="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Persons Discharging Managerial Responsibilities must send the Company, and update, if necessary, a list of the Persons Closely Associated to them. They are also required to notify the Persons Closely Associated to them in writing of their notification obligations and to keep a copy of that notice.</w:t>
      </w:r>
    </w:p>
    <w:p>
      <w:pPr>
        <w:spacing w:after="0" w:line="69"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this Code</w:t>
      </w:r>
    </w:p>
    <w:p>
      <w:pPr>
        <w:spacing w:after="0" w:line="22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Point of Contact</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Point of Contact oversees compliance with this Code, on the understanding that each Permanent and Occasional Insider is ultimately responsible for complying with the applicable regulations.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context of his work, the Point of Contact is notably responsible for:</w:t>
      </w:r>
    </w:p>
    <w:p>
      <w:pPr>
        <w:spacing w:after="0" w:line="121" w:lineRule="exact"/>
        <w:rPr>
          <w:sz w:val="20"/>
          <w:szCs w:val="20"/>
          <w:color w:val="auto"/>
        </w:rPr>
      </w:pPr>
    </w:p>
    <w:p>
      <w:pPr>
        <w:ind w:left="660" w:hanging="328"/>
        <w:spacing w:after="0" w:line="283" w:lineRule="auto"/>
        <w:tabs>
          <w:tab w:leader="none" w:pos="65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informing Permanent and Occasional Insiders in advance of Blackout Periods resulting from the publication of the Company’s financial information, according to the specified annual publication dates;</w:t>
      </w:r>
    </w:p>
    <w:p>
      <w:pPr>
        <w:spacing w:after="0" w:line="3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receiving notifications made pursuant to the notification obligations referred to in Section 5 above;</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informing the Company’s Board of Directors as soon as possible of any breach of this Code and of market regulations;</w:t>
      </w:r>
    </w:p>
    <w:p>
      <w:pPr>
        <w:spacing w:after="0" w:line="103"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drawing up a list of Insiders, in the standard form attached as </w:t>
      </w:r>
      <w:r>
        <w:rPr>
          <w:rFonts w:ascii="Times New Roman" w:cs="Times New Roman" w:eastAsia="Times New Roman" w:hAnsi="Times New Roman"/>
          <w:sz w:val="20"/>
          <w:szCs w:val="20"/>
          <w:b w:val="1"/>
          <w:bCs w:val="1"/>
          <w:u w:val="single" w:color="auto"/>
          <w:color w:val="auto"/>
        </w:rPr>
        <w:t>Annex 2</w:t>
      </w:r>
      <w:r>
        <w:rPr>
          <w:rFonts w:ascii="Times New Roman" w:cs="Times New Roman" w:eastAsia="Times New Roman" w:hAnsi="Times New Roman"/>
          <w:sz w:val="20"/>
          <w:szCs w:val="20"/>
          <w:color w:val="auto"/>
        </w:rPr>
        <w:t xml:space="preserve"> to this Code, based on the information provided to him, ensuring that the list is kept up to date, sending it to the AMF upon request and keeping it for five years from the date it was drawn up and updated;</w:t>
      </w:r>
    </w:p>
    <w:p>
      <w:pPr>
        <w:spacing w:after="0" w:line="7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informing Insiders of their inclusion in each section of the above list;</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54" w:lineRule="exact"/>
        <w:rPr>
          <w:sz w:val="20"/>
          <w:szCs w:val="20"/>
          <w:color w:val="auto"/>
        </w:rPr>
      </w:pPr>
    </w:p>
    <w:p>
      <w:pPr>
        <w:ind w:left="660" w:hanging="328"/>
        <w:spacing w:after="0" w:line="283" w:lineRule="auto"/>
        <w:tabs>
          <w:tab w:leader="none" w:pos="65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 up and keeping up to date a list of Persons Discharging Managerial Responsibilities and Persons Closely Associated to them, based on the information provided to him; and</w:t>
      </w:r>
    </w:p>
    <w:p>
      <w:pPr>
        <w:spacing w:after="0" w:line="3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upon request, an advisory opinion prior to any Transaction in the Company’s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performance of his work, the Point of Contact may, at his discretion, be assisted by the Company’s external legal adviser.</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opinion given by the Point of Contact will be given solely in an advisory capacity, as the person concerned is ultimately responsible for deciding whether to execute a Transaction in the Company’s Financial Instruments. Sanctions could be imposed on the person concerned if they fail to fulfil their statutory obligations, irrespective of the opinion of the Point of Contact.</w:t>
      </w:r>
    </w:p>
    <w:p>
      <w:pPr>
        <w:spacing w:after="0" w:line="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Information obligations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ensure compliance with this Code within the Company, you must take steps to prevent a breach of the Code, in particular by:</w:t>
      </w:r>
    </w:p>
    <w:p>
      <w:pPr>
        <w:spacing w:after="0" w:line="108" w:lineRule="exact"/>
        <w:rPr>
          <w:sz w:val="20"/>
          <w:szCs w:val="20"/>
          <w:color w:val="auto"/>
        </w:rPr>
      </w:pPr>
    </w:p>
    <w:p>
      <w:pPr>
        <w:jc w:val="both"/>
        <w:ind w:left="660" w:hanging="328"/>
        <w:spacing w:after="0" w:line="268" w:lineRule="auto"/>
        <w:tabs>
          <w:tab w:leader="none" w:pos="65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informing the Point of Contact of any project, which has not yet been made public and which could inherently constitute Inside Information and, in such scenario, providing him or having a third party provide him with a list of the persons informed as the project progresses;</w:t>
      </w:r>
    </w:p>
    <w:p>
      <w:pPr>
        <w:spacing w:after="0" w:line="53" w:lineRule="exact"/>
        <w:rPr>
          <w:rFonts w:ascii="Times New Roman" w:cs="Times New Roman" w:eastAsia="Times New Roman" w:hAnsi="Times New Roman"/>
          <w:sz w:val="20"/>
          <w:szCs w:val="20"/>
          <w:color w:val="auto"/>
        </w:rPr>
      </w:pPr>
    </w:p>
    <w:p>
      <w:pPr>
        <w:ind w:left="660" w:hanging="328"/>
        <w:spacing w:after="0" w:line="283" w:lineRule="auto"/>
        <w:tabs>
          <w:tab w:leader="none" w:pos="65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all employees and third parties who work on sensitive matters or matters involving Inside Information sign a non-disclosure letter drawn up in agreement with the Point of Contact;</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5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informing the Members of Abivax who work on sensitive matters of the existence and content of this Code and having them sign a letter in which they agree to comply with this Code;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notifying the Point of Contact if any Inside Information has been transmitted to a person not included on an insider list.</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case of doubt, you are reminded that you must seek advice from the Point of Contact on the type of transactions you are planning to carry out in the Financial Instruments and seek his advice in advance.</w:t>
      </w:r>
    </w:p>
    <w:p>
      <w:pPr>
        <w:spacing w:after="0" w:line="3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Please also be aware that these preventive measures will not exempt you in any circumstances from criminal liability if an infringement is observed.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this Code, the Company will also provide regular training on the topic of Insider Dealing.</w:t>
      </w:r>
    </w:p>
    <w:p>
      <w:pPr>
        <w:spacing w:after="0" w:line="347"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Sanctions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Persons who do not comply with the rules relating to the use and disclosure of Inside Information risk, either administrative penalties handed down by the AMF and the SEC, or criminal penalties handed down by the French or American federal judicial authorities, as well as disciplinary sanctions within the Company.</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French criminal sanctions for insider dealing</w:t>
      </w:r>
    </w:p>
    <w:p>
      <w:pPr>
        <w:spacing w:after="0" w:line="1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 xml:space="preserve">Insider Dealing carries a penalty of </w:t>
      </w:r>
      <w:r>
        <w:rPr>
          <w:rFonts w:ascii="Times New Roman" w:cs="Times New Roman" w:eastAsia="Times New Roman" w:hAnsi="Times New Roman"/>
          <w:sz w:val="20"/>
          <w:szCs w:val="20"/>
          <w:b w:val="1"/>
          <w:bCs w:val="1"/>
          <w:color w:val="auto"/>
        </w:rPr>
        <w:t>five years’ imprisonment and a fine of €100 million</w:t>
      </w:r>
      <w:r>
        <w:rPr>
          <w:rFonts w:ascii="Times New Roman" w:cs="Times New Roman" w:eastAsia="Times New Roman" w:hAnsi="Times New Roman"/>
          <w:sz w:val="20"/>
          <w:szCs w:val="20"/>
          <w:color w:val="auto"/>
        </w:rPr>
        <w:t xml:space="preserve">. The fine may be increased to </w:t>
      </w:r>
      <w:r>
        <w:rPr>
          <w:rFonts w:ascii="Times New Roman" w:cs="Times New Roman" w:eastAsia="Times New Roman" w:hAnsi="Times New Roman"/>
          <w:sz w:val="20"/>
          <w:szCs w:val="20"/>
          <w:b w:val="1"/>
          <w:bCs w:val="1"/>
          <w:color w:val="auto"/>
        </w:rPr>
        <w:t>ten times the illegal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gain </w:t>
      </w:r>
      <w:r>
        <w:rPr>
          <w:rFonts w:ascii="Times New Roman" w:cs="Times New Roman" w:eastAsia="Times New Roman" w:hAnsi="Times New Roman"/>
          <w:sz w:val="20"/>
          <w:szCs w:val="20"/>
          <w:color w:val="auto"/>
        </w:rPr>
        <w:t>and will not be less than the amount of such illegal gain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The fine imposed on legal persons is capped at the higher of the following: </w:t>
      </w:r>
      <w:r>
        <w:rPr>
          <w:rFonts w:ascii="Times New Roman" w:cs="Times New Roman" w:eastAsia="Times New Roman" w:hAnsi="Times New Roman"/>
          <w:sz w:val="20"/>
          <w:szCs w:val="20"/>
          <w:b w:val="1"/>
          <w:bCs w:val="1"/>
          <w:color w:val="auto"/>
        </w:rPr>
        <w:t>€500 million, ten times the amount of the illegal gain or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consolidated turnover</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French administrative sanctions for insider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6459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1" w:lineRule="exact"/>
        <w:rPr>
          <w:sz w:val="20"/>
          <w:szCs w:val="20"/>
          <w:color w:val="auto"/>
        </w:rPr>
      </w:pPr>
    </w:p>
    <w:p>
      <w:pPr>
        <w:ind w:left="100" w:hanging="92"/>
        <w:spacing w:after="0"/>
        <w:tabs>
          <w:tab w:leader="none" w:pos="100" w:val="left"/>
        </w:tabs>
        <w:numPr>
          <w:ilvl w:val="0"/>
          <w:numId w:val="2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French Monetary and Financial Code, Articles L. 465-1 to L. 465-3.</w:t>
      </w:r>
    </w:p>
    <w:p>
      <w:pPr>
        <w:spacing w:after="0" w:line="164" w:lineRule="exact"/>
        <w:rPr>
          <w:sz w:val="20"/>
          <w:szCs w:val="20"/>
          <w:color w:val="auto"/>
        </w:rPr>
      </w:pPr>
    </w:p>
    <w:p>
      <w:pPr>
        <w:ind w:left="100" w:hanging="92"/>
        <w:spacing w:after="0"/>
        <w:tabs>
          <w:tab w:leader="none" w:pos="100" w:val="left"/>
        </w:tabs>
        <w:numPr>
          <w:ilvl w:val="0"/>
          <w:numId w:val="2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French Monetary and Financial Code, Article L. 465-3-5.</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Insider Dealing may carry a fine of </w:t>
      </w:r>
      <w:r>
        <w:rPr>
          <w:rFonts w:ascii="Times New Roman" w:cs="Times New Roman" w:eastAsia="Times New Roman" w:hAnsi="Times New Roman"/>
          <w:sz w:val="20"/>
          <w:szCs w:val="20"/>
          <w:b w:val="1"/>
          <w:bCs w:val="1"/>
          <w:color w:val="auto"/>
        </w:rPr>
        <w:t>€100 million</w:t>
      </w:r>
      <w:r>
        <w:rPr>
          <w:rFonts w:ascii="Times New Roman" w:cs="Times New Roman" w:eastAsia="Times New Roman" w:hAnsi="Times New Roman"/>
          <w:sz w:val="20"/>
          <w:szCs w:val="20"/>
          <w:color w:val="auto"/>
        </w:rPr>
        <w:t xml:space="preserve">, which may be increased to </w:t>
      </w:r>
      <w:r>
        <w:rPr>
          <w:rFonts w:ascii="Times New Roman" w:cs="Times New Roman" w:eastAsia="Times New Roman" w:hAnsi="Times New Roman"/>
          <w:sz w:val="20"/>
          <w:szCs w:val="20"/>
          <w:b w:val="1"/>
          <w:bCs w:val="1"/>
          <w:color w:val="auto"/>
        </w:rPr>
        <w:t>ten times the illegal gain if this can be established</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fine imposed on legal persons may be increased to </w:t>
      </w:r>
      <w:r>
        <w:rPr>
          <w:rFonts w:ascii="Times New Roman" w:cs="Times New Roman" w:eastAsia="Times New Roman" w:hAnsi="Times New Roman"/>
          <w:sz w:val="20"/>
          <w:szCs w:val="20"/>
          <w:b w:val="1"/>
          <w:bCs w:val="1"/>
          <w:color w:val="auto"/>
        </w:rPr>
        <w:t>15% of the legal person’s consolidated turnover</w:t>
      </w:r>
      <w:r>
        <w:rPr>
          <w:rFonts w:ascii="Times New Roman" w:cs="Times New Roman" w:eastAsia="Times New Roman" w:hAnsi="Times New Roman"/>
          <w:sz w:val="25"/>
          <w:szCs w:val="25"/>
          <w:b w:val="1"/>
          <w:bCs w:val="1"/>
          <w:color w:val="auto"/>
          <w:vertAlign w:val="superscript"/>
        </w:rPr>
        <w:t>7</w:t>
      </w:r>
      <w:r>
        <w:rPr>
          <w:rFonts w:ascii="Times New Roman" w:cs="Times New Roman" w:eastAsia="Times New Roman" w:hAnsi="Times New Roman"/>
          <w:sz w:val="20"/>
          <w:szCs w:val="20"/>
          <w:color w:val="auto"/>
        </w:rPr>
        <w:t>.</w:t>
      </w:r>
    </w:p>
    <w:p>
      <w:pPr>
        <w:spacing w:after="0" w:line="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Disciplinary sanctions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violation of this Policy and of these rules or the law on insider trading or insider misconduct by a Member of Abivax, Permanent Insider, Occasional Insider, or Person Discharging Managerial Responsibilities (including Persons Closely Associated, in each case), may lead to measures up to the dismissal or discharge of the person concerned.</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commission of insider trading or insider misconduct is the responsibility of the one who commits it. Abivax may not be held liable in place of the person who committed such an act. In this regard, the Company is not intended to assume the fines to which its collaborators may be liable.</w:t>
      </w:r>
    </w:p>
    <w:p>
      <w:pPr>
        <w:spacing w:after="0" w:line="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Anyone found in violation of the information contained in this Policy or having knowledge of the commission of such an offence by another person, must immediately inform the Point of Contact, who will take all appropriate measures internally and in relation to the market authorities.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6459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4" w:lineRule="exact"/>
        <w:rPr>
          <w:sz w:val="20"/>
          <w:szCs w:val="20"/>
          <w:color w:val="auto"/>
        </w:rPr>
      </w:pPr>
    </w:p>
    <w:p>
      <w:pPr>
        <w:ind w:left="100" w:hanging="92"/>
        <w:spacing w:after="0"/>
        <w:tabs>
          <w:tab w:leader="none" w:pos="100" w:val="left"/>
        </w:tabs>
        <w:numPr>
          <w:ilvl w:val="0"/>
          <w:numId w:val="2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French Monetary and Financial Code, Article L. 621-15 III c).</w:t>
      </w:r>
    </w:p>
    <w:p>
      <w:pPr>
        <w:spacing w:after="0" w:line="164" w:lineRule="exact"/>
        <w:rPr>
          <w:sz w:val="20"/>
          <w:szCs w:val="20"/>
          <w:color w:val="auto"/>
        </w:rPr>
      </w:pPr>
    </w:p>
    <w:p>
      <w:pPr>
        <w:ind w:left="100" w:hanging="92"/>
        <w:spacing w:after="0"/>
        <w:tabs>
          <w:tab w:leader="none" w:pos="100"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French Monetary and Financial Code, Article L. 621-15 III </w:t>
      </w:r>
      <w:r>
        <w:rPr>
          <w:rFonts w:ascii="Times New Roman" w:cs="Times New Roman" w:eastAsia="Times New Roman" w:hAnsi="Times New Roman"/>
          <w:sz w:val="16"/>
          <w:szCs w:val="16"/>
          <w:i w:val="1"/>
          <w:iCs w:val="1"/>
          <w:color w:val="auto"/>
        </w:rPr>
        <w:t>bis</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40"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20"/>
          <w:szCs w:val="20"/>
          <w:b w:val="1"/>
          <w:bCs w:val="1"/>
          <w:color w:val="auto"/>
        </w:rPr>
        <w:t>Letter of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All Insiders and other recipients of this Code must complete and sign this letter and send it to Mr Didier Blondel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the undersigned,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first name, surname and position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read Abivax’s Code of Market Conduct and agree to comply with the Code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9"/>
          <w:szCs w:val="19"/>
          <w:color w:val="auto"/>
        </w:rPr>
        <w:t>Place: ……………………. Date:…………………….</w:t>
      </w:r>
    </w:p>
    <w:p>
      <w:pPr>
        <w:sectPr>
          <w:pgSz w:w="11900" w:h="16838" w:orient="portrait"/>
          <w:cols w:equalWidth="0" w:num="1">
            <w:col w:w="11240"/>
          </w:cols>
          <w:pgMar w:left="320" w:top="1382" w:right="339" w:bottom="1440" w:gutter="0" w:footer="0" w:header="0"/>
        </w:sectPr>
      </w:pPr>
    </w:p>
    <w:bookmarkStart w:id="279" w:name="page280"/>
    <w:bookmarkEnd w:id="279"/>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Annex 1</w:t>
      </w:r>
      <w:r>
        <w:rPr>
          <w:rFonts w:ascii="Times New Roman" w:cs="Times New Roman" w:eastAsia="Times New Roman" w:hAnsi="Times New Roman"/>
          <w:sz w:val="20"/>
          <w:szCs w:val="20"/>
          <w:b w:val="1"/>
          <w:bCs w:val="1"/>
          <w:color w:val="auto"/>
        </w:rPr>
        <w:t>: Definitions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purposes of this Code, capitalised terms and expressions shall have the following meaning:</w:t>
      </w:r>
    </w:p>
    <w:p>
      <w:pPr>
        <w:sectPr>
          <w:pgSz w:w="11900" w:h="16838" w:orient="portrait"/>
          <w:cols w:equalWidth="0" w:num="1">
            <w:col w:w="11180"/>
          </w:cols>
          <w:pgMar w:left="320" w:top="1382" w:right="39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AMF</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Corporate Officers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ESMA</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Inside Information</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Insider(s)</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Insider Dealing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Member(s) of Abivax</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Occasional Insider(s)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20"/>
          <w:szCs w:val="20"/>
          <w:color w:val="auto"/>
        </w:rPr>
        <w:t xml:space="preserve">means the </w:t>
      </w:r>
      <w:r>
        <w:rPr>
          <w:rFonts w:ascii="Times New Roman" w:cs="Times New Roman" w:eastAsia="Times New Roman" w:hAnsi="Times New Roman"/>
          <w:sz w:val="20"/>
          <w:szCs w:val="20"/>
          <w:i w:val="1"/>
          <w:iCs w:val="1"/>
          <w:color w:val="auto"/>
        </w:rPr>
        <w:t>Autorité des Marchés Financiers</w:t>
      </w:r>
      <w:r>
        <w:rPr>
          <w:rFonts w:ascii="Times New Roman" w:cs="Times New Roman" w:eastAsia="Times New Roman" w:hAnsi="Times New Roman"/>
          <w:sz w:val="20"/>
          <w:szCs w:val="20"/>
          <w:color w:val="auto"/>
        </w:rPr>
        <w:t xml:space="preserve"> (the French Financial Markets Authority).</w:t>
      </w:r>
    </w:p>
    <w:p>
      <w:pPr>
        <w:spacing w:after="0" w:line="193"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has the meaning ascribed to it in Section 4.2 of this Code.</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means the members of the Board of Directors.</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means the European Securities and Markets Authority.</w:t>
      </w:r>
    </w:p>
    <w:p>
      <w:pPr>
        <w:spacing w:after="0" w:line="310" w:lineRule="exact"/>
        <w:rPr>
          <w:sz w:val="20"/>
          <w:szCs w:val="20"/>
          <w:color w:val="auto"/>
        </w:rPr>
      </w:pPr>
    </w:p>
    <w:p>
      <w:pPr>
        <w:ind w:left="65"/>
        <w:spacing w:after="0"/>
        <w:rPr>
          <w:sz w:val="20"/>
          <w:szCs w:val="20"/>
          <w:color w:val="auto"/>
        </w:rPr>
      </w:pPr>
      <w:r>
        <w:rPr>
          <w:rFonts w:ascii="Times New Roman" w:cs="Times New Roman" w:eastAsia="Times New Roman" w:hAnsi="Times New Roman"/>
          <w:sz w:val="20"/>
          <w:szCs w:val="20"/>
          <w:color w:val="auto"/>
        </w:rPr>
        <w:t>means:</w:t>
      </w:r>
    </w:p>
    <w:p>
      <w:pPr>
        <w:spacing w:after="0" w:line="121" w:lineRule="exact"/>
        <w:rPr>
          <w:sz w:val="20"/>
          <w:szCs w:val="20"/>
          <w:color w:val="auto"/>
        </w:rPr>
      </w:pPr>
    </w:p>
    <w:p>
      <w:pPr>
        <w:jc w:val="both"/>
        <w:ind w:left="705" w:hanging="705"/>
        <w:spacing w:after="0" w:line="281" w:lineRule="auto"/>
        <w:tabs>
          <w:tab w:leader="none" w:pos="701"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shares, bonds and transferable securities issued or to be issued by the Company, including founders’ warrants (</w:t>
      </w:r>
      <w:r>
        <w:rPr>
          <w:rFonts w:ascii="Times New Roman" w:cs="Times New Roman" w:eastAsia="Times New Roman" w:hAnsi="Times New Roman"/>
          <w:sz w:val="19"/>
          <w:szCs w:val="19"/>
          <w:i w:val="1"/>
          <w:iCs w:val="1"/>
          <w:color w:val="auto"/>
        </w:rPr>
        <w:t>bons de souscription de parts de créateur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d’entreprise</w:t>
      </w:r>
      <w:r>
        <w:rPr>
          <w:rFonts w:ascii="Times New Roman" w:cs="Times New Roman" w:eastAsia="Times New Roman" w:hAnsi="Times New Roman"/>
          <w:sz w:val="19"/>
          <w:szCs w:val="19"/>
          <w:color w:val="auto"/>
        </w:rPr>
        <w:t>), share warrants (</w:t>
      </w:r>
      <w:r>
        <w:rPr>
          <w:rFonts w:ascii="Times New Roman" w:cs="Times New Roman" w:eastAsia="Times New Roman" w:hAnsi="Times New Roman"/>
          <w:sz w:val="19"/>
          <w:szCs w:val="19"/>
          <w:i w:val="1"/>
          <w:iCs w:val="1"/>
          <w:color w:val="auto"/>
        </w:rPr>
        <w:t>bons de souscription d’actions</w:t>
      </w:r>
      <w:r>
        <w:rPr>
          <w:rFonts w:ascii="Times New Roman" w:cs="Times New Roman" w:eastAsia="Times New Roman" w:hAnsi="Times New Roman"/>
          <w:sz w:val="19"/>
          <w:szCs w:val="19"/>
          <w:color w:val="auto"/>
        </w:rPr>
        <w:t>) and free shares;</w:t>
      </w:r>
    </w:p>
    <w:p>
      <w:pPr>
        <w:spacing w:after="0" w:line="56" w:lineRule="exact"/>
        <w:rPr>
          <w:rFonts w:ascii="Times New Roman" w:cs="Times New Roman" w:eastAsia="Times New Roman" w:hAnsi="Times New Roman"/>
          <w:sz w:val="19"/>
          <w:szCs w:val="19"/>
          <w:color w:val="auto"/>
        </w:rPr>
      </w:pPr>
    </w:p>
    <w:p>
      <w:pPr>
        <w:ind w:left="705" w:right="20" w:hanging="705"/>
        <w:spacing w:after="0" w:line="269" w:lineRule="auto"/>
        <w:tabs>
          <w:tab w:leader="none" w:pos="70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that may be separated from the securities referred to in point (i), particularly preferential subscription and allotment rights;</w:t>
      </w:r>
    </w:p>
    <w:p>
      <w:pPr>
        <w:spacing w:after="0" w:line="64" w:lineRule="exact"/>
        <w:rPr>
          <w:rFonts w:ascii="Times New Roman" w:cs="Times New Roman" w:eastAsia="Times New Roman" w:hAnsi="Times New Roman"/>
          <w:sz w:val="20"/>
          <w:szCs w:val="20"/>
          <w:color w:val="auto"/>
        </w:rPr>
      </w:pPr>
    </w:p>
    <w:p>
      <w:pPr>
        <w:jc w:val="both"/>
        <w:ind w:left="705" w:right="20" w:hanging="705"/>
        <w:spacing w:after="0" w:line="258" w:lineRule="auto"/>
        <w:tabs>
          <w:tab w:leader="none" w:pos="70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or financial instrument linked to the rights or securities referred to in points (i) and (ii) above, particularly securities that give access to the Company’s share capital and futures (including equivalent cash-settled instruments, swaps and options, including stock options in particular).</w:t>
      </w:r>
    </w:p>
    <w:p>
      <w:pPr>
        <w:spacing w:after="0" w:line="132"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has the meaning ascribed to in Section 2 of this Code.</w:t>
      </w:r>
    </w:p>
    <w:p>
      <w:pPr>
        <w:spacing w:after="0" w:line="216" w:lineRule="exact"/>
        <w:rPr>
          <w:sz w:val="20"/>
          <w:szCs w:val="20"/>
          <w:color w:val="auto"/>
        </w:rPr>
      </w:pPr>
    </w:p>
    <w:p>
      <w:pPr>
        <w:jc w:val="both"/>
        <w:ind w:left="5" w:right="60"/>
        <w:spacing w:after="0" w:line="297" w:lineRule="auto"/>
        <w:rPr>
          <w:sz w:val="20"/>
          <w:szCs w:val="20"/>
          <w:color w:val="auto"/>
        </w:rPr>
      </w:pPr>
      <w:r>
        <w:rPr>
          <w:rFonts w:ascii="Times New Roman" w:cs="Times New Roman" w:eastAsia="Times New Roman" w:hAnsi="Times New Roman"/>
          <w:sz w:val="20"/>
          <w:szCs w:val="20"/>
          <w:color w:val="auto"/>
        </w:rPr>
        <w:t>means any person who may or may not work for the Company, and who possesses Inside Information which concerns the Company.</w:t>
      </w:r>
    </w:p>
    <w:p>
      <w:pPr>
        <w:spacing w:after="0" w:line="1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has the meaning ascribed to it in Section 4 of this Code.</w:t>
      </w:r>
    </w:p>
    <w:p>
      <w:pPr>
        <w:spacing w:after="0" w:line="216" w:lineRule="exact"/>
        <w:rPr>
          <w:sz w:val="20"/>
          <w:szCs w:val="20"/>
          <w:color w:val="auto"/>
        </w:rPr>
      </w:pPr>
    </w:p>
    <w:p>
      <w:pPr>
        <w:jc w:val="both"/>
        <w:ind w:left="5" w:right="60"/>
        <w:spacing w:after="0" w:line="275" w:lineRule="auto"/>
        <w:rPr>
          <w:sz w:val="20"/>
          <w:szCs w:val="20"/>
          <w:color w:val="auto"/>
        </w:rPr>
      </w:pPr>
      <w:r>
        <w:rPr>
          <w:rFonts w:ascii="Times New Roman" w:cs="Times New Roman" w:eastAsia="Times New Roman" w:hAnsi="Times New Roman"/>
          <w:sz w:val="20"/>
          <w:szCs w:val="20"/>
          <w:color w:val="auto"/>
        </w:rPr>
        <w:t>means the Persons Discharging Managerial Responsibilities and any employee, including employees whose services are made available to another company and temporary employees, and any other agent of Abivax.</w:t>
      </w:r>
    </w:p>
    <w:p>
      <w:pPr>
        <w:spacing w:after="0" w:line="249" w:lineRule="exact"/>
        <w:rPr>
          <w:sz w:val="20"/>
          <w:szCs w:val="20"/>
          <w:color w:val="auto"/>
        </w:rPr>
      </w:pPr>
    </w:p>
    <w:p>
      <w:pPr>
        <w:ind w:left="65"/>
        <w:spacing w:after="0"/>
        <w:rPr>
          <w:sz w:val="20"/>
          <w:szCs w:val="20"/>
          <w:color w:val="auto"/>
        </w:rPr>
      </w:pPr>
      <w:r>
        <w:rPr>
          <w:rFonts w:ascii="Times New Roman" w:cs="Times New Roman" w:eastAsia="Times New Roman" w:hAnsi="Times New Roman"/>
          <w:sz w:val="20"/>
          <w:szCs w:val="20"/>
          <w:color w:val="auto"/>
        </w:rPr>
        <w:t>means persons who occasionally have access to Inside Information which concerns the</w:t>
      </w:r>
    </w:p>
    <w:p>
      <w:pPr>
        <w:spacing w:after="0" w:line="28" w:lineRule="exact"/>
        <w:rPr>
          <w:sz w:val="20"/>
          <w:szCs w:val="20"/>
          <w:color w:val="auto"/>
        </w:rPr>
      </w:pPr>
    </w:p>
    <w:p>
      <w:pPr>
        <w:ind w:left="65"/>
        <w:spacing w:after="0"/>
        <w:rPr>
          <w:sz w:val="20"/>
          <w:szCs w:val="20"/>
          <w:color w:val="auto"/>
        </w:rPr>
      </w:pPr>
      <w:r>
        <w:rPr>
          <w:rFonts w:ascii="Times New Roman" w:cs="Times New Roman" w:eastAsia="Times New Roman" w:hAnsi="Times New Roman"/>
          <w:sz w:val="20"/>
          <w:szCs w:val="20"/>
          <w:color w:val="auto"/>
        </w:rPr>
        <w:t>Company. These persons may belong to two categories:</w:t>
      </w:r>
    </w:p>
    <w:p>
      <w:pPr>
        <w:spacing w:after="0" w:line="92" w:lineRule="exact"/>
        <w:rPr>
          <w:sz w:val="20"/>
          <w:szCs w:val="20"/>
          <w:color w:val="auto"/>
        </w:rPr>
      </w:pPr>
    </w:p>
    <w:p>
      <w:pPr>
        <w:ind w:left="705" w:right="20" w:hanging="326"/>
        <w:spacing w:after="0" w:line="283" w:lineRule="auto"/>
        <w:tabs>
          <w:tab w:leader="none" w:pos="703"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within the Company, such as employees, who have access to Inside Information due, for example, to their involvement in a project or transaction;</w:t>
      </w:r>
    </w:p>
    <w:p>
      <w:pPr>
        <w:spacing w:after="0" w:line="186" w:lineRule="exact"/>
        <w:rPr>
          <w:rFonts w:ascii="Times New Roman" w:cs="Times New Roman" w:eastAsia="Times New Roman" w:hAnsi="Times New Roman"/>
          <w:sz w:val="20"/>
          <w:szCs w:val="20"/>
          <w:color w:val="auto"/>
        </w:rPr>
      </w:pPr>
    </w:p>
    <w:p>
      <w:pPr>
        <w:jc w:val="both"/>
        <w:ind w:left="705" w:hanging="326"/>
        <w:spacing w:after="0" w:line="253" w:lineRule="auto"/>
        <w:tabs>
          <w:tab w:leader="none" w:pos="703"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acting in the name or on behalf of the Company, who have access to Inside Information in the context of their business relationships with the Company at the time of preparation or performance of an occasional transaction, such as service providers, including lawyers and financing and investment banks, who, for example, work with the Company on a transaction or proposed transaction, or a communications agency appointed in respect of the transaction.</w:t>
      </w:r>
    </w:p>
    <w:p>
      <w:pPr>
        <w:sectPr>
          <w:pgSz w:w="11900" w:h="16838" w:orient="portrait"/>
          <w:cols w:equalWidth="0" w:num="2">
            <w:col w:w="3175" w:space="720"/>
            <w:col w:w="7285"/>
          </w:cols>
          <w:pgMar w:left="320" w:top="1382" w:right="399" w:bottom="1440" w:gutter="0" w:footer="0" w:header="0"/>
          <w:type w:val="continuous"/>
        </w:sectPr>
      </w:pPr>
    </w:p>
    <w:bookmarkStart w:id="280" w:name="page281"/>
    <w:bookmarkEnd w:id="280"/>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Permanent Insider(s)</w:t>
            </w:r>
          </w:p>
        </w:tc>
        <w:tc>
          <w:tcPr>
            <w:tcW w:w="8640" w:type="dxa"/>
            <w:vAlign w:val="bottom"/>
            <w:gridSpan w:val="2"/>
            <w:vMerge w:val="restart"/>
          </w:tcPr>
          <w:p>
            <w:pPr>
              <w:ind w:left="1420"/>
              <w:spacing w:after="0"/>
              <w:rPr>
                <w:sz w:val="20"/>
                <w:szCs w:val="20"/>
                <w:color w:val="auto"/>
              </w:rPr>
            </w:pPr>
            <w:r>
              <w:rPr>
                <w:rFonts w:ascii="Times New Roman" w:cs="Times New Roman" w:eastAsia="Times New Roman" w:hAnsi="Times New Roman"/>
                <w:sz w:val="20"/>
                <w:szCs w:val="20"/>
                <w:color w:val="auto"/>
              </w:rPr>
              <w:t>means all persons who, owing to the nature of their duties or position, have permanent</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40" w:type="dxa"/>
            <w:vAlign w:val="bottom"/>
            <w:gridSpan w:val="2"/>
          </w:tcPr>
          <w:p>
            <w:pPr>
              <w:ind w:left="1420"/>
              <w:spacing w:after="0"/>
              <w:rPr>
                <w:sz w:val="20"/>
                <w:szCs w:val="20"/>
                <w:color w:val="auto"/>
              </w:rPr>
            </w:pPr>
            <w:r>
              <w:rPr>
                <w:rFonts w:ascii="Times New Roman" w:cs="Times New Roman" w:eastAsia="Times New Roman" w:hAnsi="Times New Roman"/>
                <w:sz w:val="20"/>
                <w:szCs w:val="20"/>
                <w:color w:val="auto"/>
              </w:rPr>
              <w:t>access to Inside Information which concerns the Company</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399"/>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Persons Closely Associated</w:t>
            </w:r>
          </w:p>
        </w:tc>
        <w:tc>
          <w:tcPr>
            <w:tcW w:w="8640" w:type="dxa"/>
            <w:vAlign w:val="bottom"/>
            <w:gridSpan w:val="2"/>
            <w:vMerge w:val="restart"/>
          </w:tcPr>
          <w:p>
            <w:pPr>
              <w:ind w:left="1420"/>
              <w:spacing w:after="0"/>
              <w:rPr>
                <w:sz w:val="20"/>
                <w:szCs w:val="20"/>
                <w:color w:val="auto"/>
              </w:rPr>
            </w:pPr>
            <w:r>
              <w:rPr>
                <w:rFonts w:ascii="Times New Roman" w:cs="Times New Roman" w:eastAsia="Times New Roman" w:hAnsi="Times New Roman"/>
                <w:sz w:val="20"/>
                <w:szCs w:val="20"/>
                <w:color w:val="auto"/>
              </w:rPr>
              <w:t>means the persons who have close personal links to a Member of Abivax, namely:</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(i)</w:t>
            </w: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their spouse who shares the same household or their civil partner;</w:t>
            </w: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(ii)</w:t>
            </w: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children over whom they exercise parental authority or who live with them</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permanently or alternately, or for whom they are effectively and permanently</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responsible;</w:t>
            </w:r>
          </w:p>
        </w:tc>
        <w:tc>
          <w:tcPr>
            <w:tcW w:w="0" w:type="dxa"/>
            <w:vAlign w:val="bottom"/>
          </w:tcPr>
          <w:p>
            <w:pPr>
              <w:spacing w:after="0"/>
              <w:rPr>
                <w:sz w:val="1"/>
                <w:szCs w:val="1"/>
                <w:color w:val="auto"/>
              </w:rPr>
            </w:pPr>
          </w:p>
        </w:tc>
      </w:tr>
      <w:tr>
        <w:trPr>
          <w:trHeight w:val="336"/>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(iii)</w:t>
            </w: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blood relatives and relatives by marriage who have shared the same household for</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at least one year on the date of the transaction concerned;</w:t>
            </w: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(iv)</w:t>
            </w:r>
          </w:p>
        </w:tc>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persons, trusts or partnerships, the managerial responsibilities of which are</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discharged by them or by a person referred to in point (i), (ii) or (iii) above;</w:t>
            </w: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(v)</w:t>
            </w:r>
          </w:p>
        </w:tc>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persons, trusts or partnerships that are controlled, directly or indirectly, by</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them or by a person referred to in point (i), (ii) or (iii) above;</w:t>
            </w: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(vi)</w:t>
            </w:r>
          </w:p>
        </w:tc>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legal persons, trusts or partnerships that haven been incorporated or set up for their</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benefit or for the benefit of a person referred to in point (i), (ii) or (iii) above;</w:t>
            </w:r>
          </w:p>
        </w:tc>
        <w:tc>
          <w:tcPr>
            <w:tcW w:w="0" w:type="dxa"/>
            <w:vAlign w:val="bottom"/>
          </w:tcPr>
          <w:p>
            <w:pPr>
              <w:spacing w:after="0"/>
              <w:rPr>
                <w:sz w:val="1"/>
                <w:szCs w:val="1"/>
                <w:color w:val="auto"/>
              </w:rPr>
            </w:pPr>
          </w:p>
        </w:tc>
      </w:tr>
      <w:tr>
        <w:trPr>
          <w:trHeight w:val="322"/>
        </w:trPr>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(vii)</w:t>
            </w:r>
          </w:p>
        </w:tc>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legal persons, trusts or partnerships whose economic interests are substantially the</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same as their own or as those of a person referred to in point (i), (ii) or (iii) above.</w:t>
            </w:r>
          </w:p>
        </w:tc>
        <w:tc>
          <w:tcPr>
            <w:tcW w:w="0" w:type="dxa"/>
            <w:vAlign w:val="bottom"/>
          </w:tcPr>
          <w:p>
            <w:pPr>
              <w:spacing w:after="0"/>
              <w:rPr>
                <w:sz w:val="1"/>
                <w:szCs w:val="1"/>
                <w:color w:val="auto"/>
              </w:rPr>
            </w:pPr>
          </w:p>
        </w:tc>
      </w:tr>
      <w:tr>
        <w:trPr>
          <w:trHeight w:val="39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Persons</w:t>
            </w:r>
          </w:p>
        </w:tc>
        <w:tc>
          <w:tcPr>
            <w:tcW w:w="158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Discharging</w:t>
            </w:r>
          </w:p>
        </w:tc>
        <w:tc>
          <w:tcPr>
            <w:tcW w:w="86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Managerial  </w:t>
            </w:r>
            <w:r>
              <w:rPr>
                <w:rFonts w:ascii="Times New Roman" w:cs="Times New Roman" w:eastAsia="Times New Roman" w:hAnsi="Times New Roman"/>
                <w:sz w:val="20"/>
                <w:szCs w:val="20"/>
                <w:color w:val="auto"/>
              </w:rPr>
              <w:t>means Corporate Officers and Similar Persons.</w:t>
            </w:r>
          </w:p>
        </w:tc>
        <w:tc>
          <w:tcPr>
            <w:tcW w:w="0" w:type="dxa"/>
            <w:vAlign w:val="bottom"/>
          </w:tcPr>
          <w:p>
            <w:pPr>
              <w:spacing w:after="0"/>
              <w:rPr>
                <w:sz w:val="1"/>
                <w:szCs w:val="1"/>
                <w:color w:val="auto"/>
              </w:rPr>
            </w:pPr>
          </w:p>
        </w:tc>
      </w:tr>
      <w:tr>
        <w:trPr>
          <w:trHeight w:val="262"/>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Responsibilities</w:t>
            </w:r>
          </w:p>
        </w:tc>
        <w:tc>
          <w:tcPr>
            <w:tcW w:w="194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Point of Contact</w:t>
            </w:r>
          </w:p>
        </w:tc>
        <w:tc>
          <w:tcPr>
            <w:tcW w:w="8640" w:type="dxa"/>
            <w:vAlign w:val="bottom"/>
            <w:gridSpan w:val="2"/>
          </w:tcPr>
          <w:p>
            <w:pPr>
              <w:ind w:left="1360"/>
              <w:spacing w:after="0"/>
              <w:rPr>
                <w:sz w:val="20"/>
                <w:szCs w:val="20"/>
                <w:color w:val="auto"/>
              </w:rPr>
            </w:pPr>
            <w:r>
              <w:rPr>
                <w:rFonts w:ascii="Times New Roman" w:cs="Times New Roman" w:eastAsia="Times New Roman" w:hAnsi="Times New Roman"/>
                <w:sz w:val="20"/>
                <w:szCs w:val="20"/>
                <w:color w:val="auto"/>
              </w:rPr>
              <w:t>has the meaning ascribed to it in the Introduction and in Section 2.3 of this Code.</w:t>
            </w:r>
          </w:p>
        </w:tc>
        <w:tc>
          <w:tcPr>
            <w:tcW w:w="0" w:type="dxa"/>
            <w:vAlign w:val="bottom"/>
          </w:tcPr>
          <w:p>
            <w:pPr>
              <w:spacing w:after="0"/>
              <w:rPr>
                <w:sz w:val="1"/>
                <w:szCs w:val="1"/>
                <w:color w:val="auto"/>
              </w:rPr>
            </w:pPr>
          </w:p>
        </w:tc>
      </w:tr>
      <w:tr>
        <w:trPr>
          <w:trHeight w:val="430"/>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Similar Person(s)</w:t>
            </w:r>
          </w:p>
        </w:tc>
        <w:tc>
          <w:tcPr>
            <w:tcW w:w="8640" w:type="dxa"/>
            <w:vAlign w:val="bottom"/>
            <w:gridSpan w:val="2"/>
          </w:tcPr>
          <w:p>
            <w:pPr>
              <w:ind w:left="1360"/>
              <w:spacing w:after="0"/>
              <w:rPr>
                <w:sz w:val="20"/>
                <w:szCs w:val="20"/>
                <w:color w:val="auto"/>
              </w:rPr>
            </w:pPr>
            <w:r>
              <w:rPr>
                <w:rFonts w:ascii="Times New Roman" w:cs="Times New Roman" w:eastAsia="Times New Roman" w:hAnsi="Times New Roman"/>
                <w:sz w:val="20"/>
                <w:szCs w:val="20"/>
                <w:color w:val="auto"/>
              </w:rPr>
              <w:t>means any person similar to a Corporate Officer who, on the one hand, has the power</w:t>
            </w: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within</w:t>
            </w:r>
          </w:p>
        </w:tc>
        <w:tc>
          <w:tcPr>
            <w:tcW w:w="6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Company  to  make  management  decisions  concerning  the  Company’s</w:t>
            </w:r>
          </w:p>
        </w:tc>
        <w:tc>
          <w:tcPr>
            <w:tcW w:w="0" w:type="dxa"/>
            <w:vAlign w:val="bottom"/>
          </w:tcPr>
          <w:p>
            <w:pPr>
              <w:spacing w:after="0"/>
              <w:rPr>
                <w:sz w:val="1"/>
                <w:szCs w:val="1"/>
                <w:color w:val="auto"/>
              </w:rPr>
            </w:pPr>
          </w:p>
        </w:tc>
      </w:tr>
    </w:tbl>
    <w:p>
      <w:pPr>
        <w:ind w:left="3880" w:right="60"/>
        <w:spacing w:after="0" w:line="281" w:lineRule="auto"/>
        <w:rPr>
          <w:sz w:val="20"/>
          <w:szCs w:val="20"/>
          <w:color w:val="auto"/>
        </w:rPr>
      </w:pPr>
      <w:r>
        <w:rPr>
          <w:rFonts w:ascii="Times New Roman" w:cs="Times New Roman" w:eastAsia="Times New Roman" w:hAnsi="Times New Roman"/>
          <w:sz w:val="20"/>
          <w:szCs w:val="20"/>
          <w:color w:val="auto"/>
        </w:rPr>
        <w:t>development and strategy and who, on the other hand, has regular access to Inside Information which directly or indirectly concerns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Transaction</w:t>
            </w:r>
          </w:p>
        </w:tc>
        <w:tc>
          <w:tcPr>
            <w:tcW w:w="8660" w:type="dxa"/>
            <w:vAlign w:val="bottom"/>
            <w:vMerge w:val="restart"/>
          </w:tcPr>
          <w:p>
            <w:pPr>
              <w:ind w:left="1460"/>
              <w:spacing w:after="0"/>
              <w:rPr>
                <w:sz w:val="20"/>
                <w:szCs w:val="20"/>
                <w:color w:val="auto"/>
              </w:rPr>
            </w:pPr>
            <w:r>
              <w:rPr>
                <w:rFonts w:ascii="Times New Roman" w:cs="Times New Roman" w:eastAsia="Times New Roman" w:hAnsi="Times New Roman"/>
                <w:sz w:val="20"/>
                <w:szCs w:val="20"/>
                <w:color w:val="auto"/>
              </w:rPr>
              <w:t>means, in particular, any acquisition, disposal, subscription, exchange or conversion of</w:t>
            </w:r>
          </w:p>
        </w:tc>
        <w:tc>
          <w:tcPr>
            <w:tcW w:w="0" w:type="dxa"/>
            <w:vAlign w:val="bottom"/>
          </w:tcPr>
          <w:p>
            <w:pPr>
              <w:spacing w:after="0"/>
              <w:rPr>
                <w:sz w:val="1"/>
                <w:szCs w:val="1"/>
                <w:color w:val="auto"/>
              </w:rPr>
            </w:pPr>
          </w:p>
        </w:tc>
      </w:tr>
      <w:tr>
        <w:trPr>
          <w:trHeight w:val="79"/>
        </w:trPr>
        <w:tc>
          <w:tcPr>
            <w:tcW w:w="2480" w:type="dxa"/>
            <w:vAlign w:val="bottom"/>
          </w:tcPr>
          <w:p>
            <w:pPr>
              <w:spacing w:after="0"/>
              <w:rPr>
                <w:sz w:val="6"/>
                <w:szCs w:val="6"/>
                <w:color w:val="auto"/>
              </w:rPr>
            </w:pPr>
          </w:p>
        </w:tc>
        <w:tc>
          <w:tcPr>
            <w:tcW w:w="8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w w:val="99"/>
              </w:rPr>
              <w:t>Financial Instruments, immediately or in the future, on the market or over the counter, the</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entering into of an undertaking to acquire or dispose of Financial Instruments, any</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derivatives transaction for which the underlying assets are Financial Instruments, any</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hedging transaction that results in the acquisition or transfer of the economic risk</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w w:val="99"/>
              </w:rPr>
              <w:t>associated with Financial Instruments, which is executed directly or indirectly by a person</w:t>
            </w: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for their own account or for the account of a third party.</w:t>
            </w:r>
          </w:p>
        </w:tc>
        <w:tc>
          <w:tcPr>
            <w:tcW w:w="0" w:type="dxa"/>
            <w:vAlign w:val="bottom"/>
          </w:tcPr>
          <w:p>
            <w:pPr>
              <w:spacing w:after="0"/>
              <w:rPr>
                <w:sz w:val="1"/>
                <w:szCs w:val="1"/>
                <w:color w:val="auto"/>
              </w:rPr>
            </w:pPr>
          </w:p>
        </w:tc>
      </w:tr>
      <w:tr>
        <w:trPr>
          <w:trHeight w:val="322"/>
        </w:trPr>
        <w:tc>
          <w:tcPr>
            <w:tcW w:w="2480" w:type="dxa"/>
            <w:vAlign w:val="bottom"/>
          </w:tcPr>
          <w:p>
            <w:pPr>
              <w:spacing w:after="0"/>
              <w:rPr>
                <w:sz w:val="24"/>
                <w:szCs w:val="24"/>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The foregoing also applies to the exercise of stock options and the sale of securities</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w w:val="99"/>
              </w:rPr>
              <w:t>resulting from the exercise of stock options and, generally, all transactions covered by the</w:t>
            </w: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86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regulations in force.</w:t>
            </w:r>
          </w:p>
        </w:tc>
        <w:tc>
          <w:tcPr>
            <w:tcW w:w="0" w:type="dxa"/>
            <w:vAlign w:val="bottom"/>
          </w:tcPr>
          <w:p>
            <w:pPr>
              <w:spacing w:after="0"/>
              <w:rPr>
                <w:sz w:val="1"/>
                <w:szCs w:val="1"/>
                <w:color w:val="auto"/>
              </w:rPr>
            </w:pPr>
          </w:p>
        </w:tc>
      </w:tr>
    </w:tbl>
    <w:p>
      <w:pPr>
        <w:sectPr>
          <w:pgSz w:w="11900" w:h="16838" w:orient="portrait"/>
          <w:cols w:equalWidth="0" w:num="1">
            <w:col w:w="11160"/>
          </w:cols>
          <w:pgMar w:left="340" w:top="1440" w:right="399" w:bottom="1440" w:gutter="0" w:footer="0" w:header="0"/>
        </w:sectPr>
      </w:pPr>
    </w:p>
    <w:bookmarkStart w:id="281" w:name="page282"/>
    <w:bookmarkEnd w:id="281"/>
    <w:p>
      <w:pPr>
        <w:ind w:left="3660"/>
        <w:spacing w:after="0"/>
        <w:rPr>
          <w:sz w:val="20"/>
          <w:szCs w:val="20"/>
          <w:color w:val="auto"/>
        </w:rPr>
      </w:pPr>
      <w:r>
        <w:rPr>
          <w:rFonts w:ascii="Times New Roman" w:cs="Times New Roman" w:eastAsia="Times New Roman" w:hAnsi="Times New Roman"/>
          <w:sz w:val="20"/>
          <w:szCs w:val="20"/>
          <w:b w:val="1"/>
          <w:bCs w:val="1"/>
          <w:u w:val="single" w:color="auto"/>
          <w:color w:val="auto"/>
        </w:rPr>
        <w:t>Annex 2</w:t>
      </w:r>
      <w:r>
        <w:rPr>
          <w:rFonts w:ascii="Times New Roman" w:cs="Times New Roman" w:eastAsia="Times New Roman" w:hAnsi="Times New Roman"/>
          <w:sz w:val="20"/>
          <w:szCs w:val="20"/>
          <w:b w:val="1"/>
          <w:bCs w:val="1"/>
          <w:color w:val="auto"/>
        </w:rPr>
        <w:t>: Template sections of insider list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accordance with Commission Implementing Regulation (EU) 2016/347 of 10 March 2016 laying down implementing technical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standards with regard to the precise format of insider lists and for updating insider lists</w:t>
      </w:r>
    </w:p>
    <w:p>
      <w:pPr>
        <w:sectPr>
          <w:pgSz w:w="11900" w:h="16838" w:orient="portrait"/>
          <w:cols w:equalWidth="0" w:num="1">
            <w:col w:w="10780"/>
          </w:cols>
          <w:pgMar w:left="560" w:top="1382" w:right="559" w:bottom="1440" w:gutter="0" w:footer="0" w:header="0"/>
        </w:sectPr>
      </w:pPr>
    </w:p>
    <w:bookmarkStart w:id="282" w:name="page283"/>
    <w:bookmarkEnd w:id="282"/>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Annex 3</w:t>
      </w:r>
      <w:r>
        <w:rPr>
          <w:rFonts w:ascii="Times New Roman" w:cs="Times New Roman" w:eastAsia="Times New Roman" w:hAnsi="Times New Roman"/>
          <w:sz w:val="19"/>
          <w:szCs w:val="19"/>
          <w:b w:val="1"/>
          <w:bCs w:val="1"/>
          <w:color w:val="auto"/>
        </w:rPr>
        <w:t>: Form of blackout notice</w:t>
      </w:r>
    </w:p>
    <w:p>
      <w:pPr>
        <w:sectPr>
          <w:pgSz w:w="11900" w:h="16838" w:orient="portrait"/>
          <w:cols w:equalWidth="0" w:num="1">
            <w:col w:w="9019"/>
          </w:cols>
          <w:pgMar w:left="1440" w:top="1440"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9"/>
          <w:szCs w:val="19"/>
          <w:b w:val="1"/>
          <w:bCs w:val="1"/>
          <w:u w:val="single" w:color="auto"/>
          <w:color w:val="auto"/>
        </w:rPr>
        <w:t>Annex 4</w:t>
      </w:r>
      <w:r>
        <w:rPr>
          <w:rFonts w:ascii="Times New Roman" w:cs="Times New Roman" w:eastAsia="Times New Roman" w:hAnsi="Times New Roman"/>
          <w:sz w:val="19"/>
          <w:szCs w:val="19"/>
          <w:b w:val="1"/>
          <w:bCs w:val="1"/>
          <w:color w:val="auto"/>
        </w:rPr>
        <w:t>: Excerpt from Commission Delegated Regulation (EU) 2016/522 of 17 December 2015 supplementing Regulation (EU) No</w:t>
      </w:r>
    </w:p>
    <w:p>
      <w:pPr>
        <w:sectPr>
          <w:pgSz w:w="11900" w:h="16838" w:orient="portrait"/>
          <w:cols w:equalWidth="0" w:num="1">
            <w:col w:w="10980"/>
          </w:cols>
          <w:pgMar w:left="460" w:top="1382" w:right="459" w:bottom="1440" w:gutter="0" w:footer="0" w:header="0"/>
        </w:sectPr>
      </w:pPr>
    </w:p>
    <w:p>
      <w:pPr>
        <w:spacing w:after="0" w:line="44" w:lineRule="exact"/>
        <w:rPr>
          <w:sz w:val="20"/>
          <w:szCs w:val="20"/>
          <w:color w:val="auto"/>
        </w:rPr>
      </w:pPr>
    </w:p>
    <w:p>
      <w:pPr>
        <w:jc w:val="center"/>
        <w:ind w:left="200" w:right="220"/>
        <w:spacing w:after="0" w:line="253" w:lineRule="auto"/>
        <w:rPr>
          <w:sz w:val="20"/>
          <w:szCs w:val="20"/>
          <w:color w:val="auto"/>
        </w:rPr>
      </w:pPr>
      <w:r>
        <w:rPr>
          <w:rFonts w:ascii="Times New Roman" w:cs="Times New Roman" w:eastAsia="Times New Roman" w:hAnsi="Times New Roman"/>
          <w:sz w:val="20"/>
          <w:szCs w:val="20"/>
          <w:b w:val="1"/>
          <w:bCs w:val="1"/>
          <w:color w:val="auto"/>
        </w:rPr>
        <w:t>596/2014 of the European Parliament and of the Council as regards … the competent authority for notifications of delays, the permission for trading during closed periods and types of notifiable managers’ transactions</w:t>
      </w:r>
    </w:p>
    <w:p>
      <w:pPr>
        <w:sectPr>
          <w:pgSz w:w="11900" w:h="16838" w:orient="portrait"/>
          <w:cols w:equalWidth="0" w:num="1">
            <w:col w:w="10980"/>
          </w:cols>
          <w:pgMar w:left="460" w:top="1382" w:right="459" w:bottom="1440" w:gutter="0" w:footer="0" w:header="0"/>
          <w:type w:val="continuous"/>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i w:val="1"/>
          <w:i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 OR 15D-14(A) AS ADOPTED</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de Garidel, certify that:</w:t>
      </w:r>
    </w:p>
    <w:p>
      <w:pPr>
        <w:spacing w:after="0" w:line="185"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Abivax SA;</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2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31"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300" w:hanging="644"/>
        <w:spacing w:after="0" w:line="250" w:lineRule="auto"/>
        <w:tabs>
          <w:tab w:leader="none" w:pos="129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have disclosed, based on our most recent evaluation of internal control over financial reporting, to the company’s auditors and the audit committee of the company’s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300" w:hanging="644"/>
        <w:spacing w:after="0" w:line="250" w:lineRule="auto"/>
        <w:tabs>
          <w:tab w:leader="none" w:pos="129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06"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9994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 de Garidel</w:t>
      </w:r>
    </w:p>
    <w:p>
      <w:pPr>
        <w:spacing w:after="0" w:line="200" w:lineRule="exact"/>
        <w:rPr>
          <w:sz w:val="20"/>
          <w:szCs w:val="20"/>
          <w:color w:val="auto"/>
        </w:rPr>
      </w:pPr>
    </w:p>
    <w:p>
      <w:pPr>
        <w:jc w:val="center"/>
        <w:ind w:right="67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jc w:val="center"/>
        <w:ind w:right="6719"/>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139"/>
          </w:cols>
          <w:pgMar w:left="320" w:top="1404" w:right="1440"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i w:val="1"/>
          <w:i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 OR 15D-14(A) AS ADOPTED</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Didier Blondel, certify that:</w:t>
      </w:r>
    </w:p>
    <w:p>
      <w:pPr>
        <w:spacing w:after="0" w:line="185"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Abivax SA;</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2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31"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300" w:hanging="644"/>
        <w:spacing w:after="0" w:line="250" w:lineRule="auto"/>
        <w:tabs>
          <w:tab w:leader="none" w:pos="129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have disclosed, based on our most recent evaluation of internal control over financial reporting, to the company’s auditors and the audit committee of the company’s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300" w:hanging="644"/>
        <w:spacing w:after="0" w:line="250" w:lineRule="auto"/>
        <w:tabs>
          <w:tab w:leader="none" w:pos="129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06"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Didier Blondel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9328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Didier Blondel</w:t>
      </w:r>
    </w:p>
    <w:p>
      <w:pPr>
        <w:spacing w:after="0" w:line="2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ind w:left="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139"/>
          </w:cols>
          <w:pgMar w:left="320" w:top="1404" w:right="1440"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i w:val="1"/>
          <w:i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Abivax SA (the “Company”) on Form 20-F for the fiscal year ended December 31, 2025 as filed with the Securities and Exchange Commission on the date hereof (the “Report”), I, Marc de Garidel, Chief Executive Officer and Chairman of the Company, certify, pursuant to 18 U.S.C. Section 1350, as adopted pursuant to Section 906 of the Sarbanes-Oxley Act of 2002, that to my knowledge:</w:t>
      </w:r>
    </w:p>
    <w:p>
      <w:pPr>
        <w:spacing w:after="0" w:line="171" w:lineRule="exact"/>
        <w:rPr>
          <w:sz w:val="20"/>
          <w:szCs w:val="20"/>
          <w:color w:val="auto"/>
        </w:rPr>
      </w:pPr>
    </w:p>
    <w:p>
      <w:pPr>
        <w:ind w:left="1160" w:hanging="504"/>
        <w:spacing w:after="0"/>
        <w:tabs>
          <w:tab w:leader="none" w:pos="11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80" w:hanging="524"/>
        <w:spacing w:after="0" w:line="237" w:lineRule="auto"/>
        <w:tabs>
          <w:tab w:leader="none" w:pos="116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9994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 de Garidel</w:t>
      </w:r>
    </w:p>
    <w:p>
      <w:pPr>
        <w:spacing w:after="0" w:line="214" w:lineRule="exact"/>
        <w:rPr>
          <w:sz w:val="20"/>
          <w:szCs w:val="20"/>
          <w:color w:val="auto"/>
        </w:rPr>
      </w:pPr>
    </w:p>
    <w:p>
      <w:pPr>
        <w:jc w:val="center"/>
        <w:ind w:right="788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jc w:val="center"/>
        <w:ind w:right="7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certification accompanies the Report to which it relates, is not deemed filed with the Securities and Exchange Commission and is not to be</w:t>
      </w:r>
    </w:p>
    <w:p>
      <w:pPr>
        <w:spacing w:after="0" w:line="4" w:lineRule="exact"/>
        <w:rPr>
          <w:sz w:val="20"/>
          <w:szCs w:val="20"/>
          <w:color w:val="auto"/>
        </w:rPr>
      </w:pPr>
    </w:p>
    <w:p>
      <w:pPr>
        <w:ind w:right="680"/>
        <w:spacing w:after="0" w:line="226" w:lineRule="auto"/>
        <w:rPr>
          <w:sz w:val="20"/>
          <w:szCs w:val="20"/>
          <w:color w:val="auto"/>
        </w:rPr>
      </w:pPr>
      <w:r>
        <w:rPr>
          <w:rFonts w:ascii="Times New Roman" w:cs="Times New Roman" w:eastAsia="Times New Roman" w:hAnsi="Times New Roman"/>
          <w:sz w:val="18"/>
          <w:szCs w:val="18"/>
          <w:i w:val="1"/>
          <w:iCs w:val="1"/>
          <w:color w:val="auto"/>
        </w:rPr>
        <w:t>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240"/>
          </w:cols>
          <w:pgMar w:left="320" w:top="106"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i w:val="1"/>
          <w:iCs w:val="1"/>
          <w:color w:val="auto"/>
        </w:rPr>
        <w:t>Exhibit 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Abivax SA (the “Company”) on Form 20-F for the fiscal year ended December 31, 2025 as filed with the Securities and Exchange Commission on the date hereof (the “Report”), I, Didier Blondel, Chief Financial Officer and Board Secretary of the Company, certify, pursuant to 18 U.S.C. Section 1350, as adopted pursuant to Section 906 of the Sarbanes-Oxley Act of 2002, that to my knowledge:</w:t>
      </w:r>
    </w:p>
    <w:p>
      <w:pPr>
        <w:spacing w:after="0" w:line="171" w:lineRule="exact"/>
        <w:rPr>
          <w:sz w:val="20"/>
          <w:szCs w:val="20"/>
          <w:color w:val="auto"/>
        </w:rPr>
      </w:pPr>
    </w:p>
    <w:p>
      <w:pPr>
        <w:ind w:left="1160" w:hanging="504"/>
        <w:spacing w:after="0"/>
        <w:tabs>
          <w:tab w:leader="none" w:pos="11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80" w:hanging="524"/>
        <w:spacing w:after="0" w:line="237" w:lineRule="auto"/>
        <w:tabs>
          <w:tab w:leader="none" w:pos="11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Didier Blondel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9328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Didier Blondel</w:t>
      </w:r>
    </w:p>
    <w:p>
      <w:pPr>
        <w:spacing w:after="0" w:line="2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and Board Secretary</w:t>
      </w:r>
    </w:p>
    <w:p>
      <w:pPr>
        <w:ind w:left="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certification accompanies the Report to which it relates, is not deemed filed with the Securities and Exchange Commission and is not to be</w:t>
      </w:r>
    </w:p>
    <w:p>
      <w:pPr>
        <w:spacing w:after="0" w:line="4" w:lineRule="exact"/>
        <w:rPr>
          <w:sz w:val="20"/>
          <w:szCs w:val="20"/>
          <w:color w:val="auto"/>
        </w:rPr>
      </w:pPr>
    </w:p>
    <w:p>
      <w:pPr>
        <w:ind w:right="680"/>
        <w:spacing w:after="0" w:line="226" w:lineRule="auto"/>
        <w:rPr>
          <w:sz w:val="20"/>
          <w:szCs w:val="20"/>
          <w:color w:val="auto"/>
        </w:rPr>
      </w:pPr>
      <w:r>
        <w:rPr>
          <w:rFonts w:ascii="Times New Roman" w:cs="Times New Roman" w:eastAsia="Times New Roman" w:hAnsi="Times New Roman"/>
          <w:sz w:val="18"/>
          <w:szCs w:val="18"/>
          <w:i w:val="1"/>
          <w:iCs w:val="1"/>
          <w:color w:val="auto"/>
        </w:rPr>
        <w:t>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240"/>
          </w:cols>
          <w:pgMar w:left="320" w:top="106" w:right="339" w:bottom="1440" w:gutter="0" w:footer="0" w:header="0"/>
        </w:sectPr>
      </w:pPr>
    </w:p>
    <w:bookmarkStart w:id="290" w:name="page291"/>
    <w:bookmarkEnd w:id="290"/>
    <w:p>
      <w:pPr>
        <w:ind w:left="2220"/>
        <w:spacing w:after="0"/>
        <w:rPr>
          <w:sz w:val="20"/>
          <w:szCs w:val="20"/>
          <w:color w:val="auto"/>
        </w:rPr>
      </w:pPr>
      <w:r>
        <w:rPr>
          <w:rFonts w:ascii="Georgia" w:cs="Georgia" w:eastAsia="Georgia" w:hAnsi="Georgia"/>
          <w:sz w:val="20"/>
          <w:szCs w:val="20"/>
          <w:color w:val="auto"/>
        </w:rPr>
        <w:t>CONSENT OF INDEPENDENT REGISTERED PUBLIC ACCOUNTING FIRM</w:t>
      </w:r>
    </w:p>
    <w:p>
      <w:pPr>
        <w:spacing w:after="0" w:line="200" w:lineRule="exact"/>
        <w:rPr>
          <w:sz w:val="20"/>
          <w:szCs w:val="20"/>
          <w:color w:val="auto"/>
        </w:rPr>
      </w:pPr>
    </w:p>
    <w:p>
      <w:pPr>
        <w:spacing w:after="0" w:line="360" w:lineRule="exact"/>
        <w:rPr>
          <w:sz w:val="20"/>
          <w:szCs w:val="20"/>
          <w:color w:val="auto"/>
        </w:rPr>
      </w:pPr>
    </w:p>
    <w:p>
      <w:pPr>
        <w:jc w:val="both"/>
        <w:spacing w:after="0" w:line="254" w:lineRule="auto"/>
        <w:rPr>
          <w:sz w:val="20"/>
          <w:szCs w:val="20"/>
          <w:color w:val="auto"/>
        </w:rPr>
      </w:pPr>
      <w:r>
        <w:rPr>
          <w:rFonts w:ascii="Georgia" w:cs="Georgia" w:eastAsia="Georgia" w:hAnsi="Georgia"/>
          <w:sz w:val="20"/>
          <w:szCs w:val="20"/>
          <w:color w:val="auto"/>
        </w:rPr>
        <w:t>We hereby consent to the incorporation by reference in the Registration Statements on Form F-3 (File Nos. 333-283336 and 333-288884) and Form S-8 (File No. 333-286069) of Abivax SA of our report dated March 23, 2026, relating to the financial statements, which appears in this Form 20-F.</w:t>
      </w:r>
    </w:p>
    <w:p>
      <w:pPr>
        <w:spacing w:after="0" w:line="152"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Audit</w:t>
      </w:r>
    </w:p>
    <w:p>
      <w:pPr>
        <w:spacing w:after="0" w:line="29" w:lineRule="exact"/>
        <w:rPr>
          <w:sz w:val="20"/>
          <w:szCs w:val="20"/>
          <w:color w:val="auto"/>
        </w:rPr>
      </w:pPr>
    </w:p>
    <w:p>
      <w:pPr>
        <w:spacing w:after="0"/>
        <w:rPr>
          <w:sz w:val="20"/>
          <w:szCs w:val="20"/>
          <w:color w:val="auto"/>
        </w:rPr>
      </w:pPr>
      <w:r>
        <w:rPr>
          <w:rFonts w:ascii="Georgia" w:cs="Georgia" w:eastAsia="Georgia" w:hAnsi="Georgia"/>
          <w:sz w:val="20"/>
          <w:szCs w:val="20"/>
          <w:color w:val="auto"/>
        </w:rPr>
        <w:t>Neuilly-sur-Seine, France</w:t>
      </w:r>
    </w:p>
    <w:p>
      <w:pPr>
        <w:spacing w:after="0" w:line="16" w:lineRule="exact"/>
        <w:rPr>
          <w:sz w:val="20"/>
          <w:szCs w:val="20"/>
          <w:color w:val="auto"/>
        </w:rPr>
      </w:pPr>
    </w:p>
    <w:p>
      <w:pPr>
        <w:spacing w:after="0"/>
        <w:rPr>
          <w:sz w:val="20"/>
          <w:szCs w:val="20"/>
          <w:color w:val="auto"/>
        </w:rPr>
      </w:pPr>
      <w:r>
        <w:rPr>
          <w:rFonts w:ascii="Georgia" w:cs="Georgia" w:eastAsia="Georgia" w:hAnsi="Georgia"/>
          <w:sz w:val="20"/>
          <w:szCs w:val="20"/>
          <w:color w:val="auto"/>
        </w:rPr>
        <w:t>March 23, 2026</w:t>
      </w:r>
    </w:p>
    <w:sectPr>
      <w:pgSz w:w="11900" w:h="16838" w:orient="portrait"/>
      <w:cols w:equalWidth="0" w:num="1">
        <w:col w:w="10880"/>
      </w:cols>
      <w:pgMar w:left="320" w:top="143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
      <w:numFmt w:val="bullet"/>
      <w:start w:val="1"/>
    </w:lvl>
  </w:abstractNum>
  <w:abstractNum w:abstractNumId="8">
    <w:nsid w:val="5675FF36"/>
    <w:multiLevelType w:val="hybridMultilevel"/>
    <w:lvl w:ilvl="0">
      <w:lvlJc w:val="left"/>
      <w:lvlText w:val="•"/>
      <w:numFmt w:val="bullet"/>
      <w:start w:val="1"/>
    </w:lvl>
  </w:abstractNum>
  <w:abstractNum w:abstractNumId="9">
    <w:nsid w:val="3DD15094"/>
    <w:multiLevelType w:val="hybridMultilevel"/>
    <w:lvl w:ilvl="0">
      <w:lvlJc w:val="left"/>
      <w:lvlText w:val="•"/>
      <w:numFmt w:val="bullet"/>
      <w:start w:val="1"/>
    </w:lvl>
  </w:abstractNum>
  <w:abstractNum w:abstractNumId="10">
    <w:nsid w:val="3DB012B3"/>
    <w:multiLevelType w:val="hybridMultilevel"/>
    <w:lvl w:ilvl="0">
      <w:lvlJc w:val="left"/>
      <w:lvlText w:val="•"/>
      <w:numFmt w:val="bullet"/>
      <w:start w:val="1"/>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
      <w:numFmt w:val="bullet"/>
      <w:start w:val="1"/>
    </w:lvl>
  </w:abstractNum>
  <w:abstractNum w:abstractNumId="18">
    <w:nsid w:val="56438D15"/>
    <w:multiLevelType w:val="hybridMultilevel"/>
    <w:lvl w:ilvl="0">
      <w:lvlJc w:val="left"/>
      <w:lvlText w:val="•"/>
      <w:numFmt w:val="bullet"/>
      <w:start w:val="1"/>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lvl w:ilvl="1">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
      <w:numFmt w:val="bullet"/>
      <w:start w:val="1"/>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1)"/>
      <w:numFmt w:val="lowerRoman"/>
      <w:start w:val="2"/>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
      <w:numFmt w:val="bullet"/>
      <w:start w:val="1"/>
    </w:lvl>
  </w:abstractNum>
  <w:abstractNum w:abstractNumId="29">
    <w:nsid w:val="57A61A29"/>
    <w:multiLevelType w:val="hybridMultilevel"/>
    <w:lvl w:ilvl="0">
      <w:lvlJc w:val="left"/>
      <w:lvlText w:val="•"/>
      <w:numFmt w:val="bullet"/>
      <w:start w:val="1"/>
    </w:lvl>
  </w:abstractNum>
  <w:abstractNum w:abstractNumId="30">
    <w:nsid w:val="5399C654"/>
    <w:multiLevelType w:val="hybridMultilevel"/>
    <w:lvl w:ilvl="0">
      <w:lvlJc w:val="left"/>
      <w:lvlText w:val="•"/>
      <w:numFmt w:val="bullet"/>
      <w:start w:val="1"/>
    </w:lvl>
  </w:abstractNum>
  <w:abstractNum w:abstractNumId="31">
    <w:nsid w:val="20EE1348"/>
    <w:multiLevelType w:val="hybridMultilevel"/>
    <w:lvl w:ilvl="0">
      <w:lvlJc w:val="left"/>
      <w:lvlText w:val="•"/>
      <w:numFmt w:val="bullet"/>
      <w:start w:val="1"/>
    </w:lvl>
  </w:abstractNum>
  <w:abstractNum w:abstractNumId="32">
    <w:nsid w:val="4427069A"/>
    <w:multiLevelType w:val="hybridMultilevel"/>
    <w:lvl w:ilvl="0">
      <w:lvlJc w:val="left"/>
      <w:lvlText w:val="•"/>
      <w:numFmt w:val="bullet"/>
      <w:start w:val="1"/>
    </w:lvl>
  </w:abstractNum>
  <w:abstractNum w:abstractNumId="33">
    <w:nsid w:val="B37E80A"/>
    <w:multiLevelType w:val="hybridMultilevel"/>
    <w:lvl w:ilvl="0">
      <w:lvlJc w:val="left"/>
      <w:lvlText w:val="•"/>
      <w:numFmt w:val="bullet"/>
      <w:start w:val="1"/>
    </w:lvl>
  </w:abstractNum>
  <w:abstractNum w:abstractNumId="34">
    <w:nsid w:val="2157F6BC"/>
    <w:multiLevelType w:val="hybridMultilevel"/>
    <w:lvl w:ilvl="0">
      <w:lvlJc w:val="left"/>
      <w:lvlText w:val="•"/>
      <w:numFmt w:val="bullet"/>
      <w:start w:val="1"/>
    </w:lvl>
  </w:abstractNum>
  <w:abstractNum w:abstractNumId="35">
    <w:nsid w:val="704E1DD5"/>
    <w:multiLevelType w:val="hybridMultilevel"/>
    <w:lvl w:ilvl="0">
      <w:lvlJc w:val="left"/>
      <w:lvlText w:val="•"/>
      <w:numFmt w:val="bullet"/>
      <w:start w:val="1"/>
    </w:lvl>
  </w:abstractNum>
  <w:abstractNum w:abstractNumId="36">
    <w:nsid w:val="57D2F10E"/>
    <w:multiLevelType w:val="hybridMultilevel"/>
    <w:lvl w:ilvl="0">
      <w:lvlJc w:val="left"/>
      <w:lvlText w:val="•"/>
      <w:numFmt w:val="bullet"/>
      <w:start w:val="1"/>
    </w:lvl>
  </w:abstractNum>
  <w:abstractNum w:abstractNumId="37">
    <w:nsid w:val="BFFAE18"/>
    <w:multiLevelType w:val="hybridMultilevel"/>
    <w:lvl w:ilvl="0">
      <w:lvlJc w:val="left"/>
      <w:lvlText w:val="(%1)"/>
      <w:numFmt w:val="lowerRoman"/>
      <w:start w:val="3"/>
    </w:lvl>
  </w:abstractNum>
  <w:abstractNum w:abstractNumId="38">
    <w:nsid w:val="E3E47A8"/>
    <w:multiLevelType w:val="hybridMultilevel"/>
    <w:lvl w:ilvl="0">
      <w:lvlJc w:val="left"/>
      <w:lvlText w:val="•"/>
      <w:numFmt w:val="bullet"/>
      <w:start w:val="1"/>
    </w:lvl>
  </w:abstractNum>
  <w:abstractNum w:abstractNumId="39">
    <w:nsid w:val="2E48F044"/>
    <w:multiLevelType w:val="hybridMultilevel"/>
    <w:lvl w:ilvl="0">
      <w:lvlJc w:val="left"/>
      <w:lvlText w:val="•"/>
      <w:numFmt w:val="bullet"/>
      <w:start w:val="1"/>
    </w:lvl>
  </w:abstractNum>
  <w:abstractNum w:abstractNumId="40">
    <w:nsid w:val="49D0FEAC"/>
    <w:multiLevelType w:val="hybridMultilevel"/>
    <w:lvl w:ilvl="0">
      <w:lvlJc w:val="left"/>
      <w:lvlText w:val="•"/>
      <w:numFmt w:val="bullet"/>
      <w:start w:val="1"/>
    </w:lvl>
  </w:abstractNum>
  <w:abstractNum w:abstractNumId="41">
    <w:nsid w:val="4BEE5A5B"/>
    <w:multiLevelType w:val="hybridMultilevel"/>
    <w:lvl w:ilvl="0">
      <w:lvlJc w:val="left"/>
      <w:lvlText w:val="•"/>
      <w:numFmt w:val="bullet"/>
      <w:start w:val="1"/>
    </w:lvl>
  </w:abstractNum>
  <w:abstractNum w:abstractNumId="42">
    <w:nsid w:val="5551B9F3"/>
    <w:multiLevelType w:val="hybridMultilevel"/>
    <w:lvl w:ilvl="0">
      <w:lvlJc w:val="left"/>
      <w:lvlText w:val="•"/>
      <w:numFmt w:val="bullet"/>
      <w:start w:val="1"/>
    </w:lvl>
  </w:abstractNum>
  <w:abstractNum w:abstractNumId="43">
    <w:nsid w:val="24F6AB8E"/>
    <w:multiLevelType w:val="hybridMultilevel"/>
    <w:lvl w:ilvl="0">
      <w:lvlJc w:val="left"/>
      <w:lvlText w:val="•"/>
      <w:numFmt w:val="bullet"/>
      <w:start w:val="1"/>
    </w:lvl>
  </w:abstractNum>
  <w:abstractNum w:abstractNumId="44">
    <w:nsid w:val="634C574C"/>
    <w:multiLevelType w:val="hybridMultilevel"/>
    <w:lvl w:ilvl="0">
      <w:lvlJc w:val="left"/>
      <w:lvlText w:val="•"/>
      <w:numFmt w:val="bullet"/>
      <w:start w:val="1"/>
    </w:lvl>
  </w:abstractNum>
  <w:abstractNum w:abstractNumId="45">
    <w:nsid w:val="24E99DD7"/>
    <w:multiLevelType w:val="hybridMultilevel"/>
    <w:lvl w:ilvl="0">
      <w:lvlJc w:val="left"/>
      <w:lvlText w:val="•"/>
      <w:numFmt w:val="bullet"/>
      <w:start w:val="1"/>
    </w:lvl>
  </w:abstractNum>
  <w:abstractNum w:abstractNumId="46">
    <w:nsid w:val="2A31B62D"/>
    <w:multiLevelType w:val="hybridMultilevel"/>
    <w:lvl w:ilvl="0">
      <w:lvlJc w:val="left"/>
      <w:lvlText w:val="•"/>
      <w:numFmt w:val="bullet"/>
      <w:start w:val="1"/>
    </w:lvl>
  </w:abstractNum>
  <w:abstractNum w:abstractNumId="47">
    <w:nsid w:val="1849C29B"/>
    <w:multiLevelType w:val="hybridMultilevel"/>
    <w:lvl w:ilvl="0">
      <w:lvlJc w:val="left"/>
      <w:lvlText w:val="(%1)"/>
      <w:numFmt w:val="lowerRoman"/>
      <w:start w:val="1"/>
    </w:lvl>
  </w:abstractNum>
  <w:abstractNum w:abstractNumId="48">
    <w:nsid w:val="7DFF9D09"/>
    <w:multiLevelType w:val="hybridMultilevel"/>
    <w:lvl w:ilvl="0">
      <w:lvlJc w:val="left"/>
      <w:lvlText w:val="•"/>
      <w:numFmt w:val="bullet"/>
      <w:start w:val="1"/>
    </w:lvl>
  </w:abstractNum>
  <w:abstractNum w:abstractNumId="49">
    <w:nsid w:val="754342"/>
    <w:multiLevelType w:val="hybridMultilevel"/>
    <w:lvl w:ilvl="0">
      <w:lvlJc w:val="left"/>
      <w:lvlText w:val="1"/>
      <w:numFmt w:val="bullet"/>
      <w:start w:val="1"/>
    </w:lvl>
  </w:abstractNum>
  <w:abstractNum w:abstractNumId="50">
    <w:nsid w:val="69E7F3E5"/>
    <w:multiLevelType w:val="hybridMultilevel"/>
    <w:lvl w:ilvl="0">
      <w:lvlJc w:val="left"/>
      <w:lvlText w:val="•"/>
      <w:numFmt w:val="bullet"/>
      <w:start w:val="1"/>
    </w:lvl>
    <w:lvl w:ilvl="1">
      <w:lvlJc w:val="left"/>
      <w:lvlText w:val="•"/>
      <w:numFmt w:val="bullet"/>
      <w:start w:val="1"/>
    </w:lvl>
  </w:abstractNum>
  <w:abstractNum w:abstractNumId="51">
    <w:nsid w:val="2A6DE806"/>
    <w:multiLevelType w:val="hybridMultilevel"/>
    <w:lvl w:ilvl="0">
      <w:lvlJc w:val="left"/>
      <w:lvlText w:val="•"/>
      <w:numFmt w:val="bullet"/>
      <w:start w:val="1"/>
    </w:lvl>
    <w:lvl w:ilvl="1">
      <w:lvlJc w:val="left"/>
      <w:lvlText w:val="•"/>
      <w:numFmt w:val="bullet"/>
      <w:start w:val="1"/>
    </w:lvl>
  </w:abstractNum>
  <w:abstractNum w:abstractNumId="52">
    <w:nsid w:val="1816F8C4"/>
    <w:multiLevelType w:val="hybridMultilevel"/>
    <w:lvl w:ilvl="0">
      <w:lvlJc w:val="left"/>
      <w:lvlText w:val="(%1)"/>
      <w:numFmt w:val="lowerLetter"/>
      <w:start w:val="1"/>
    </w:lvl>
  </w:abstractNum>
  <w:abstractNum w:abstractNumId="53">
    <w:nsid w:val="37DF2233"/>
    <w:multiLevelType w:val="hybridMultilevel"/>
    <w:lvl w:ilvl="0">
      <w:lvlJc w:val="left"/>
      <w:lvlText w:val="(%1)"/>
      <w:numFmt w:val="lowerLetter"/>
      <w:start w:val="1"/>
    </w:lvl>
  </w:abstractNum>
  <w:abstractNum w:abstractNumId="54">
    <w:nsid w:val="7AB49DAF"/>
    <w:multiLevelType w:val="hybridMultilevel"/>
    <w:lvl w:ilvl="0">
      <w:lvlJc w:val="left"/>
      <w:lvlText w:val="%1."/>
      <w:numFmt w:val="decimal"/>
      <w:start w:val="1"/>
    </w:lvl>
  </w:abstractNum>
  <w:abstractNum w:abstractNumId="55">
    <w:nsid w:val="759F82CD"/>
    <w:multiLevelType w:val="hybridMultilevel"/>
    <w:lvl w:ilvl="0">
      <w:lvlJc w:val="left"/>
      <w:lvlText w:val="(%1)"/>
      <w:numFmt w:val="decimal"/>
      <w:start w:val="1"/>
    </w:lvl>
  </w:abstractNum>
  <w:abstractNum w:abstractNumId="56">
    <w:nsid w:val="61E74EA3"/>
    <w:multiLevelType w:val="hybridMultilevel"/>
    <w:lvl w:ilvl="0">
      <w:lvlJc w:val="left"/>
      <w:lvlText w:val="(%1)"/>
      <w:numFmt w:val="lowerRoman"/>
      <w:start w:val="7"/>
    </w:lvl>
  </w:abstractNum>
  <w:abstractNum w:abstractNumId="57">
    <w:nsid w:val="597B4D84"/>
    <w:multiLevelType w:val="hybridMultilevel"/>
    <w:lvl w:ilvl="0">
      <w:lvlJc w:val="left"/>
      <w:lvlText w:val="(%1)"/>
      <w:numFmt w:val="lowerRoman"/>
      <w:start w:val="1"/>
    </w:lvl>
  </w:abstractNum>
  <w:abstractNum w:abstractNumId="58">
    <w:nsid w:val="F819E7F"/>
    <w:multiLevelType w:val="hybridMultilevel"/>
    <w:lvl w:ilvl="0">
      <w:lvlJc w:val="left"/>
      <w:lvlText w:val="•"/>
      <w:numFmt w:val="bullet"/>
      <w:start w:val="1"/>
    </w:lvl>
  </w:abstractNum>
  <w:abstractNum w:abstractNumId="59">
    <w:nsid w:val="57C7D42D"/>
    <w:multiLevelType w:val="hybridMultilevel"/>
    <w:lvl w:ilvl="0">
      <w:lvlJc w:val="left"/>
      <w:lvlText w:val="•"/>
      <w:numFmt w:val="bullet"/>
      <w:start w:val="1"/>
    </w:lvl>
  </w:abstractNum>
  <w:abstractNum w:abstractNumId="60">
    <w:nsid w:val="312167AD"/>
    <w:multiLevelType w:val="hybridMultilevel"/>
    <w:lvl w:ilvl="0">
      <w:lvlJc w:val="left"/>
      <w:lvlText w:val="•"/>
      <w:numFmt w:val="bullet"/>
      <w:start w:val="1"/>
    </w:lvl>
  </w:abstractNum>
  <w:abstractNum w:abstractNumId="61">
    <w:nsid w:val="631B64D4"/>
    <w:multiLevelType w:val="hybridMultilevel"/>
    <w:lvl w:ilvl="0">
      <w:lvlJc w:val="left"/>
      <w:lvlText w:val="•"/>
      <w:numFmt w:val="bullet"/>
      <w:start w:val="1"/>
    </w:lvl>
  </w:abstractNum>
  <w:abstractNum w:abstractNumId="62">
    <w:nsid w:val="78B5E776"/>
    <w:multiLevelType w:val="hybridMultilevel"/>
    <w:lvl w:ilvl="0">
      <w:lvlJc w:val="left"/>
      <w:lvlText w:val="•"/>
      <w:numFmt w:val="bullet"/>
      <w:start w:val="1"/>
    </w:lvl>
  </w:abstractNum>
  <w:abstractNum w:abstractNumId="63">
    <w:nsid w:val="75486E47"/>
    <w:multiLevelType w:val="hybridMultilevel"/>
    <w:lvl w:ilvl="0">
      <w:lvlJc w:val="left"/>
      <w:lvlText w:val="•"/>
      <w:numFmt w:val="bullet"/>
      <w:start w:val="1"/>
    </w:lvl>
  </w:abstractNum>
  <w:abstractNum w:abstractNumId="64">
    <w:nsid w:val="6E534CDE"/>
    <w:multiLevelType w:val="hybridMultilevel"/>
    <w:lvl w:ilvl="0">
      <w:lvlJc w:val="left"/>
      <w:lvlText w:val="•"/>
      <w:numFmt w:val="bullet"/>
      <w:start w:val="1"/>
    </w:lvl>
  </w:abstractNum>
  <w:abstractNum w:abstractNumId="65">
    <w:nsid w:val="1A0DDE32"/>
    <w:multiLevelType w:val="hybridMultilevel"/>
    <w:lvl w:ilvl="0">
      <w:lvlJc w:val="left"/>
      <w:lvlText w:val="•"/>
      <w:numFmt w:val="bullet"/>
      <w:start w:val="1"/>
    </w:lvl>
  </w:abstractNum>
  <w:abstractNum w:abstractNumId="66">
    <w:nsid w:val="65968C1C"/>
    <w:multiLevelType w:val="hybridMultilevel"/>
    <w:lvl w:ilvl="0">
      <w:lvlJc w:val="left"/>
      <w:lvlText w:val="•"/>
      <w:numFmt w:val="bullet"/>
      <w:start w:val="1"/>
    </w:lvl>
  </w:abstractNum>
  <w:abstractNum w:abstractNumId="67">
    <w:nsid w:val="46263DEC"/>
    <w:multiLevelType w:val="hybridMultilevel"/>
    <w:lvl w:ilvl="0">
      <w:lvlJc w:val="left"/>
      <w:lvlText w:val="•"/>
      <w:numFmt w:val="bullet"/>
      <w:start w:val="1"/>
    </w:lvl>
  </w:abstractNum>
  <w:abstractNum w:abstractNumId="68">
    <w:nsid w:val="260D8C4A"/>
    <w:multiLevelType w:val="hybridMultilevel"/>
    <w:lvl w:ilvl="0">
      <w:lvlJc w:val="left"/>
      <w:lvlText w:val="•"/>
      <w:numFmt w:val="bullet"/>
      <w:start w:val="1"/>
    </w:lvl>
  </w:abstractNum>
  <w:abstractNum w:abstractNumId="69">
    <w:nsid w:val="73D4D3C4"/>
    <w:multiLevelType w:val="hybridMultilevel"/>
    <w:lvl w:ilvl="0">
      <w:lvlJc w:val="left"/>
      <w:lvlText w:val="•"/>
      <w:numFmt w:val="bullet"/>
      <w:start w:val="1"/>
    </w:lvl>
  </w:abstractNum>
  <w:abstractNum w:abstractNumId="70">
    <w:nsid w:val="746F2E30"/>
    <w:multiLevelType w:val="hybridMultilevel"/>
    <w:lvl w:ilvl="0">
      <w:lvlJc w:val="left"/>
      <w:lvlText w:val="•"/>
      <w:numFmt w:val="bullet"/>
      <w:start w:val="1"/>
    </w:lvl>
  </w:abstractNum>
  <w:abstractNum w:abstractNumId="71">
    <w:nsid w:val="6FDE8AF6"/>
    <w:multiLevelType w:val="hybridMultilevel"/>
    <w:lvl w:ilvl="0">
      <w:lvlJc w:val="left"/>
      <w:lvlText w:val="(%1)"/>
      <w:numFmt w:val="lowerRoman"/>
      <w:start w:val="2"/>
    </w:lvl>
  </w:abstractNum>
  <w:abstractNum w:abstractNumId="72">
    <w:nsid w:val="3FC32E20"/>
    <w:multiLevelType w:val="hybridMultilevel"/>
    <w:lvl w:ilvl="0">
      <w:lvlJc w:val="left"/>
      <w:lvlText w:val="(%1)"/>
      <w:numFmt w:val="decimal"/>
      <w:start w:val="1"/>
    </w:lvl>
  </w:abstractNum>
  <w:abstractNum w:abstractNumId="73">
    <w:nsid w:val="49C0E823"/>
    <w:multiLevelType w:val="hybridMultilevel"/>
    <w:lvl w:ilvl="0">
      <w:lvlJc w:val="left"/>
      <w:lvlText w:val="•"/>
      <w:numFmt w:val="bullet"/>
      <w:start w:val="1"/>
    </w:lvl>
  </w:abstractNum>
  <w:abstractNum w:abstractNumId="74">
    <w:nsid w:val="14D53685"/>
    <w:multiLevelType w:val="hybridMultilevel"/>
    <w:lvl w:ilvl="0">
      <w:lvlJc w:val="left"/>
      <w:lvlText w:val="*"/>
      <w:numFmt w:val="bullet"/>
      <w:start w:val="1"/>
    </w:lvl>
  </w:abstractNum>
  <w:abstractNum w:abstractNumId="75">
    <w:nsid w:val="230F856C"/>
    <w:multiLevelType w:val="hybridMultilevel"/>
    <w:lvl w:ilvl="0">
      <w:lvlJc w:val="left"/>
      <w:lvlText w:val="(%1)"/>
      <w:numFmt w:val="decimal"/>
      <w:start w:val="1"/>
    </w:lvl>
  </w:abstractNum>
  <w:abstractNum w:abstractNumId="76">
    <w:nsid w:val="6EAA85F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7">
    <w:nsid w:val="3F06ECB2"/>
    <w:multiLevelType w:val="hybridMultilevel"/>
    <w:lvl w:ilvl="0">
      <w:lvlJc w:val="left"/>
      <w:lvlText w:val="(%1)"/>
      <w:numFmt w:val="decimal"/>
      <w:start w:val="2"/>
    </w:lvl>
    <w:lvl w:ilvl="1">
      <w:lvlJc w:val="left"/>
      <w:lvlText w:val="•"/>
      <w:numFmt w:val="bullet"/>
      <w:start w:val="1"/>
    </w:lvl>
  </w:abstractNum>
  <w:abstractNum w:abstractNumId="78">
    <w:nsid w:val="3B594807"/>
    <w:multiLevelType w:val="hybridMultilevel"/>
    <w:lvl w:ilvl="0">
      <w:lvlJc w:val="left"/>
      <w:lvlText w:val="*"/>
      <w:numFmt w:val="bullet"/>
      <w:start w:val="1"/>
    </w:lvl>
  </w:abstractNum>
  <w:abstractNum w:abstractNumId="79">
    <w:nsid w:val="6CAA2304"/>
    <w:multiLevelType w:val="hybridMultilevel"/>
    <w:lvl w:ilvl="0">
      <w:lvlJc w:val="left"/>
      <w:lvlText w:val="(%1)"/>
      <w:numFmt w:val="decimal"/>
      <w:start w:val="2"/>
    </w:lvl>
  </w:abstractNum>
  <w:abstractNum w:abstractNumId="80">
    <w:nsid w:val="3F7C2FF4"/>
    <w:multiLevelType w:val="hybridMultilevel"/>
    <w:lvl w:ilvl="0">
      <w:lvlJc w:val="left"/>
      <w:lvlText w:val="(%1)"/>
      <w:numFmt w:val="decimal"/>
      <w:start w:val="1"/>
    </w:lvl>
  </w:abstractNum>
  <w:abstractNum w:abstractNumId="81">
    <w:nsid w:val="25413BEC"/>
    <w:multiLevelType w:val="hybridMultilevel"/>
    <w:lvl w:ilvl="0">
      <w:lvlJc w:val="left"/>
      <w:lvlText w:val="•"/>
      <w:numFmt w:val="bullet"/>
      <w:start w:val="1"/>
    </w:lvl>
  </w:abstractNum>
  <w:abstractNum w:abstractNumId="82">
    <w:nsid w:val="17180B0B"/>
    <w:multiLevelType w:val="hybridMultilevel"/>
    <w:lvl w:ilvl="0">
      <w:lvlJc w:val="left"/>
      <w:lvlText w:val="(%1)"/>
      <w:numFmt w:val="decimal"/>
      <w:start w:val="1"/>
    </w:lvl>
  </w:abstractNum>
  <w:abstractNum w:abstractNumId="83">
    <w:nsid w:val="579328B9"/>
    <w:multiLevelType w:val="hybridMultilevel"/>
    <w:lvl w:ilvl="0">
      <w:lvlJc w:val="left"/>
      <w:lvlText w:val="•"/>
      <w:numFmt w:val="bullet"/>
      <w:start w:val="1"/>
    </w:lvl>
  </w:abstractNum>
  <w:abstractNum w:abstractNumId="84">
    <w:nsid w:val="5D205E20"/>
    <w:multiLevelType w:val="hybridMultilevel"/>
    <w:lvl w:ilvl="0">
      <w:lvlJc w:val="left"/>
      <w:lvlText w:val="•"/>
      <w:numFmt w:val="bullet"/>
      <w:start w:val="1"/>
    </w:lvl>
  </w:abstractNum>
  <w:abstractNum w:abstractNumId="85">
    <w:nsid w:val="11CCA8BA"/>
    <w:multiLevelType w:val="hybridMultilevel"/>
    <w:lvl w:ilvl="0">
      <w:lvlJc w:val="left"/>
      <w:lvlText w:val="•"/>
      <w:numFmt w:val="bullet"/>
      <w:start w:val="1"/>
    </w:lvl>
  </w:abstractNum>
  <w:abstractNum w:abstractNumId="86">
    <w:nsid w:val="4D32AB86"/>
    <w:multiLevelType w:val="hybridMultilevel"/>
    <w:lvl w:ilvl="0">
      <w:lvlJc w:val="left"/>
      <w:lvlText w:val="•"/>
      <w:numFmt w:val="bullet"/>
      <w:start w:val="1"/>
    </w:lvl>
  </w:abstractNum>
  <w:abstractNum w:abstractNumId="87">
    <w:nsid w:val="3F07ACC3"/>
    <w:multiLevelType w:val="hybridMultilevel"/>
    <w:lvl w:ilvl="0">
      <w:lvlJc w:val="left"/>
      <w:lvlText w:val="•"/>
      <w:numFmt w:val="bullet"/>
      <w:start w:val="1"/>
    </w:lvl>
  </w:abstractNum>
  <w:abstractNum w:abstractNumId="88">
    <w:nsid w:val="6B47F63E"/>
    <w:multiLevelType w:val="hybridMultilevel"/>
    <w:lvl w:ilvl="0">
      <w:lvlJc w:val="left"/>
      <w:lvlText w:val="•"/>
      <w:numFmt w:val="bullet"/>
      <w:start w:val="1"/>
    </w:lvl>
  </w:abstractNum>
  <w:abstractNum w:abstractNumId="89">
    <w:nsid w:val="5CB44A05"/>
    <w:multiLevelType w:val="hybridMultilevel"/>
    <w:lvl w:ilvl="0">
      <w:lvlJc w:val="left"/>
      <w:lvlText w:val="•"/>
      <w:numFmt w:val="bullet"/>
      <w:start w:val="1"/>
    </w:lvl>
  </w:abstractNum>
  <w:abstractNum w:abstractNumId="90">
    <w:nsid w:val="16CF80F1"/>
    <w:multiLevelType w:val="hybridMultilevel"/>
    <w:lvl w:ilvl="0">
      <w:lvlJc w:val="left"/>
      <w:lvlText w:val="%1."/>
      <w:numFmt w:val="upperLetter"/>
      <w:start w:val="6"/>
    </w:lvl>
  </w:abstractNum>
  <w:abstractNum w:abstractNumId="91">
    <w:nsid w:val="1C695DEC"/>
    <w:multiLevelType w:val="hybridMultilevel"/>
    <w:lvl w:ilvl="0">
      <w:lvlJc w:val="left"/>
      <w:lvlText w:val="•"/>
      <w:numFmt w:val="bullet"/>
      <w:start w:val="1"/>
    </w:lvl>
  </w:abstractNum>
  <w:abstractNum w:abstractNumId="92">
    <w:nsid w:val="3FCFAED9"/>
    <w:multiLevelType w:val="hybridMultilevel"/>
    <w:lvl w:ilvl="0">
      <w:lvlJc w:val="left"/>
      <w:lvlText w:val="*"/>
      <w:numFmt w:val="bullet"/>
      <w:start w:val="1"/>
    </w:lvl>
  </w:abstractNum>
  <w:abstractNum w:abstractNumId="93">
    <w:nsid w:val="F856867"/>
    <w:multiLevelType w:val="hybridMultilevel"/>
    <w:lvl w:ilvl="0">
      <w:lvlJc w:val="left"/>
      <w:lvlText w:val="+"/>
      <w:numFmt w:val="bullet"/>
      <w:start w:val="1"/>
    </w:lvl>
  </w:abstractNum>
  <w:abstractNum w:abstractNumId="94">
    <w:nsid w:val="11B1CC33"/>
    <w:multiLevelType w:val="hybridMultilevel"/>
    <w:lvl w:ilvl="0">
      <w:lvlJc w:val="left"/>
      <w:lvlText w:val="(%1)"/>
      <w:numFmt w:val="decimal"/>
      <w:start w:val="1"/>
    </w:lvl>
  </w:abstractNum>
  <w:abstractNum w:abstractNumId="95">
    <w:nsid w:val="2E22FBB7"/>
    <w:multiLevelType w:val="hybridMultilevel"/>
    <w:lvl w:ilvl="0">
      <w:lvlJc w:val="left"/>
      <w:lvlText w:val="(%1)"/>
      <w:numFmt w:val="decimal"/>
      <w:start w:val="8"/>
    </w:lvl>
  </w:abstractNum>
  <w:abstractNum w:abstractNumId="96">
    <w:nsid w:val="29934699"/>
    <w:multiLevelType w:val="hybridMultilevel"/>
    <w:lvl w:ilvl="0">
      <w:lvlJc w:val="left"/>
      <w:lvlText w:val="%1."/>
      <w:numFmt w:val="upperLetter"/>
      <w:start w:val="6"/>
    </w:lvl>
  </w:abstractNum>
  <w:abstractNum w:abstractNumId="97">
    <w:nsid w:val="77485850"/>
    <w:multiLevelType w:val="hybridMultilevel"/>
    <w:lvl w:ilvl="0">
      <w:lvlJc w:val="left"/>
      <w:lvlText w:val="•"/>
      <w:numFmt w:val="bullet"/>
      <w:start w:val="1"/>
    </w:lvl>
  </w:abstractNum>
  <w:abstractNum w:abstractNumId="98">
    <w:nsid w:val="744939A3"/>
    <w:multiLevelType w:val="hybridMultilevel"/>
    <w:lvl w:ilvl="0">
      <w:lvlJc w:val="left"/>
      <w:lvlText w:val="•"/>
      <w:numFmt w:val="bullet"/>
      <w:start w:val="1"/>
    </w:lvl>
  </w:abstractNum>
  <w:abstractNum w:abstractNumId="99">
    <w:nsid w:val="4FA0D2E3"/>
    <w:multiLevelType w:val="hybridMultilevel"/>
    <w:lvl w:ilvl="0">
      <w:lvlJc w:val="left"/>
      <w:lvlText w:val="•"/>
      <w:numFmt w:val="bullet"/>
      <w:start w:val="1"/>
    </w:lvl>
  </w:abstractNum>
  <w:abstractNum w:abstractNumId="100">
    <w:nsid w:val="6B1D2C14"/>
    <w:multiLevelType w:val="hybridMultilevel"/>
    <w:lvl w:ilvl="0">
      <w:lvlJc w:val="left"/>
      <w:lvlText w:val="•"/>
      <w:numFmt w:val="bullet"/>
      <w:start w:val="1"/>
    </w:lvl>
  </w:abstractNum>
  <w:abstractNum w:abstractNumId="101">
    <w:nsid w:val="68B867D3"/>
    <w:multiLevelType w:val="hybridMultilevel"/>
    <w:lvl w:ilvl="0">
      <w:lvlJc w:val="left"/>
      <w:lvlText w:val="•"/>
      <w:numFmt w:val="bullet"/>
      <w:start w:val="1"/>
    </w:lvl>
  </w:abstractNum>
  <w:abstractNum w:abstractNumId="102">
    <w:nsid w:val="3F7F5DD9"/>
    <w:multiLevelType w:val="hybridMultilevel"/>
    <w:lvl w:ilvl="0">
      <w:lvlJc w:val="left"/>
      <w:lvlText w:val="•"/>
      <w:numFmt w:val="bullet"/>
      <w:start w:val="1"/>
    </w:lvl>
  </w:abstractNum>
  <w:abstractNum w:abstractNumId="103">
    <w:nsid w:val="2AE05A34"/>
    <w:multiLevelType w:val="hybridMultilevel"/>
    <w:lvl w:ilvl="0">
      <w:lvlJc w:val="left"/>
      <w:lvlText w:val="•"/>
      <w:numFmt w:val="bullet"/>
      <w:start w:val="1"/>
    </w:lvl>
  </w:abstractNum>
  <w:abstractNum w:abstractNumId="104">
    <w:nsid w:val="32794FF7"/>
    <w:multiLevelType w:val="hybridMultilevel"/>
    <w:lvl w:ilvl="0">
      <w:lvlJc w:val="left"/>
      <w:lvlText w:val="(%1)"/>
      <w:numFmt w:val="lowerRoman"/>
      <w:start w:val="1"/>
    </w:lvl>
  </w:abstractNum>
  <w:abstractNum w:abstractNumId="105">
    <w:nsid w:val="5454945E"/>
    <w:multiLevelType w:val="hybridMultilevel"/>
    <w:lvl w:ilvl="0">
      <w:lvlJc w:val="left"/>
      <w:lvlText w:val="%1."/>
      <w:numFmt w:val="upperLetter"/>
      <w:start w:val="6"/>
    </w:lvl>
  </w:abstractNum>
  <w:abstractNum w:abstractNumId="106">
    <w:nsid w:val="4DEFDFA0"/>
    <w:multiLevelType w:val="hybridMultilevel"/>
    <w:lvl w:ilvl="0">
      <w:lvlJc w:val="left"/>
      <w:lvlText w:val="%1."/>
      <w:numFmt w:val="upperLetter"/>
      <w:start w:val="9"/>
    </w:lvl>
  </w:abstractNum>
  <w:abstractNum w:abstractNumId="107">
    <w:nsid w:val="2123D5F2"/>
    <w:multiLevelType w:val="hybridMultilevel"/>
    <w:lvl w:ilvl="0">
      <w:lvlJc w:val="left"/>
      <w:lvlText w:val="%1."/>
      <w:numFmt w:val="upperLetter"/>
      <w:start w:val="10"/>
    </w:lvl>
  </w:abstractNum>
  <w:abstractNum w:abstractNumId="108">
    <w:nsid w:val="135B8110"/>
    <w:multiLevelType w:val="hybridMultilevel"/>
    <w:lvl w:ilvl="0">
      <w:lvlJc w:val="left"/>
      <w:lvlText w:val="•"/>
      <w:numFmt w:val="bullet"/>
      <w:start w:val="1"/>
    </w:lvl>
  </w:abstractNum>
  <w:abstractNum w:abstractNumId="109">
    <w:nsid w:val="94927A8"/>
    <w:multiLevelType w:val="hybridMultilevel"/>
    <w:lvl w:ilvl="0">
      <w:lvlJc w:val="left"/>
      <w:lvlText w:val="•"/>
      <w:numFmt w:val="bullet"/>
      <w:start w:val="1"/>
    </w:lvl>
  </w:abstractNum>
  <w:abstractNum w:abstractNumId="110">
    <w:nsid w:val="DCDF8F6"/>
    <w:multiLevelType w:val="hybridMultilevel"/>
    <w:lvl w:ilvl="0">
      <w:lvlJc w:val="left"/>
      <w:lvlText w:val="•"/>
      <w:numFmt w:val="bullet"/>
      <w:start w:val="1"/>
    </w:lvl>
  </w:abstractNum>
  <w:abstractNum w:abstractNumId="111">
    <w:nsid w:val="52D7B105"/>
    <w:multiLevelType w:val="hybridMultilevel"/>
    <w:lvl w:ilvl="0">
      <w:lvlJc w:val="left"/>
      <w:lvlText w:val="(%1)"/>
      <w:numFmt w:val="lowerRoman"/>
      <w:start w:val="1"/>
    </w:lvl>
  </w:abstractNum>
  <w:abstractNum w:abstractNumId="112">
    <w:nsid w:val="2E8A6394"/>
    <w:multiLevelType w:val="hybridMultilevel"/>
    <w:lvl w:ilvl="0">
      <w:lvlJc w:val="left"/>
      <w:lvlText w:val="*"/>
      <w:numFmt w:val="bullet"/>
      <w:start w:val="1"/>
    </w:lvl>
    <w:lvl w:ilvl="1">
      <w:lvlJc w:val="left"/>
      <w:lvlText w:val="%2"/>
      <w:numFmt w:val="decimal"/>
      <w:start w:val="104"/>
    </w:lvl>
  </w:abstractNum>
  <w:abstractNum w:abstractNumId="113">
    <w:nsid w:val="24E60401"/>
    <w:multiLevelType w:val="hybridMultilevel"/>
    <w:lvl w:ilvl="0">
      <w:lvlJc w:val="left"/>
      <w:lvlText w:val="**"/>
      <w:numFmt w:val="bullet"/>
      <w:start w:val="1"/>
    </w:lvl>
    <w:lvl w:ilvl="1">
      <w:lvlJc w:val="left"/>
      <w:lvlText w:val="%2"/>
      <w:numFmt w:val="decimal"/>
      <w:start w:val="1"/>
    </w:lvl>
  </w:abstractNum>
  <w:abstractNum w:abstractNumId="114">
    <w:nsid w:val="2A6AD9BE"/>
    <w:multiLevelType w:val="hybridMultilevel"/>
    <w:lvl w:ilvl="0">
      <w:lvlJc w:val="left"/>
      <w:lvlText w:val="#"/>
      <w:numFmt w:val="bullet"/>
      <w:start w:val="1"/>
    </w:lvl>
  </w:abstractNum>
  <w:abstractNum w:abstractNumId="115">
    <w:nsid w:val="BAAC1B4"/>
    <w:multiLevelType w:val="hybridMultilevel"/>
    <w:lvl w:ilvl="0">
      <w:lvlJc w:val="left"/>
      <w:lvlText w:val="^"/>
      <w:numFmt w:val="bullet"/>
      <w:start w:val="1"/>
    </w:lvl>
  </w:abstractNum>
  <w:abstractNum w:abstractNumId="116">
    <w:nsid w:val="36B2ACBC"/>
    <w:multiLevelType w:val="hybridMultilevel"/>
    <w:lvl w:ilvl="0">
      <w:lvlJc w:val="left"/>
      <w:lvlText w:val="•"/>
      <w:numFmt w:val="bullet"/>
      <w:start w:val="1"/>
    </w:lvl>
  </w:abstractNum>
  <w:abstractNum w:abstractNumId="117">
    <w:nsid w:val="779D8544"/>
    <w:multiLevelType w:val="hybridMultilevel"/>
    <w:lvl w:ilvl="0">
      <w:lvlJc w:val="left"/>
      <w:lvlText w:val="•"/>
      <w:numFmt w:val="bullet"/>
      <w:start w:val="1"/>
    </w:lvl>
  </w:abstractNum>
  <w:abstractNum w:abstractNumId="118">
    <w:nsid w:val="4AB26E78"/>
    <w:multiLevelType w:val="hybridMultilevel"/>
    <w:lvl w:ilvl="0">
      <w:lvlJc w:val="left"/>
      <w:lvlText w:val="•"/>
      <w:numFmt w:val="bullet"/>
      <w:start w:val="1"/>
    </w:lvl>
  </w:abstractNum>
  <w:abstractNum w:abstractNumId="119">
    <w:nsid w:val="21FAA2FA"/>
    <w:multiLevelType w:val="hybridMultilevel"/>
    <w:lvl w:ilvl="0">
      <w:lvlJc w:val="left"/>
      <w:lvlText w:val="•"/>
      <w:numFmt w:val="bullet"/>
      <w:start w:val="1"/>
    </w:lvl>
  </w:abstractNum>
  <w:abstractNum w:abstractNumId="120">
    <w:nsid w:val="5451CF49"/>
    <w:multiLevelType w:val="hybridMultilevel"/>
    <w:lvl w:ilvl="0">
      <w:lvlJc w:val="left"/>
      <w:lvlText w:val="•"/>
      <w:numFmt w:val="bullet"/>
      <w:start w:val="1"/>
    </w:lvl>
  </w:abstractNum>
  <w:abstractNum w:abstractNumId="121">
    <w:nsid w:val="6181EF69"/>
    <w:multiLevelType w:val="hybridMultilevel"/>
    <w:lvl w:ilvl="0">
      <w:lvlJc w:val="left"/>
      <w:lvlText w:val="•"/>
      <w:numFmt w:val="bullet"/>
      <w:start w:val="1"/>
    </w:lvl>
  </w:abstractNum>
  <w:abstractNum w:abstractNumId="122">
    <w:nsid w:val="3E6400E6"/>
    <w:multiLevelType w:val="hybridMultilevel"/>
    <w:lvl w:ilvl="0">
      <w:lvlJc w:val="left"/>
      <w:lvlText w:val="•"/>
      <w:numFmt w:val="bullet"/>
      <w:start w:val="1"/>
    </w:lvl>
  </w:abstractNum>
  <w:abstractNum w:abstractNumId="123">
    <w:nsid w:val="14217E23"/>
    <w:multiLevelType w:val="hybridMultilevel"/>
    <w:lvl w:ilvl="0">
      <w:lvlJc w:val="left"/>
      <w:lvlText w:val="•"/>
      <w:numFmt w:val="bullet"/>
      <w:start w:val="1"/>
    </w:lvl>
  </w:abstractNum>
  <w:abstractNum w:abstractNumId="124">
    <w:nsid w:val="710757D0"/>
    <w:multiLevelType w:val="hybridMultilevel"/>
    <w:lvl w:ilvl="0">
      <w:lvlJc w:val="left"/>
      <w:lvlText w:val="(%1)"/>
      <w:numFmt w:val="decimal"/>
      <w:start w:val="1"/>
    </w:lvl>
  </w:abstractNum>
  <w:abstractNum w:abstractNumId="125">
    <w:nsid w:val="5015CD1A"/>
    <w:multiLevelType w:val="hybridMultilevel"/>
    <w:lvl w:ilvl="0">
      <w:lvlJc w:val="left"/>
      <w:lvlText w:val="•"/>
      <w:numFmt w:val="bullet"/>
      <w:start w:val="1"/>
    </w:lvl>
  </w:abstractNum>
  <w:abstractNum w:abstractNumId="126">
    <w:nsid w:val="424479DA"/>
    <w:multiLevelType w:val="hybridMultilevel"/>
    <w:lvl w:ilvl="0">
      <w:lvlJc w:val="left"/>
      <w:lvlText w:val="•"/>
      <w:numFmt w:val="bullet"/>
      <w:start w:val="1"/>
    </w:lvl>
  </w:abstractNum>
  <w:abstractNum w:abstractNumId="127">
    <w:nsid w:val="1A9A9E69"/>
    <w:multiLevelType w:val="hybridMultilevel"/>
    <w:lvl w:ilvl="0">
      <w:lvlJc w:val="left"/>
      <w:lvlText w:val="•"/>
      <w:numFmt w:val="bullet"/>
      <w:start w:val="1"/>
    </w:lvl>
  </w:abstractNum>
  <w:abstractNum w:abstractNumId="128">
    <w:nsid w:val="475E256A"/>
    <w:multiLevelType w:val="hybridMultilevel"/>
    <w:lvl w:ilvl="0">
      <w:lvlJc w:val="left"/>
      <w:lvlText w:val="•"/>
      <w:numFmt w:val="bullet"/>
      <w:start w:val="1"/>
    </w:lvl>
  </w:abstractNum>
  <w:abstractNum w:abstractNumId="129">
    <w:nsid w:val="368DB37E"/>
    <w:multiLevelType w:val="hybridMultilevel"/>
    <w:lvl w:ilvl="0">
      <w:lvlJc w:val="left"/>
      <w:lvlText w:val="•"/>
      <w:numFmt w:val="bullet"/>
      <w:start w:val="1"/>
    </w:lvl>
  </w:abstractNum>
  <w:abstractNum w:abstractNumId="130">
    <w:nsid w:val="6A3B714C"/>
    <w:multiLevelType w:val="hybridMultilevel"/>
    <w:lvl w:ilvl="0">
      <w:lvlJc w:val="left"/>
      <w:lvlText w:val="•"/>
      <w:numFmt w:val="bullet"/>
      <w:start w:val="1"/>
    </w:lvl>
  </w:abstractNum>
  <w:abstractNum w:abstractNumId="131">
    <w:nsid w:val="327B517E"/>
    <w:multiLevelType w:val="hybridMultilevel"/>
    <w:lvl w:ilvl="0">
      <w:lvlJc w:val="left"/>
      <w:lvlText w:val="•"/>
      <w:numFmt w:val="bullet"/>
      <w:start w:val="1"/>
    </w:lvl>
  </w:abstractNum>
  <w:abstractNum w:abstractNumId="132">
    <w:nsid w:val="1F461B51"/>
    <w:multiLevelType w:val="hybridMultilevel"/>
    <w:lvl w:ilvl="0">
      <w:lvlJc w:val="left"/>
      <w:lvlText w:val="•"/>
      <w:numFmt w:val="bullet"/>
      <w:start w:val="1"/>
    </w:lvl>
  </w:abstractNum>
  <w:abstractNum w:abstractNumId="133">
    <w:nsid w:val="29BACF25"/>
    <w:multiLevelType w:val="hybridMultilevel"/>
    <w:lvl w:ilvl="0">
      <w:lvlJc w:val="left"/>
      <w:lvlText w:val="(%1)"/>
      <w:numFmt w:val="lowerRoman"/>
      <w:start w:val="1"/>
    </w:lvl>
  </w:abstractNum>
  <w:abstractNum w:abstractNumId="134">
    <w:nsid w:val="5D5BABB3"/>
    <w:multiLevelType w:val="hybridMultilevel"/>
    <w:lvl w:ilvl="0">
      <w:lvlJc w:val="left"/>
      <w:lvlText w:val="(%1)"/>
      <w:numFmt w:val="decimal"/>
      <w:start w:val="1"/>
    </w:lvl>
  </w:abstractNum>
  <w:abstractNum w:abstractNumId="135">
    <w:nsid w:val="51BF6B48"/>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36">
    <w:nsid w:val="7E0F6384"/>
    <w:multiLevelType w:val="hybridMultilevel"/>
    <w:lvl w:ilvl="0">
      <w:lvlJc w:val="left"/>
      <w:lvlText w:val="•"/>
      <w:numFmt w:val="bullet"/>
      <w:start w:val="1"/>
    </w:lvl>
  </w:abstractNum>
  <w:abstractNum w:abstractNumId="137">
    <w:nsid w:val="2B4B8B53"/>
    <w:multiLevelType w:val="hybridMultilevel"/>
    <w:lvl w:ilvl="0">
      <w:lvlJc w:val="left"/>
      <w:lvlText w:val="•"/>
      <w:numFmt w:val="bullet"/>
      <w:start w:val="1"/>
    </w:lvl>
  </w:abstractNum>
  <w:abstractNum w:abstractNumId="138">
    <w:nsid w:val="72E3413A"/>
    <w:multiLevelType w:val="hybridMultilevel"/>
    <w:lvl w:ilvl="0">
      <w:lvlJc w:val="left"/>
      <w:lvlText w:val="•"/>
      <w:numFmt w:val="bullet"/>
      <w:start w:val="1"/>
    </w:lvl>
  </w:abstractNum>
  <w:abstractNum w:abstractNumId="139">
    <w:nsid w:val="116AE494"/>
    <w:multiLevelType w:val="hybridMultilevel"/>
    <w:lvl w:ilvl="0">
      <w:lvlJc w:val="left"/>
      <w:lvlText w:val="•"/>
      <w:numFmt w:val="bullet"/>
      <w:start w:val="1"/>
    </w:lvl>
  </w:abstractNum>
  <w:abstractNum w:abstractNumId="140">
    <w:nsid w:val="3494B2FB"/>
    <w:multiLevelType w:val="hybridMultilevel"/>
    <w:lvl w:ilvl="0">
      <w:lvlJc w:val="left"/>
      <w:lvlText w:val="•"/>
      <w:numFmt w:val="bullet"/>
      <w:start w:val="1"/>
    </w:lvl>
  </w:abstractNum>
  <w:abstractNum w:abstractNumId="141">
    <w:nsid w:val="B13A31"/>
    <w:multiLevelType w:val="hybridMultilevel"/>
    <w:lvl w:ilvl="0">
      <w:lvlJc w:val="left"/>
      <w:lvlText w:val="•"/>
      <w:numFmt w:val="bullet"/>
      <w:start w:val="1"/>
    </w:lvl>
    <w:lvl w:ilvl="1">
      <w:lvlJc w:val="left"/>
      <w:lvlText w:val="•"/>
      <w:numFmt w:val="bullet"/>
      <w:start w:val="1"/>
    </w:lvl>
  </w:abstractNum>
  <w:abstractNum w:abstractNumId="142">
    <w:nsid w:val="64429599"/>
    <w:multiLevelType w:val="hybridMultilevel"/>
    <w:lvl w:ilvl="0">
      <w:lvlJc w:val="left"/>
      <w:lvlText w:val="•"/>
      <w:numFmt w:val="bullet"/>
      <w:start w:val="1"/>
    </w:lvl>
  </w:abstractNum>
  <w:abstractNum w:abstractNumId="143">
    <w:nsid w:val="631F1690"/>
    <w:multiLevelType w:val="hybridMultilevel"/>
    <w:lvl w:ilvl="0">
      <w:lvlJc w:val="left"/>
      <w:lvlText w:val="•"/>
      <w:numFmt w:val="bullet"/>
      <w:start w:val="1"/>
    </w:lvl>
  </w:abstractNum>
  <w:abstractNum w:abstractNumId="144">
    <w:nsid w:val="25973E32"/>
    <w:multiLevelType w:val="hybridMultilevel"/>
    <w:lvl w:ilvl="0">
      <w:lvlJc w:val="left"/>
      <w:lvlText w:val="(%1)"/>
      <w:numFmt w:val="lowerLetter"/>
      <w:start w:val="1"/>
    </w:lvl>
    <w:lvl w:ilvl="1">
      <w:lvlJc w:val="left"/>
      <w:lvlText w:val="•"/>
      <w:numFmt w:val="bullet"/>
      <w:start w:val="1"/>
    </w:lvl>
  </w:abstractNum>
  <w:abstractNum w:abstractNumId="145">
    <w:nsid w:val="EAD6F57"/>
    <w:multiLevelType w:val="hybridMultilevel"/>
    <w:lvl w:ilvl="0">
      <w:lvlJc w:val="left"/>
      <w:lvlText w:val="(%1)"/>
      <w:numFmt w:val="lowerLetter"/>
      <w:start w:val="1"/>
    </w:lvl>
    <w:lvl w:ilvl="1">
      <w:lvlJc w:val="left"/>
      <w:lvlText w:val="•"/>
      <w:numFmt w:val="bullet"/>
      <w:start w:val="1"/>
    </w:lvl>
  </w:abstractNum>
  <w:abstractNum w:abstractNumId="146">
    <w:nsid w:val="6EC9D844"/>
    <w:multiLevelType w:val="hybridMultilevel"/>
    <w:lvl w:ilvl="0">
      <w:lvlJc w:val="left"/>
      <w:lvlText w:val="•"/>
      <w:numFmt w:val="bullet"/>
      <w:start w:val="1"/>
    </w:lvl>
  </w:abstractNum>
  <w:abstractNum w:abstractNumId="147">
    <w:nsid w:val="5C49EAEE"/>
    <w:multiLevelType w:val="hybridMultilevel"/>
    <w:lvl w:ilvl="0">
      <w:lvlJc w:val="left"/>
      <w:lvlText w:val="•"/>
      <w:numFmt w:val="bullet"/>
      <w:start w:val="1"/>
    </w:lvl>
  </w:abstractNum>
  <w:abstractNum w:abstractNumId="148">
    <w:nsid w:val="64AF49B"/>
    <w:multiLevelType w:val="hybridMultilevel"/>
    <w:lvl w:ilvl="0">
      <w:lvlJc w:val="left"/>
      <w:lvlText w:val="•"/>
      <w:numFmt w:val="bullet"/>
      <w:start w:val="1"/>
    </w:lvl>
  </w:abstractNum>
  <w:abstractNum w:abstractNumId="149">
    <w:nsid w:val="397C46BC"/>
    <w:multiLevelType w:val="hybridMultilevel"/>
    <w:lvl w:ilvl="0">
      <w:lvlJc w:val="left"/>
      <w:lvlText w:val="•"/>
      <w:numFmt w:val="bullet"/>
      <w:start w:val="1"/>
    </w:lvl>
  </w:abstractNum>
  <w:abstractNum w:abstractNumId="150">
    <w:nsid w:val="7E448DE9"/>
    <w:multiLevelType w:val="hybridMultilevel"/>
    <w:lvl w:ilvl="0">
      <w:lvlJc w:val="left"/>
      <w:lvlText w:val="•"/>
      <w:numFmt w:val="bullet"/>
      <w:start w:val="1"/>
    </w:lvl>
  </w:abstractNum>
  <w:abstractNum w:abstractNumId="151">
    <w:nsid w:val="5A9CC3E5"/>
    <w:multiLevelType w:val="hybridMultilevel"/>
    <w:lvl w:ilvl="0">
      <w:lvlJc w:val="left"/>
      <w:lvlText w:val="•"/>
      <w:numFmt w:val="bullet"/>
      <w:start w:val="1"/>
    </w:lvl>
  </w:abstractNum>
  <w:abstractNum w:abstractNumId="152">
    <w:nsid w:val="1AFE3625"/>
    <w:multiLevelType w:val="hybridMultilevel"/>
    <w:lvl w:ilvl="0">
      <w:lvlJc w:val="left"/>
      <w:lvlText w:val="(%1)"/>
      <w:numFmt w:val="lowerRoman"/>
      <w:start w:val="1"/>
    </w:lvl>
  </w:abstractNum>
  <w:abstractNum w:abstractNumId="153">
    <w:nsid w:val="3CA88ECF"/>
    <w:multiLevelType w:val="hybridMultilevel"/>
    <w:lvl w:ilvl="0">
      <w:lvlJc w:val="left"/>
      <w:lvlText w:val="•"/>
      <w:numFmt w:val="bullet"/>
      <w:start w:val="1"/>
    </w:lvl>
  </w:abstractNum>
  <w:abstractNum w:abstractNumId="154">
    <w:nsid w:val="6EBE4208"/>
    <w:multiLevelType w:val="hybridMultilevel"/>
    <w:lvl w:ilvl="0">
      <w:lvlJc w:val="left"/>
      <w:lvlText w:val="•"/>
      <w:numFmt w:val="bullet"/>
      <w:start w:val="1"/>
    </w:lvl>
  </w:abstractNum>
  <w:abstractNum w:abstractNumId="155">
    <w:nsid w:val="C058DF5"/>
    <w:multiLevelType w:val="hybridMultilevel"/>
    <w:lvl w:ilvl="0">
      <w:lvlJc w:val="left"/>
      <w:lvlText w:val="•"/>
      <w:numFmt w:val="bullet"/>
      <w:start w:val="1"/>
    </w:lvl>
  </w:abstractNum>
  <w:abstractNum w:abstractNumId="156">
    <w:nsid w:val="CBE5BE9"/>
    <w:multiLevelType w:val="hybridMultilevel"/>
    <w:lvl w:ilvl="0">
      <w:lvlJc w:val="left"/>
      <w:lvlText w:val="•"/>
      <w:numFmt w:val="bullet"/>
      <w:start w:val="1"/>
    </w:lvl>
  </w:abstractNum>
  <w:abstractNum w:abstractNumId="157">
    <w:nsid w:val="3102BBE2"/>
    <w:multiLevelType w:val="hybridMultilevel"/>
    <w:lvl w:ilvl="0">
      <w:lvlJc w:val="left"/>
      <w:lvlText w:val="•"/>
      <w:numFmt w:val="bullet"/>
      <w:start w:val="1"/>
    </w:lvl>
  </w:abstractNum>
  <w:abstractNum w:abstractNumId="158">
    <w:nsid w:val="26A02C5E"/>
    <w:multiLevelType w:val="hybridMultilevel"/>
    <w:lvl w:ilvl="0">
      <w:lvlJc w:val="left"/>
      <w:lvlText w:val="•"/>
      <w:numFmt w:val="bullet"/>
      <w:start w:val="1"/>
    </w:lvl>
  </w:abstractNum>
  <w:abstractNum w:abstractNumId="159">
    <w:nsid w:val="541C8153"/>
    <w:multiLevelType w:val="hybridMultilevel"/>
    <w:lvl w:ilvl="0">
      <w:lvlJc w:val="left"/>
      <w:lvlText w:val="&amp;"/>
      <w:numFmt w:val="bullet"/>
      <w:start w:val="1"/>
    </w:lvl>
  </w:abstractNum>
  <w:abstractNum w:abstractNumId="160">
    <w:nsid w:val="67906F60"/>
    <w:multiLevelType w:val="hybridMultilevel"/>
    <w:lvl w:ilvl="0">
      <w:lvlJc w:val="left"/>
      <w:lvlText w:val="•"/>
      <w:numFmt w:val="bullet"/>
      <w:start w:val="1"/>
    </w:lvl>
  </w:abstractNum>
  <w:abstractNum w:abstractNumId="161">
    <w:nsid w:val="10DB9DAA"/>
    <w:multiLevelType w:val="hybridMultilevel"/>
    <w:lvl w:ilvl="0">
      <w:lvlJc w:val="left"/>
      <w:lvlText w:val="•"/>
      <w:numFmt w:val="bullet"/>
      <w:start w:val="1"/>
    </w:lvl>
  </w:abstractNum>
  <w:abstractNum w:abstractNumId="162">
    <w:nsid w:val="697D2D2"/>
    <w:multiLevelType w:val="hybridMultilevel"/>
    <w:lvl w:ilvl="0">
      <w:lvlJc w:val="left"/>
      <w:lvlText w:val="•"/>
      <w:numFmt w:val="bullet"/>
      <w:start w:val="1"/>
    </w:lvl>
  </w:abstractNum>
  <w:abstractNum w:abstractNumId="163">
    <w:nsid w:val="6D68AB2"/>
    <w:multiLevelType w:val="hybridMultilevel"/>
    <w:lvl w:ilvl="0">
      <w:lvlJc w:val="left"/>
      <w:lvlText w:val="•"/>
      <w:numFmt w:val="bullet"/>
      <w:start w:val="1"/>
    </w:lvl>
  </w:abstractNum>
  <w:abstractNum w:abstractNumId="164">
    <w:nsid w:val="3A966CD0"/>
    <w:multiLevelType w:val="hybridMultilevel"/>
    <w:lvl w:ilvl="0">
      <w:lvlJc w:val="left"/>
      <w:lvlText w:val="•"/>
      <w:numFmt w:val="bullet"/>
      <w:start w:val="1"/>
    </w:lvl>
  </w:abstractNum>
  <w:abstractNum w:abstractNumId="165">
    <w:nsid w:val="63F37E85"/>
    <w:multiLevelType w:val="hybridMultilevel"/>
    <w:lvl w:ilvl="0">
      <w:lvlJc w:val="left"/>
      <w:lvlText w:val="•"/>
      <w:numFmt w:val="bullet"/>
      <w:start w:val="1"/>
    </w:lvl>
  </w:abstractNum>
  <w:abstractNum w:abstractNumId="166">
    <w:nsid w:val="5895F5FA"/>
    <w:multiLevelType w:val="hybridMultilevel"/>
    <w:lvl w:ilvl="0">
      <w:lvlJc w:val="left"/>
      <w:lvlText w:val="%1."/>
      <w:numFmt w:val="decimal"/>
      <w:start w:val="1"/>
    </w:lvl>
    <w:lvl w:ilvl="1">
      <w:lvlJc w:val="left"/>
      <w:lvlText w:val="(%2)"/>
      <w:numFmt w:val="lowerRoman"/>
      <w:start w:val="1"/>
    </w:lvl>
  </w:abstractNum>
  <w:abstractNum w:abstractNumId="167">
    <w:nsid w:val="38A5D054"/>
    <w:multiLevelType w:val="hybridMultilevel"/>
    <w:lvl w:ilvl="0">
      <w:lvlJc w:val="left"/>
      <w:lvlText w:val="%1."/>
      <w:numFmt w:val="decimal"/>
      <w:start w:val="8"/>
    </w:lvl>
  </w:abstractNum>
  <w:abstractNum w:abstractNumId="168">
    <w:nsid w:val="F3F09D8"/>
    <w:multiLevelType w:val="hybridMultilevel"/>
    <w:lvl w:ilvl="0">
      <w:lvlJc w:val="left"/>
      <w:lvlText w:val="•"/>
      <w:numFmt w:val="bullet"/>
      <w:start w:val="1"/>
    </w:lvl>
  </w:abstractNum>
  <w:abstractNum w:abstractNumId="169">
    <w:nsid w:val="4B793735"/>
    <w:multiLevelType w:val="hybridMultilevel"/>
    <w:lvl w:ilvl="0">
      <w:lvlJc w:val="left"/>
      <w:lvlText w:val="•"/>
      <w:numFmt w:val="bullet"/>
      <w:start w:val="1"/>
    </w:lvl>
  </w:abstractNum>
  <w:abstractNum w:abstractNumId="170">
    <w:nsid w:val="4A10B4E8"/>
    <w:multiLevelType w:val="hybridMultilevel"/>
    <w:lvl w:ilvl="0">
      <w:lvlJc w:val="left"/>
      <w:lvlText w:val="•"/>
      <w:numFmt w:val="bullet"/>
      <w:start w:val="1"/>
    </w:lvl>
  </w:abstractNum>
  <w:abstractNum w:abstractNumId="171">
    <w:nsid w:val="43D3BCD4"/>
    <w:multiLevelType w:val="hybridMultilevel"/>
    <w:lvl w:ilvl="0">
      <w:lvlJc w:val="left"/>
      <w:lvlText w:val="•"/>
      <w:numFmt w:val="bullet"/>
      <w:start w:val="1"/>
    </w:lvl>
  </w:abstractNum>
  <w:abstractNum w:abstractNumId="172">
    <w:nsid w:val="4C2A7166"/>
    <w:multiLevelType w:val="hybridMultilevel"/>
    <w:lvl w:ilvl="0">
      <w:lvlJc w:val="left"/>
      <w:lvlText w:val="•"/>
      <w:numFmt w:val="bullet"/>
      <w:start w:val="1"/>
    </w:lvl>
  </w:abstractNum>
  <w:abstractNum w:abstractNumId="173">
    <w:nsid w:val="2E534A82"/>
    <w:multiLevelType w:val="hybridMultilevel"/>
    <w:lvl w:ilvl="0">
      <w:lvlJc w:val="left"/>
      <w:lvlText w:val="•"/>
      <w:numFmt w:val="bullet"/>
      <w:start w:val="1"/>
    </w:lvl>
  </w:abstractNum>
  <w:abstractNum w:abstractNumId="174">
    <w:nsid w:val="26F2D364"/>
    <w:multiLevelType w:val="hybridMultilevel"/>
    <w:lvl w:ilvl="0">
      <w:lvlJc w:val="left"/>
      <w:lvlText w:val="•"/>
      <w:numFmt w:val="bullet"/>
      <w:start w:val="1"/>
    </w:lvl>
  </w:abstractNum>
  <w:abstractNum w:abstractNumId="175">
    <w:nsid w:val="71C1AF98"/>
    <w:multiLevelType w:val="hybridMultilevel"/>
    <w:lvl w:ilvl="0">
      <w:lvlJc w:val="left"/>
      <w:lvlText w:val="•"/>
      <w:numFmt w:val="bullet"/>
      <w:start w:val="1"/>
    </w:lvl>
  </w:abstractNum>
  <w:abstractNum w:abstractNumId="176">
    <w:nsid w:val="3D00B9D9"/>
    <w:multiLevelType w:val="hybridMultilevel"/>
    <w:lvl w:ilvl="0">
      <w:lvlJc w:val="left"/>
      <w:lvlText w:val="•"/>
      <w:numFmt w:val="bullet"/>
      <w:start w:val="1"/>
    </w:lvl>
  </w:abstractNum>
  <w:abstractNum w:abstractNumId="177">
    <w:nsid w:val="15BCABA8"/>
    <w:multiLevelType w:val="hybridMultilevel"/>
    <w:lvl w:ilvl="0">
      <w:lvlJc w:val="left"/>
      <w:lvlText w:val="•"/>
      <w:numFmt w:val="bullet"/>
      <w:start w:val="1"/>
    </w:lvl>
  </w:abstractNum>
  <w:abstractNum w:abstractNumId="178">
    <w:nsid w:val="4E0B9A87"/>
    <w:multiLevelType w:val="hybridMultilevel"/>
    <w:lvl w:ilvl="0">
      <w:lvlJc w:val="left"/>
      <w:lvlText w:val="•"/>
      <w:numFmt w:val="bullet"/>
      <w:start w:val="1"/>
    </w:lvl>
  </w:abstractNum>
  <w:abstractNum w:abstractNumId="179">
    <w:nsid w:val="434BAE75"/>
    <w:multiLevelType w:val="hybridMultilevel"/>
    <w:lvl w:ilvl="0">
      <w:lvlJc w:val="left"/>
      <w:lvlText w:val="•"/>
      <w:numFmt w:val="bullet"/>
      <w:start w:val="1"/>
    </w:lvl>
  </w:abstractNum>
  <w:abstractNum w:abstractNumId="180">
    <w:nsid w:val="4F38F265"/>
    <w:multiLevelType w:val="hybridMultilevel"/>
    <w:lvl w:ilvl="0">
      <w:lvlJc w:val="left"/>
      <w:lvlText w:val="•"/>
      <w:numFmt w:val="bullet"/>
      <w:start w:val="1"/>
    </w:lvl>
  </w:abstractNum>
  <w:abstractNum w:abstractNumId="181">
    <w:nsid w:val="4C502870"/>
    <w:multiLevelType w:val="hybridMultilevel"/>
    <w:lvl w:ilvl="0">
      <w:lvlJc w:val="left"/>
      <w:lvlText w:val="•"/>
      <w:numFmt w:val="bullet"/>
      <w:start w:val="1"/>
    </w:lvl>
  </w:abstractNum>
  <w:abstractNum w:abstractNumId="182">
    <w:nsid w:val="1DE8725A"/>
    <w:multiLevelType w:val="hybridMultilevel"/>
    <w:lvl w:ilvl="0">
      <w:lvlJc w:val="left"/>
      <w:lvlText w:val="•"/>
      <w:numFmt w:val="bullet"/>
      <w:start w:val="1"/>
    </w:lvl>
  </w:abstractNum>
  <w:abstractNum w:abstractNumId="183">
    <w:nsid w:val="6A37288A"/>
    <w:multiLevelType w:val="hybridMultilevel"/>
    <w:lvl w:ilvl="0">
      <w:lvlJc w:val="left"/>
      <w:lvlText w:val="•"/>
      <w:numFmt w:val="bullet"/>
      <w:start w:val="1"/>
    </w:lvl>
  </w:abstractNum>
  <w:abstractNum w:abstractNumId="184">
    <w:nsid w:val="8F8B73F"/>
    <w:multiLevelType w:val="hybridMultilevel"/>
    <w:lvl w:ilvl="0">
      <w:lvlJc w:val="left"/>
      <w:lvlText w:val="(%1)"/>
      <w:numFmt w:val="lowerRoman"/>
      <w:start w:val="2"/>
    </w:lvl>
  </w:abstractNum>
  <w:abstractNum w:abstractNumId="185">
    <w:nsid w:val="CA6B462"/>
    <w:multiLevelType w:val="hybridMultilevel"/>
    <w:lvl w:ilvl="0">
      <w:lvlJc w:val="left"/>
      <w:lvlText w:val="%1)"/>
      <w:numFmt w:val="lowerLetter"/>
      <w:start w:val="1"/>
    </w:lvl>
  </w:abstractNum>
  <w:abstractNum w:abstractNumId="186">
    <w:nsid w:val="763CB680"/>
    <w:multiLevelType w:val="hybridMultilevel"/>
    <w:lvl w:ilvl="0">
      <w:lvlJc w:val="left"/>
      <w:lvlText w:val="%1)"/>
      <w:numFmt w:val="lowerLetter"/>
      <w:start w:val="5"/>
    </w:lvl>
    <w:lvl w:ilvl="1">
      <w:lvlJc w:val="left"/>
      <w:lvlText w:val="(%2)"/>
      <w:numFmt w:val="lowerRoman"/>
      <w:start w:val="2"/>
    </w:lvl>
  </w:abstractNum>
  <w:abstractNum w:abstractNumId="187">
    <w:nsid w:val="15B71329"/>
    <w:multiLevelType w:val="hybridMultilevel"/>
    <w:lvl w:ilvl="0">
      <w:lvlJc w:val="left"/>
      <w:lvlText w:val="%1)"/>
      <w:numFmt w:val="lowerLetter"/>
      <w:start w:val="1"/>
    </w:lvl>
  </w:abstractNum>
  <w:abstractNum w:abstractNumId="188">
    <w:nsid w:val="3DA97044"/>
    <w:multiLevelType w:val="hybridMultilevel"/>
    <w:lvl w:ilvl="0">
      <w:lvlJc w:val="left"/>
      <w:lvlText w:val="%1)"/>
      <w:numFmt w:val="lowerLetter"/>
      <w:start w:val="1"/>
    </w:lvl>
    <w:lvl w:ilvl="1">
      <w:lvlJc w:val="left"/>
      <w:lvlText w:val="•"/>
      <w:numFmt w:val="bullet"/>
      <w:start w:val="1"/>
    </w:lvl>
  </w:abstractNum>
  <w:abstractNum w:abstractNumId="189">
    <w:nsid w:val="1CDCE2DE"/>
    <w:multiLevelType w:val="hybridMultilevel"/>
    <w:lvl w:ilvl="0">
      <w:lvlJc w:val="left"/>
      <w:lvlText w:val="%1)"/>
      <w:numFmt w:val="lowerLetter"/>
      <w:start w:val="4"/>
    </w:lvl>
    <w:lvl w:ilvl="1">
      <w:lvlJc w:val="left"/>
      <w:lvlText w:val="•"/>
      <w:numFmt w:val="bullet"/>
      <w:start w:val="1"/>
    </w:lvl>
  </w:abstractNum>
  <w:abstractNum w:abstractNumId="190">
    <w:nsid w:val="69D3947C"/>
    <w:multiLevelType w:val="hybridMultilevel"/>
    <w:lvl w:ilvl="0">
      <w:lvlJc w:val="left"/>
      <w:lvlText w:val="%1)"/>
      <w:numFmt w:val="lowerLetter"/>
      <w:start w:val="11"/>
    </w:lvl>
    <w:lvl w:ilvl="1">
      <w:lvlJc w:val="left"/>
      <w:lvlText w:val="•"/>
      <w:numFmt w:val="bullet"/>
      <w:start w:val="1"/>
    </w:lvl>
  </w:abstractNum>
  <w:abstractNum w:abstractNumId="191">
    <w:nsid w:val="2539DFA5"/>
    <w:multiLevelType w:val="hybridMultilevel"/>
    <w:lvl w:ilvl="0">
      <w:lvlJc w:val="left"/>
      <w:lvlText w:val="•"/>
      <w:numFmt w:val="bullet"/>
      <w:start w:val="1"/>
    </w:lvl>
  </w:abstractNum>
  <w:abstractNum w:abstractNumId="192">
    <w:nsid w:val="2DB88089"/>
    <w:multiLevelType w:val="hybridMultilevel"/>
    <w:lvl w:ilvl="0">
      <w:lvlJc w:val="left"/>
      <w:lvlText w:val="-"/>
      <w:numFmt w:val="bullet"/>
      <w:start w:val="1"/>
    </w:lvl>
  </w:abstractNum>
  <w:abstractNum w:abstractNumId="193">
    <w:nsid w:val="706B674E"/>
    <w:multiLevelType w:val="hybridMultilevel"/>
    <w:lvl w:ilvl="0">
      <w:lvlJc w:val="left"/>
      <w:lvlText w:val="(%1)"/>
      <w:numFmt w:val="lowerRoman"/>
      <w:start w:val="1"/>
    </w:lvl>
  </w:abstractNum>
  <w:abstractNum w:abstractNumId="194">
    <w:nsid w:val="2C106A57"/>
    <w:multiLevelType w:val="hybridMultilevel"/>
    <w:lvl w:ilvl="0">
      <w:lvlJc w:val="left"/>
      <w:lvlText w:val="(%1)"/>
      <w:numFmt w:val="lowerRoman"/>
      <w:start w:val="2"/>
    </w:lvl>
  </w:abstractNum>
  <w:abstractNum w:abstractNumId="195">
    <w:nsid w:val="684EED59"/>
    <w:multiLevelType w:val="hybridMultilevel"/>
    <w:lvl w:ilvl="0">
      <w:lvlJc w:val="left"/>
      <w:lvlText w:val="1"/>
      <w:numFmt w:val="bullet"/>
      <w:start w:val="1"/>
    </w:lvl>
  </w:abstractNum>
  <w:abstractNum w:abstractNumId="196">
    <w:nsid w:val="545EE5D3"/>
    <w:multiLevelType w:val="hybridMultilevel"/>
    <w:lvl w:ilvl="0">
      <w:lvlJc w:val="left"/>
      <w:lvlText w:val="%1."/>
      <w:numFmt w:val="decimal"/>
      <w:start w:val="1"/>
    </w:lvl>
  </w:abstractNum>
  <w:abstractNum w:abstractNumId="197">
    <w:nsid w:val="4A66051"/>
    <w:multiLevelType w:val="hybridMultilevel"/>
    <w:lvl w:ilvl="0">
      <w:lvlJc w:val="left"/>
      <w:lvlText w:val="%1."/>
      <w:numFmt w:val="decimal"/>
      <w:start w:val="2"/>
    </w:lvl>
  </w:abstractNum>
  <w:abstractNum w:abstractNumId="198">
    <w:nsid w:val="20F4BDAD"/>
    <w:multiLevelType w:val="hybridMultilevel"/>
    <w:lvl w:ilvl="0">
      <w:lvlJc w:val="left"/>
      <w:lvlText w:val="%1)"/>
      <w:numFmt w:val="lowerLetter"/>
    </w:lvl>
    <w:lvl w:ilvl="1">
      <w:lvlJc w:val="left"/>
      <w:lvlText w:val="-"/>
      <w:numFmt w:val="bullet"/>
      <w:start w:val="1"/>
    </w:lvl>
  </w:abstractNum>
  <w:abstractNum w:abstractNumId="199">
    <w:nsid w:val="639DEFAC"/>
    <w:multiLevelType w:val="hybridMultilevel"/>
    <w:lvl w:ilvl="0">
      <w:lvlJc w:val="left"/>
      <w:lvlText w:val="2"/>
      <w:numFmt w:val="bullet"/>
      <w:start w:val="1"/>
    </w:lvl>
  </w:abstractNum>
  <w:abstractNum w:abstractNumId="200">
    <w:nsid w:val="501F9786"/>
    <w:multiLevelType w:val="hybridMultilevel"/>
    <w:lvl w:ilvl="0">
      <w:lvlJc w:val="left"/>
      <w:lvlText w:val="%1)"/>
      <w:numFmt w:val="lowerRoman"/>
      <w:start w:val="1"/>
    </w:lvl>
  </w:abstractNum>
  <w:abstractNum w:abstractNumId="201">
    <w:nsid w:val="6B057295"/>
    <w:multiLevelType w:val="hybridMultilevel"/>
    <w:lvl w:ilvl="0">
      <w:lvlJc w:val="left"/>
      <w:lvlText w:val="%1)"/>
      <w:numFmt w:val="lowerLetter"/>
      <w:start w:val="3"/>
    </w:lvl>
  </w:abstractNum>
  <w:abstractNum w:abstractNumId="202">
    <w:nsid w:val="2771AC80"/>
    <w:multiLevelType w:val="hybridMultilevel"/>
    <w:lvl w:ilvl="0">
      <w:lvlJc w:val="left"/>
      <w:lvlText w:val="-"/>
      <w:numFmt w:val="bullet"/>
      <w:start w:val="1"/>
    </w:lvl>
  </w:abstractNum>
  <w:abstractNum w:abstractNumId="203">
    <w:nsid w:val="1C4A08EC"/>
    <w:multiLevelType w:val="hybridMultilevel"/>
    <w:lvl w:ilvl="0">
      <w:lvlJc w:val="left"/>
      <w:lvlText w:val="-"/>
      <w:numFmt w:val="bullet"/>
      <w:start w:val="1"/>
    </w:lvl>
  </w:abstractNum>
  <w:abstractNum w:abstractNumId="204">
    <w:nsid w:val="1958BD17"/>
    <w:multiLevelType w:val="hybridMultilevel"/>
    <w:lvl w:ilvl="0">
      <w:lvlJc w:val="left"/>
      <w:lvlText w:val="%1."/>
      <w:numFmt w:val="decimal"/>
      <w:start w:val="3"/>
    </w:lvl>
  </w:abstractNum>
  <w:abstractNum w:abstractNumId="205">
    <w:nsid w:val="4E647FE4"/>
    <w:multiLevelType w:val="hybridMultilevel"/>
    <w:lvl w:ilvl="0">
      <w:lvlJc w:val="left"/>
      <w:lvlText w:val="%1."/>
      <w:numFmt w:val="decimal"/>
      <w:start w:val="4"/>
    </w:lvl>
  </w:abstractNum>
  <w:abstractNum w:abstractNumId="206">
    <w:nsid w:val="E0BB885"/>
    <w:multiLevelType w:val="hybridMultilevel"/>
    <w:lvl w:ilvl="0">
      <w:lvlJc w:val="left"/>
      <w:lvlText w:val="4.%1."/>
      <w:numFmt w:val="decimal"/>
      <w:start w:val="1"/>
    </w:lvl>
  </w:abstractNum>
  <w:abstractNum w:abstractNumId="207">
    <w:nsid w:val="565976F1"/>
    <w:multiLevelType w:val="hybridMultilevel"/>
    <w:lvl w:ilvl="0">
      <w:lvlJc w:val="left"/>
      <w:lvlText w:val="(%1)"/>
      <w:numFmt w:val="lowerRoman"/>
      <w:start w:val="1"/>
    </w:lvl>
  </w:abstractNum>
  <w:abstractNum w:abstractNumId="208">
    <w:nsid w:val="64212B8C"/>
    <w:multiLevelType w:val="hybridMultilevel"/>
    <w:lvl w:ilvl="0">
      <w:lvlJc w:val="left"/>
      <w:lvlText w:val="(%1)"/>
      <w:numFmt w:val="lowerRoman"/>
      <w:start w:val="1"/>
    </w:lvl>
  </w:abstractNum>
  <w:abstractNum w:abstractNumId="209">
    <w:nsid w:val="5C17530C"/>
    <w:multiLevelType w:val="hybridMultilevel"/>
    <w:lvl w:ilvl="0">
      <w:lvlJc w:val="left"/>
      <w:lvlText w:val="-"/>
      <w:numFmt w:val="bullet"/>
      <w:start w:val="1"/>
    </w:lvl>
  </w:abstractNum>
  <w:abstractNum w:abstractNumId="210">
    <w:nsid w:val="19A52566"/>
    <w:multiLevelType w:val="hybridMultilevel"/>
    <w:lvl w:ilvl="0">
      <w:lvlJc w:val="left"/>
      <w:lvlText w:val="-"/>
      <w:numFmt w:val="bullet"/>
      <w:start w:val="1"/>
    </w:lvl>
  </w:abstractNum>
  <w:abstractNum w:abstractNumId="211">
    <w:nsid w:val="335A1DF1"/>
    <w:multiLevelType w:val="hybridMultilevel"/>
    <w:lvl w:ilvl="0">
      <w:lvlJc w:val="left"/>
      <w:lvlText w:val="-"/>
      <w:numFmt w:val="bullet"/>
      <w:start w:val="1"/>
    </w:lvl>
  </w:abstractNum>
  <w:abstractNum w:abstractNumId="212">
    <w:nsid w:val="28677B7C"/>
    <w:multiLevelType w:val="hybridMultilevel"/>
    <w:lvl w:ilvl="0">
      <w:lvlJc w:val="left"/>
      <w:lvlText w:val="-"/>
      <w:numFmt w:val="bullet"/>
      <w:start w:val="1"/>
    </w:lvl>
  </w:abstractNum>
  <w:abstractNum w:abstractNumId="213">
    <w:nsid w:val="378D97C0"/>
    <w:multiLevelType w:val="hybridMultilevel"/>
    <w:lvl w:ilvl="0">
      <w:lvlJc w:val="left"/>
      <w:lvlText w:val="-"/>
      <w:numFmt w:val="bullet"/>
      <w:start w:val="1"/>
    </w:lvl>
  </w:abstractNum>
  <w:abstractNum w:abstractNumId="214">
    <w:nsid w:val="1D91467C"/>
    <w:multiLevelType w:val="hybridMultilevel"/>
    <w:lvl w:ilvl="0">
      <w:lvlJc w:val="left"/>
      <w:lvlText w:val="%1."/>
      <w:numFmt w:val="decimal"/>
      <w:start w:val="5"/>
    </w:lvl>
  </w:abstractNum>
  <w:abstractNum w:abstractNumId="215">
    <w:nsid w:val="316032BB"/>
    <w:multiLevelType w:val="hybridMultilevel"/>
    <w:lvl w:ilvl="0">
      <w:lvlJc w:val="left"/>
      <w:lvlText w:val="3"/>
      <w:numFmt w:val="bullet"/>
      <w:start w:val="1"/>
    </w:lvl>
  </w:abstractNum>
  <w:abstractNum w:abstractNumId="216">
    <w:nsid w:val="44344C22"/>
    <w:multiLevelType w:val="hybridMultilevel"/>
    <w:lvl w:ilvl="0">
      <w:lvlJc w:val="left"/>
      <w:lvlText w:val="%1."/>
      <w:numFmt w:val="decimal"/>
      <w:start w:val="6"/>
    </w:lvl>
  </w:abstractNum>
  <w:abstractNum w:abstractNumId="217">
    <w:nsid w:val="13CDFCFC"/>
    <w:multiLevelType w:val="hybridMultilevel"/>
    <w:lvl w:ilvl="0">
      <w:lvlJc w:val="left"/>
      <w:lvlText w:val="6.%1."/>
      <w:numFmt w:val="decimal"/>
      <w:start w:val="1"/>
    </w:lvl>
  </w:abstractNum>
  <w:abstractNum w:abstractNumId="218">
    <w:nsid w:val="471745E4"/>
    <w:multiLevelType w:val="hybridMultilevel"/>
    <w:lvl w:ilvl="0">
      <w:lvlJc w:val="left"/>
      <w:lvlText w:val="-"/>
      <w:numFmt w:val="bullet"/>
      <w:start w:val="1"/>
    </w:lvl>
  </w:abstractNum>
  <w:abstractNum w:abstractNumId="219">
    <w:nsid w:val="1DDBC66"/>
    <w:multiLevelType w:val="hybridMultilevel"/>
    <w:lvl w:ilvl="0">
      <w:lvlJc w:val="left"/>
      <w:lvlText w:val="-"/>
      <w:numFmt w:val="bullet"/>
      <w:start w:val="1"/>
    </w:lvl>
  </w:abstractNum>
  <w:abstractNum w:abstractNumId="220">
    <w:nsid w:val="30AADFDA"/>
    <w:multiLevelType w:val="hybridMultilevel"/>
    <w:lvl w:ilvl="0">
      <w:lvlJc w:val="left"/>
      <w:lvlText w:val="-"/>
      <w:numFmt w:val="bullet"/>
      <w:start w:val="1"/>
    </w:lvl>
  </w:abstractNum>
  <w:abstractNum w:abstractNumId="221">
    <w:nsid w:val="30EADA61"/>
    <w:multiLevelType w:val="hybridMultilevel"/>
    <w:lvl w:ilvl="0">
      <w:lvlJc w:val="left"/>
      <w:lvlText w:val="%1."/>
      <w:numFmt w:val="decimal"/>
      <w:start w:val="7"/>
    </w:lvl>
  </w:abstractNum>
  <w:abstractNum w:abstractNumId="222">
    <w:nsid w:val="27179C0B"/>
    <w:multiLevelType w:val="hybridMultilevel"/>
    <w:lvl w:ilvl="0">
      <w:lvlJc w:val="left"/>
      <w:lvlText w:val="4"/>
      <w:numFmt w:val="bullet"/>
      <w:start w:val="1"/>
    </w:lvl>
  </w:abstractNum>
  <w:abstractNum w:abstractNumId="223">
    <w:nsid w:val="5E636063"/>
    <w:multiLevelType w:val="hybridMultilevel"/>
    <w:lvl w:ilvl="0">
      <w:lvlJc w:val="left"/>
      <w:lvlText w:val="5"/>
      <w:numFmt w:val="bullet"/>
      <w:start w:val="1"/>
    </w:lvl>
  </w:abstractNum>
  <w:abstractNum w:abstractNumId="224">
    <w:nsid w:val="215641AF"/>
    <w:multiLevelType w:val="hybridMultilevel"/>
    <w:lvl w:ilvl="0">
      <w:lvlJc w:val="left"/>
      <w:lvlText w:val="6"/>
      <w:numFmt w:val="bullet"/>
      <w:start w:val="1"/>
    </w:lvl>
  </w:abstractNum>
  <w:abstractNum w:abstractNumId="225">
    <w:nsid w:val="53280662"/>
    <w:multiLevelType w:val="hybridMultilevel"/>
    <w:lvl w:ilvl="0">
      <w:lvlJc w:val="left"/>
      <w:lvlText w:val="7"/>
      <w:numFmt w:val="bullet"/>
      <w:start w:val="1"/>
    </w:lvl>
  </w:abstractNum>
  <w:abstractNum w:abstractNumId="226">
    <w:nsid w:val="46B24DBC"/>
    <w:multiLevelType w:val="hybridMultilevel"/>
    <w:lvl w:ilvl="0">
      <w:lvlJc w:val="left"/>
      <w:lvlText w:val="(%1)"/>
      <w:numFmt w:val="lowerRoman"/>
      <w:start w:val="1"/>
    </w:lvl>
  </w:abstractNum>
  <w:abstractNum w:abstractNumId="227">
    <w:nsid w:val="75B52783"/>
    <w:multiLevelType w:val="hybridMultilevel"/>
    <w:lvl w:ilvl="0">
      <w:lvlJc w:val="left"/>
      <w:lvlText w:val="-"/>
      <w:numFmt w:val="bullet"/>
      <w:start w:val="1"/>
    </w:lvl>
  </w:abstractNum>
  <w:abstractNum w:abstractNumId="228">
    <w:nsid w:val="57CE66B4"/>
    <w:multiLevelType w:val="hybridMultilevel"/>
    <w:lvl w:ilvl="0">
      <w:lvlJc w:val="left"/>
      <w:lvlText w:val="%1."/>
      <w:numFmt w:val="decimal"/>
      <w:start w:val="1"/>
    </w:lvl>
    <w:lvl w:ilvl="1">
      <w:lvlJc w:val="left"/>
      <w:lvlText w:val="(%2)"/>
      <w:numFmt w:val="lowerLetter"/>
      <w:start w:val="1"/>
    </w:lvl>
  </w:abstractNum>
  <w:abstractNum w:abstractNumId="229">
    <w:nsid w:val="67A70B69"/>
    <w:multiLevelType w:val="hybridMultilevel"/>
    <w:lvl w:ilvl="0">
      <w:lvlJc w:val="left"/>
      <w:lvlText w:val="%1."/>
      <w:numFmt w:val="decimal"/>
      <w:start w:val="1"/>
    </w:lvl>
    <w:lvl w:ilvl="1">
      <w:lvlJc w:val="left"/>
      <w:lvlText w:val="(%2)"/>
      <w:numFmt w:val="lowerLetter"/>
      <w:start w:val="1"/>
    </w:lvl>
  </w:abstractNum>
  <w:abstractNum w:abstractNumId="230">
    <w:nsid w:val="5953172F"/>
    <w:multiLevelType w:val="hybridMultilevel"/>
    <w:lvl w:ilvl="0">
      <w:lvlJc w:val="left"/>
      <w:lvlText w:val="(%1)"/>
      <w:numFmt w:val="decimal"/>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14"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pn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305" Type="http://schemas.openxmlformats.org/officeDocument/2006/relationships/hyperlink" Target="https://www.sec.gov/Archives/edgar/data/0001956827/000119312523247378/d609070dex107.htm" TargetMode="External"/><Relationship Id="rId306" Type="http://schemas.openxmlformats.org/officeDocument/2006/relationships/hyperlink" Target="https://www.sec.gov/Archives/edgar/data/0001956827/000119312523247378/d609070dex108.htm" TargetMode="External"/><Relationship Id="rId307" Type="http://schemas.openxmlformats.org/officeDocument/2006/relationships/hyperlink" Target="https://www.sec.gov/Archives/edgar/data/0001956827/000119312523247378/d609070dex109.htm" TargetMode="External"/><Relationship Id="rId308" Type="http://schemas.openxmlformats.org/officeDocument/2006/relationships/hyperlink" Target="https://www.sec.gov/Archives/edgar/data/0001956827/000119312523247378/d609070dex1010.htm" TargetMode="External"/><Relationship Id="rId309" Type="http://schemas.openxmlformats.org/officeDocument/2006/relationships/hyperlink" Target="https://www.sec.gov/Archives/edgar/data/0001956827/000119312523247378/d609070dex1011.htm" TargetMode="External"/><Relationship Id="rId310" Type="http://schemas.openxmlformats.org/officeDocument/2006/relationships/hyperlink" Target="https://www.sec.gov/Archives/edgar/data/0001956827/000119312523247378/d609070dex1012.htm" TargetMode="External"/><Relationship Id="rId311" Type="http://schemas.openxmlformats.org/officeDocument/2006/relationships/hyperlink" Target="https://www.sec.gov/Archives/edgar/data/0001956827/000119312523247378/d609070dex1013.htm" TargetMode="External"/><Relationship Id="rId312" Type="http://schemas.openxmlformats.org/officeDocument/2006/relationships/hyperlink" Target="https://www.sec.gov/Archives/edgar/data/0001956827/000119312523247378/d609070dex1014.htm" TargetMode="External"/><Relationship Id="rId313" Type="http://schemas.openxmlformats.org/officeDocument/2006/relationships/hyperlink" Target="https://www.sec.gov/Archives/edgar/data/0001956827/000119312523247378/d609070dex1015.htm" TargetMode="External"/><Relationship Id="rId315" Type="http://schemas.openxmlformats.org/officeDocument/2006/relationships/hyperlink" Target="https://www.sec.gov/Archives/edgar/data/1956827/000195682725000010/abivax-20xfxex971incen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2026-03-23T16:06:12Z</dcterms:created>
  <dcterms:modified xsi:type="dcterms:W3CDTF">2026-03-23T16:06:12Z</dcterms:modified>
</cp:coreProperties>
</file>