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6113dposasr.htm"/>
        <w:bookmarkStart w:id="1" w:name="ksd86113dpos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Securities and Exchange Commission on June 30,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333-288884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36"/>
        </w:rPr>
      </w:pPr>
      <w:r>
        <w:rPr>
          <w:rFonts w:ascii="Times New Roman" w:hAnsi="Times New Roman"/>
          <w:b/>
          <w:sz w:val="36"/>
        </w:rPr>
        <w:t xml:space="preserve">Post-Effective Amendment No. 1 to </w:t>
      </w:r>
    </w:p>
    <w:p>
      <w:pPr>
        <w:pStyle w:val="TextBody"/>
        <w:bidi w:val="0"/>
        <w:spacing w:before="0" w:after="0"/>
        <w:jc w:val="center"/>
        <w:rPr>
          <w:rFonts w:ascii="Times New Roman" w:hAnsi="Times New Roman"/>
          <w:b/>
          <w:sz w:val="36"/>
        </w:rPr>
      </w:pPr>
      <w:r>
        <w:rPr>
          <w:rFonts w:ascii="Times New Roman" w:hAnsi="Times New Roman"/>
          <w:b/>
          <w:sz w:val="36"/>
        </w:rPr>
        <w:t xml:space="preserve">Form F-3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48"/>
        </w:rPr>
      </w:pPr>
      <w:r>
        <w:rPr>
          <w:rFonts w:ascii="Times New Roman" w:hAnsi="Times New Roman"/>
          <w:b/>
          <w:sz w:val="48"/>
        </w:rPr>
        <w:t xml:space="preserve">Abivax SA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France</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2834</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Not Applicable</w:t>
            </w:r>
          </w:p>
        </w:tc>
      </w:tr>
      <w:tr>
        <w:trPr/>
        <w:tc>
          <w:tcPr>
            <w:tcW w:w="3470"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0"/>
              <w:jc w:val="center"/>
              <w:rPr>
                <w:rFonts w:ascii="Times New Roman" w:hAnsi="Times New Roman"/>
                <w:b/>
                <w:sz w:val="16"/>
              </w:rPr>
            </w:pPr>
            <w:r>
              <w:rPr>
                <w:rFonts w:ascii="Times New Roman" w:hAnsi="Times New Roman"/>
                <w:b/>
                <w:sz w:val="16"/>
              </w:rPr>
              <w:t>(Primary Standard Industrial</w:t>
            </w:r>
          </w:p>
          <w:p>
            <w:pPr>
              <w:pStyle w:val="TableContents"/>
              <w:bidi w:val="0"/>
              <w:spacing w:before="0" w:after="20"/>
              <w:jc w:val="center"/>
              <w:rPr>
                <w:rFonts w:ascii="Times New Roman" w:hAnsi="Times New Roman"/>
                <w:b/>
                <w:sz w:val="16"/>
              </w:rPr>
            </w:pPr>
            <w:r>
              <w:rPr>
                <w:rFonts w:ascii="Times New Roman" w:hAnsi="Times New Roman"/>
                <w:b/>
                <w:sz w:val="16"/>
              </w:rPr>
              <w:t>Classification Code Number)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60" w:after="0"/>
        <w:jc w:val="center"/>
        <w:rPr>
          <w:rFonts w:ascii="Times New Roman" w:hAnsi="Times New Roman"/>
          <w:b/>
          <w:sz w:val="20"/>
        </w:rPr>
      </w:pPr>
      <w:r>
        <w:rPr>
          <w:rFonts w:ascii="Times New Roman" w:hAnsi="Times New Roman"/>
          <w:b/>
          <w:sz w:val="20"/>
        </w:rPr>
        <w:t xml:space="preserve">Abivax SA </w:t>
      </w:r>
    </w:p>
    <w:p>
      <w:pPr>
        <w:pStyle w:val="TextBody"/>
        <w:bidi w:val="0"/>
        <w:spacing w:before="0" w:after="0"/>
        <w:jc w:val="center"/>
        <w:rPr>
          <w:rFonts w:ascii="Times New Roman" w:hAnsi="Times New Roman"/>
          <w:b/>
          <w:sz w:val="20"/>
        </w:rPr>
      </w:pPr>
      <w:r>
        <w:rPr>
          <w:rFonts w:ascii="Times New Roman" w:hAnsi="Times New Roman"/>
          <w:b/>
          <w:sz w:val="20"/>
        </w:rPr>
        <w:t xml:space="preserve">7-11 boulevard Haussmann </w:t>
      </w:r>
    </w:p>
    <w:p>
      <w:pPr>
        <w:pStyle w:val="TextBody"/>
        <w:bidi w:val="0"/>
        <w:spacing w:before="0" w:after="0"/>
        <w:jc w:val="center"/>
        <w:rPr>
          <w:rFonts w:ascii="Times New Roman" w:hAnsi="Times New Roman"/>
          <w:b/>
          <w:sz w:val="20"/>
        </w:rPr>
      </w:pPr>
      <w:r>
        <w:rPr>
          <w:rFonts w:ascii="Times New Roman" w:hAnsi="Times New Roman"/>
          <w:b/>
          <w:sz w:val="20"/>
        </w:rPr>
        <w:t xml:space="preserve">76009 Paris </w:t>
      </w:r>
    </w:p>
    <w:p>
      <w:pPr>
        <w:pStyle w:val="TextBody"/>
        <w:bidi w:val="0"/>
        <w:spacing w:before="0" w:after="0"/>
        <w:jc w:val="center"/>
        <w:rPr>
          <w:rFonts w:ascii="Times New Roman" w:hAnsi="Times New Roman"/>
          <w:b/>
          <w:sz w:val="20"/>
        </w:rPr>
      </w:pPr>
      <w:r>
        <w:rPr>
          <w:rFonts w:ascii="Times New Roman" w:hAnsi="Times New Roman"/>
          <w:b/>
          <w:sz w:val="20"/>
        </w:rPr>
        <w:t xml:space="preserve">France </w:t>
      </w:r>
    </w:p>
    <w:p>
      <w:pPr>
        <w:pStyle w:val="TextBody"/>
        <w:bidi w:val="0"/>
        <w:spacing w:before="0" w:after="0"/>
        <w:jc w:val="center"/>
        <w:rPr>
          <w:rFonts w:ascii="Times New Roman" w:hAnsi="Times New Roman"/>
          <w:b/>
          <w:sz w:val="20"/>
        </w:rPr>
      </w:pPr>
      <w:r>
        <w:rPr>
          <w:rFonts w:ascii="Times New Roman" w:hAnsi="Times New Roman"/>
          <w:b/>
          <w:sz w:val="20"/>
        </w:rPr>
        <w:t xml:space="preserve">+33 (0) 1 53 83 09 63 </w:t>
      </w:r>
    </w:p>
    <w:p>
      <w:pPr>
        <w:pStyle w:val="TextBody"/>
        <w:bidi w:val="0"/>
        <w:spacing w:before="0" w:after="0"/>
        <w:jc w:val="center"/>
        <w:rPr>
          <w:rFonts w:ascii="Times New Roman" w:hAnsi="Times New Roman"/>
          <w:b/>
          <w:sz w:val="16"/>
        </w:rPr>
      </w:pPr>
      <w:r>
        <w:rPr>
          <w:rFonts w:ascii="Times New Roman" w:hAnsi="Times New Roman"/>
          <w:b/>
          <w:sz w:val="16"/>
        </w:rPr>
        <w:t xml:space="preserve">(Address and telephone number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20"/>
        </w:rPr>
      </w:pPr>
      <w:r>
        <w:rPr>
          <w:rFonts w:ascii="Times New Roman" w:hAnsi="Times New Roman"/>
          <w:b/>
          <w:sz w:val="20"/>
        </w:rPr>
        <w:t xml:space="preserve">Abivax LLC </w:t>
      </w:r>
    </w:p>
    <w:p>
      <w:pPr>
        <w:pStyle w:val="TextBody"/>
        <w:bidi w:val="0"/>
        <w:spacing w:before="0" w:after="0"/>
        <w:jc w:val="center"/>
        <w:rPr>
          <w:rFonts w:ascii="Times New Roman" w:hAnsi="Times New Roman"/>
          <w:b/>
          <w:sz w:val="20"/>
        </w:rPr>
      </w:pPr>
      <w:r>
        <w:rPr>
          <w:rFonts w:ascii="Times New Roman" w:hAnsi="Times New Roman"/>
          <w:b/>
          <w:sz w:val="20"/>
        </w:rPr>
        <w:t xml:space="preserve">880 Winter Street, Suite 1020 </w:t>
      </w:r>
    </w:p>
    <w:p>
      <w:pPr>
        <w:pStyle w:val="TextBody"/>
        <w:bidi w:val="0"/>
        <w:spacing w:before="0" w:after="0"/>
        <w:jc w:val="center"/>
        <w:rPr>
          <w:rFonts w:ascii="Times New Roman" w:hAnsi="Times New Roman"/>
          <w:b/>
          <w:sz w:val="20"/>
        </w:rPr>
      </w:pPr>
      <w:r>
        <w:rPr>
          <w:rFonts w:ascii="Times New Roman" w:hAnsi="Times New Roman"/>
          <w:b/>
          <w:sz w:val="20"/>
        </w:rPr>
        <w:t xml:space="preserve">Waltham, MA 02451 </w:t>
      </w:r>
    </w:p>
    <w:p>
      <w:pPr>
        <w:pStyle w:val="TextBody"/>
        <w:bidi w:val="0"/>
        <w:spacing w:before="0" w:after="0"/>
        <w:jc w:val="center"/>
        <w:rPr>
          <w:rFonts w:ascii="Times New Roman" w:hAnsi="Times New Roman"/>
          <w:b/>
          <w:sz w:val="20"/>
        </w:rPr>
      </w:pPr>
      <w:r>
        <w:rPr>
          <w:rFonts w:ascii="Times New Roman" w:hAnsi="Times New Roman"/>
          <w:b/>
          <w:sz w:val="20"/>
        </w:rPr>
        <w:t xml:space="preserve">+33 (0) 1 53 83 09 63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20"/>
        </w:rPr>
      </w:pPr>
      <w:r>
        <w:rPr>
          <w:rFonts w:ascii="Times New Roman" w:hAnsi="Times New Roman"/>
          <w:b/>
          <w:i/>
          <w:sz w:val="20"/>
        </w:rPr>
        <w:t xml:space="preserve">Copies of all communications, including communications sent to agent for service, should be sent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Divakar Gupta</w:t>
            </w:r>
          </w:p>
          <w:p>
            <w:pPr>
              <w:pStyle w:val="TableContents"/>
              <w:bidi w:val="0"/>
              <w:spacing w:before="0" w:after="0"/>
              <w:jc w:val="center"/>
              <w:rPr>
                <w:rFonts w:ascii="Times New Roman" w:hAnsi="Times New Roman"/>
                <w:b/>
                <w:sz w:val="20"/>
              </w:rPr>
            </w:pPr>
            <w:r>
              <w:rPr>
                <w:rFonts w:ascii="Times New Roman" w:hAnsi="Times New Roman"/>
                <w:b/>
                <w:sz w:val="20"/>
              </w:rPr>
              <w:t>Marc Recht</w:t>
            </w:r>
          </w:p>
          <w:p>
            <w:pPr>
              <w:pStyle w:val="TableContents"/>
              <w:bidi w:val="0"/>
              <w:spacing w:before="0" w:after="0"/>
              <w:jc w:val="center"/>
              <w:rPr>
                <w:rFonts w:ascii="Times New Roman" w:hAnsi="Times New Roman"/>
                <w:b/>
                <w:sz w:val="20"/>
              </w:rPr>
            </w:pPr>
            <w:r>
              <w:rPr>
                <w:rFonts w:ascii="Times New Roman" w:hAnsi="Times New Roman"/>
                <w:b/>
                <w:sz w:val="20"/>
              </w:rPr>
              <w:t>Ryan Sansom</w:t>
            </w:r>
          </w:p>
          <w:p>
            <w:pPr>
              <w:pStyle w:val="TableContents"/>
              <w:bidi w:val="0"/>
              <w:spacing w:before="0" w:after="0"/>
              <w:jc w:val="center"/>
              <w:rPr>
                <w:rFonts w:ascii="Times New Roman" w:hAnsi="Times New Roman"/>
                <w:b/>
                <w:sz w:val="20"/>
              </w:rPr>
            </w:pPr>
            <w:r>
              <w:rPr>
                <w:rFonts w:ascii="Times New Roman" w:hAnsi="Times New Roman"/>
                <w:b/>
                <w:sz w:val="20"/>
              </w:rPr>
              <w:t>Minkyu Park</w:t>
            </w:r>
          </w:p>
          <w:p>
            <w:pPr>
              <w:pStyle w:val="TableContents"/>
              <w:bidi w:val="0"/>
              <w:spacing w:before="0" w:after="0"/>
              <w:jc w:val="center"/>
              <w:rPr>
                <w:rFonts w:ascii="Times New Roman" w:hAnsi="Times New Roman"/>
                <w:b/>
                <w:sz w:val="20"/>
              </w:rPr>
            </w:pPr>
            <w:r>
              <w:rPr>
                <w:rFonts w:ascii="Times New Roman" w:hAnsi="Times New Roman"/>
                <w:b/>
                <w:sz w:val="20"/>
              </w:rPr>
              <w:t>Cooley LLP</w:t>
            </w:r>
          </w:p>
          <w:p>
            <w:pPr>
              <w:pStyle w:val="TableContents"/>
              <w:bidi w:val="0"/>
              <w:spacing w:before="0" w:after="0"/>
              <w:jc w:val="center"/>
              <w:rPr>
                <w:rFonts w:ascii="Times New Roman" w:hAnsi="Times New Roman"/>
                <w:b/>
                <w:sz w:val="20"/>
              </w:rPr>
            </w:pPr>
            <w:r>
              <w:rPr>
                <w:rFonts w:ascii="Times New Roman" w:hAnsi="Times New Roman"/>
                <w:b/>
                <w:sz w:val="20"/>
              </w:rPr>
              <w:t>55 Hudson Yards</w:t>
            </w:r>
          </w:p>
          <w:p>
            <w:pPr>
              <w:pStyle w:val="TableContents"/>
              <w:bidi w:val="0"/>
              <w:spacing w:before="0" w:after="0"/>
              <w:jc w:val="center"/>
              <w:rPr>
                <w:rFonts w:ascii="Times New Roman" w:hAnsi="Times New Roman"/>
                <w:b/>
                <w:sz w:val="20"/>
              </w:rPr>
            </w:pPr>
            <w:r>
              <w:rPr>
                <w:rFonts w:ascii="Times New Roman" w:hAnsi="Times New Roman"/>
                <w:b/>
                <w:sz w:val="20"/>
              </w:rPr>
              <w:t>New York, NY 10001</w:t>
            </w:r>
          </w:p>
          <w:p>
            <w:pPr>
              <w:pStyle w:val="TableContents"/>
              <w:bidi w:val="0"/>
              <w:spacing w:before="0" w:after="20"/>
              <w:jc w:val="center"/>
              <w:rPr>
                <w:rFonts w:ascii="Times New Roman" w:hAnsi="Times New Roman"/>
                <w:b/>
                <w:sz w:val="20"/>
              </w:rPr>
            </w:pPr>
            <w:r>
              <w:rPr>
                <w:rFonts w:ascii="Times New Roman" w:hAnsi="Times New Roman"/>
                <w:b/>
                <w:sz w:val="20"/>
              </w:rPr>
              <w:t>+1 212 479 6000</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20"/>
              </w:rPr>
            </w:pPr>
            <w:r>
              <w:rPr>
                <w:rFonts w:ascii="Times New Roman" w:hAnsi="Times New Roman"/>
                <w:b/>
                <w:sz w:val="20"/>
              </w:rPr>
              <w:t>Alain Decombe</w:t>
            </w:r>
          </w:p>
          <w:p>
            <w:pPr>
              <w:pStyle w:val="TableContents"/>
              <w:bidi w:val="0"/>
              <w:spacing w:before="0" w:after="0"/>
              <w:jc w:val="center"/>
              <w:rPr>
                <w:rFonts w:ascii="Times New Roman" w:hAnsi="Times New Roman"/>
                <w:b/>
                <w:sz w:val="20"/>
              </w:rPr>
            </w:pPr>
            <w:r>
              <w:rPr>
                <w:rFonts w:ascii="Times New Roman" w:hAnsi="Times New Roman"/>
                <w:b/>
                <w:sz w:val="20"/>
              </w:rPr>
              <w:t>Vianney Toulouse</w:t>
            </w:r>
          </w:p>
          <w:p>
            <w:pPr>
              <w:pStyle w:val="TableContents"/>
              <w:bidi w:val="0"/>
              <w:spacing w:before="0" w:after="0"/>
              <w:jc w:val="center"/>
              <w:rPr>
                <w:rFonts w:ascii="Times New Roman" w:hAnsi="Times New Roman"/>
                <w:b/>
                <w:sz w:val="20"/>
              </w:rPr>
            </w:pPr>
            <w:r>
              <w:rPr>
                <w:rFonts w:ascii="Times New Roman" w:hAnsi="Times New Roman"/>
                <w:b/>
                <w:sz w:val="20"/>
              </w:rPr>
              <w:t>Orrick, Herrington &amp; Sutcliffe (Europe) LLP</w:t>
            </w:r>
          </w:p>
          <w:p>
            <w:pPr>
              <w:pStyle w:val="TableContents"/>
              <w:bidi w:val="0"/>
              <w:spacing w:before="0" w:after="0"/>
              <w:jc w:val="center"/>
              <w:rPr>
                <w:rFonts w:ascii="Times New Roman" w:hAnsi="Times New Roman"/>
                <w:b/>
                <w:sz w:val="20"/>
              </w:rPr>
            </w:pPr>
            <w:r>
              <w:rPr>
                <w:rFonts w:ascii="Times New Roman" w:hAnsi="Times New Roman"/>
                <w:b/>
                <w:sz w:val="20"/>
              </w:rPr>
              <w:t>61 rue des Belles Feuilles 75116</w:t>
            </w:r>
          </w:p>
          <w:p>
            <w:pPr>
              <w:pStyle w:val="TableContents"/>
              <w:bidi w:val="0"/>
              <w:spacing w:before="0" w:after="0"/>
              <w:jc w:val="center"/>
              <w:rPr>
                <w:rFonts w:ascii="Times New Roman" w:hAnsi="Times New Roman"/>
                <w:b/>
                <w:sz w:val="20"/>
              </w:rPr>
            </w:pPr>
            <w:r>
              <w:rPr>
                <w:rFonts w:ascii="Times New Roman" w:hAnsi="Times New Roman"/>
                <w:b/>
                <w:sz w:val="20"/>
              </w:rPr>
              <w:t>Paris, France</w:t>
            </w:r>
          </w:p>
          <w:p>
            <w:pPr>
              <w:pStyle w:val="TableContents"/>
              <w:bidi w:val="0"/>
              <w:spacing w:before="0" w:after="20"/>
              <w:jc w:val="center"/>
              <w:rPr>
                <w:rFonts w:ascii="Times New Roman" w:hAnsi="Times New Roman"/>
                <w:b/>
                <w:sz w:val="20"/>
              </w:rPr>
            </w:pPr>
            <w:r>
              <w:rPr>
                <w:rFonts w:ascii="Times New Roman" w:hAnsi="Times New Roman"/>
                <w:b/>
                <w:sz w:val="20"/>
              </w:rPr>
              <w:t>+33 1 53 53 75 00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18"/>
        </w:rPr>
      </w:pPr>
      <w:r>
        <w:rPr>
          <w:rFonts w:ascii="Times New Roman" w:hAnsi="Times New Roman"/>
          <w:b/>
          <w:sz w:val="18"/>
        </w:rPr>
        <w:t>Approximate date of commencement of proposed sale to the public:</w:t>
      </w:r>
      <w:r>
        <w:rPr>
          <w:rFonts w:ascii="Times New Roman" w:hAnsi="Times New Roman"/>
          <w:sz w:val="18"/>
        </w:rPr>
        <w:t xml:space="preserve"> From time to time after the effective date of this registration statement. </w:t>
      </w:r>
    </w:p>
    <w:p>
      <w:pPr>
        <w:pStyle w:val="TextBody"/>
        <w:bidi w:val="0"/>
        <w:spacing w:before="6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on filing with the Commission pursuant to Rule 462(e) under the Securities Act,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Indicate by check mark whether the registrant is an emerging growth company as defined in Rule 405 of the Securities Act of 1933. </w:t>
      </w:r>
    </w:p>
    <w:p>
      <w:pPr>
        <w:pStyle w:val="TextBody"/>
        <w:bidi w:val="0"/>
        <w:spacing w:before="60" w:after="0"/>
        <w:jc w:val="left"/>
        <w:rPr>
          <w:rFonts w:ascii="Times New Roman" w:hAnsi="Times New Roman"/>
          <w:sz w:val="18"/>
        </w:rPr>
      </w:pPr>
      <w:r>
        <w:rPr>
          <w:rFonts w:ascii="Times New Roman" w:hAnsi="Times New Roman"/>
          <w:sz w:val="18"/>
        </w:rPr>
        <w:t xml:space="preserve">Emerging growth company ☒ </w:t>
      </w:r>
    </w:p>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term “new or revised financial accounting standard” refers to any update issued by the Financial Accounting Standards Board to its Accounting Standards Codification after April 5, 2012.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Post-Effective Amendment No. 1 (this “Post-Effective Amendment”) relates to the Registration Statement on Form F-3 (File No. 333-288884) of Abivax SA, which was originally filed with the U.S. Securities and Exchange Commission (the “SEC”) on July 23, 2025. This Post-Effective Amendment is being filed with the SEC in order to register, in addition to the classes of securities originally registered, debt securities as an additional class of securities pursuant to Rule 413(b) under the Securities Act of 1933, as amended, to update certain information and to file or incorporate by reference additional exhibits. The base prospectus dated July 23, 2025 that has formed part of the Registration Statement to date is being replaced in its entirety by the base prospectus filed with this Post-Effective Amendment. This Post-Effective Amendment shall become effective immediately upon filing with the SEC.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22145" cy="292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2145" cy="292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Ordinary Shares </w:t>
      </w:r>
    </w:p>
    <w:p>
      <w:pPr>
        <w:pStyle w:val="TextBody"/>
        <w:bidi w:val="0"/>
        <w:spacing w:before="0" w:after="0"/>
        <w:jc w:val="center"/>
        <w:rPr>
          <w:rFonts w:ascii="Times New Roman" w:hAnsi="Times New Roman"/>
          <w:b/>
          <w:sz w:val="24"/>
        </w:rPr>
      </w:pPr>
      <w:r>
        <w:rPr>
          <w:rFonts w:ascii="Times New Roman" w:hAnsi="Times New Roman"/>
          <w:b/>
          <w:sz w:val="24"/>
        </w:rPr>
        <w:t xml:space="preserve">American Depositary Shares representing Ordinary Shares </w:t>
      </w:r>
    </w:p>
    <w:p>
      <w:pPr>
        <w:pStyle w:val="TextBody"/>
        <w:bidi w:val="0"/>
        <w:spacing w:before="0" w:after="0"/>
        <w:jc w:val="center"/>
        <w:rPr>
          <w:rFonts w:ascii="Times New Roman" w:hAnsi="Times New Roman"/>
          <w:b/>
          <w:sz w:val="24"/>
        </w:rPr>
      </w:pPr>
      <w:r>
        <w:rPr>
          <w:rFonts w:ascii="Times New Roman" w:hAnsi="Times New Roman"/>
          <w:b/>
          <w:sz w:val="24"/>
        </w:rPr>
        <w:t xml:space="preserve">Warrants to Purchase Ordinary Shares or American Depositary Shares </w:t>
      </w:r>
    </w:p>
    <w:p>
      <w:pPr>
        <w:pStyle w:val="TextBody"/>
        <w:bidi w:val="0"/>
        <w:spacing w:before="0" w:after="0"/>
        <w:jc w:val="center"/>
        <w:rPr>
          <w:rFonts w:ascii="Times New Roman" w:hAnsi="Times New Roman"/>
          <w:b/>
          <w:sz w:val="24"/>
        </w:rPr>
      </w:pPr>
      <w:r>
        <w:rPr>
          <w:rFonts w:ascii="Times New Roman" w:hAnsi="Times New Roman"/>
          <w:b/>
          <w:sz w:val="24"/>
        </w:rPr>
        <w:t xml:space="preserve">Debt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and/or any selling security holder may offer and sell from time to time the securities described in this prospectus, either individually or in any combination, in one or more offerings at prices and on terms that will be determined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the general terms of these securities and the general manner in which these securities will be offered. We will provide you with the specific terms of any offering in one or more supplements to this prospectus. We and/or our selling security holders may offer these securities in amounts, at prices and on terms determined at the time of offering. We and/or our selling security holders may sell the securities through public or private transactions directly to you, through agents, or through underwriters and dealers on or off the Nasdaq Global Market.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Our securities may be sold directly by us or any selling security holders to you, through agents designated from time to time or to or through underwriters or dealers, on a continuous or delayed basis. For additional information on the methods of sale, you should refer to the section titled “Plan of Distribution” in this prospectus and in the applicable prospectus supplement. Other than any securities sold in connection with a rights offering, we will only sell securities pursuant to this prospectus for which preferential subscription rights shall have been waived by our shareholders in accordance with French law. If any underwriters or agents are involved in the sale of our securities with respect to which this prospectus is being delivered, the names of such underwriters or agents and any applicable fees or commissions and over-allotment options will be set forth in a prospectus supplement. The price to the public of such securities and the net proceeds that we expect to receive from such sale will also be set forth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ADSs are listed on the Nasdaq Global Market under the symbol “ABVX.” On June 29, 2026, the last reported sale price of the ADSs on the Nasdaq Global Market was $96.15 per ADS. Our ordinary shares are listed on Euronext Paris under the symbol “ABVX.” On June 29, 2026, the closing price of our ordinary shares on Euronext Paris was 83.30 per ordinary share. Each ADS represents the right to receive one ordinary share, and the ADSs may be evidenced by American Depositary Receipts (“ADRs”). The applicable prospectus supplement will contain information, where applicable, as to any other listing, if any, on the Nasdaq Global Market or any securities market or other securities exchange of the securities covered by the prospectus supplement. There is currently no market through which warrants may be sold, and purchasers may not be able to resell warrants purchased under this prospectus. This may affect the pricing of any warrants in the secondary market, the transparency and availability of trading prices, the liquidity of the warrants and the extent of issuer regulation. Prospective purchasers of our securities are urged to obtain current information as to the market prices of our securities, where applicable.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Before deciding whether to invest in our securities, you should consider carefully the risks that we have described under the caption “</w:t>
      </w:r>
      <w:hyperlink w:anchor="rom86113_3">
        <w:r>
          <w:rPr>
            <w:rStyle w:val="InternetLink"/>
            <w:rFonts w:ascii="Times New Roman" w:hAnsi="Times New Roman"/>
            <w:b/>
            <w:sz w:val="24"/>
          </w:rPr>
          <w:t>Risk Factors</w:t>
        </w:r>
      </w:hyperlink>
      <w:r>
        <w:rPr>
          <w:rFonts w:ascii="Times New Roman" w:hAnsi="Times New Roman"/>
          <w:b/>
          <w:sz w:val="24"/>
        </w:rPr>
        <w:t xml:space="preserve">” on page 6 of this prospectus and in our most recent Annual Report on Form 20-F and any other reports or documents incorporated by reference into this prospectus. We may also include specific risk factors in supplements to this prospectus under the caption “Risk Factors.” This prospectus may not be used to sell our securities unless accompanied by a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Owning our securities may subject you to tax consequences both in France and in the United States. This prospectus and any applicable prospectus supplement may not describe these tax consequences fully. You should read the tax discussion in any applicable prospectus supplement. In addition, your ability to enforce civil liabilities under U.S. federal securities laws may be affected adversely by the fact that we are incorporated under the laws of France, many of the members of our board of directors and experts named in this prospectus are residents of France or elsewhere outside of the United States, and a substantial portion of our assets and the assets of such persons are located outside the United States. See “Enforcement of Civil Liabilities.”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June 30,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16"/>
        <w:gridCol w:w="418"/>
        <w:gridCol w:w="130"/>
        <w:gridCol w:w="579"/>
        <w:gridCol w:w="62"/>
      </w:tblGrid>
      <w:tr>
        <w:trPr/>
        <w:tc>
          <w:tcPr>
            <w:tcW w:w="9016"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01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
              <w:r>
                <w:rPr>
                  <w:rStyle w:val="InternetLink"/>
                  <w:rFonts w:ascii="Times New Roman" w:hAnsi="Times New Roman"/>
                  <w:sz w:val="20"/>
                </w:rPr>
                <w:t>ABOUT THIS PROSPECTUS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2">
              <w:r>
                <w:rPr>
                  <w:rStyle w:val="InternetLink"/>
                  <w:rFonts w:ascii="Times New Roman" w:hAnsi="Times New Roman"/>
                  <w:sz w:val="20"/>
                </w:rPr>
                <w:t>PROSPECTUS SUMMARY</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3">
              <w:r>
                <w:rPr>
                  <w:rStyle w:val="InternetLink"/>
                  <w:rFonts w:ascii="Times New Roman" w:hAnsi="Times New Roman"/>
                  <w:sz w:val="20"/>
                </w:rPr>
                <w:t>RISK FACTORS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4">
              <w:r>
                <w:rPr>
                  <w:rStyle w:val="InternetLink"/>
                  <w:rFonts w:ascii="Times New Roman" w:hAnsi="Times New Roman"/>
                  <w:sz w:val="20"/>
                </w:rPr>
                <w:t>SPECIAL NOTE REGARDING FORWARD-LOOKING STATEMENTS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5">
              <w:r>
                <w:rPr>
                  <w:rStyle w:val="InternetLink"/>
                  <w:rFonts w:ascii="Times New Roman" w:hAnsi="Times New Roman"/>
                  <w:sz w:val="20"/>
                </w:rPr>
                <w:t>USE OF PROCEEDS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6">
              <w:r>
                <w:rPr>
                  <w:rStyle w:val="InternetLink"/>
                  <w:rFonts w:ascii="Times New Roman" w:hAnsi="Times New Roman"/>
                  <w:sz w:val="20"/>
                </w:rPr>
                <w:t>SELLING SECURITY HOLDERS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7">
              <w:r>
                <w:rPr>
                  <w:rStyle w:val="InternetLink"/>
                  <w:rFonts w:ascii="Times New Roman" w:hAnsi="Times New Roman"/>
                  <w:sz w:val="20"/>
                </w:rPr>
                <w:t>PLAN OF DISTRIBUTION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8">
              <w:r>
                <w:rPr>
                  <w:rStyle w:val="InternetLink"/>
                  <w:rFonts w:ascii="Times New Roman" w:hAnsi="Times New Roman"/>
                  <w:sz w:val="20"/>
                </w:rPr>
                <w:t>DESCRIPTION OF SHARE CAPITAL</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9">
              <w:r>
                <w:rPr>
                  <w:rStyle w:val="InternetLink"/>
                  <w:rFonts w:ascii="Times New Roman" w:hAnsi="Times New Roman"/>
                  <w:sz w:val="20"/>
                </w:rPr>
                <w:t>LIMITATIONS AFFECTING SHAREHOLDERS OF A FRENCH COMPANY</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0">
              <w:r>
                <w:rPr>
                  <w:rStyle w:val="InternetLink"/>
                  <w:rFonts w:ascii="Times New Roman" w:hAnsi="Times New Roman"/>
                  <w:sz w:val="20"/>
                </w:rPr>
                <w:t>DESCRIPTION OF AMERICAN DEPOSITARY SHARES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1">
              <w:r>
                <w:rPr>
                  <w:rStyle w:val="InternetLink"/>
                  <w:rFonts w:ascii="Times New Roman" w:hAnsi="Times New Roman"/>
                  <w:sz w:val="20"/>
                </w:rPr>
                <w:t>DESCRIPTION OF WARRANTS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2">
              <w:r>
                <w:rPr>
                  <w:rStyle w:val="InternetLink"/>
                  <w:rFonts w:ascii="Times New Roman" w:hAnsi="Times New Roman"/>
                  <w:sz w:val="20"/>
                </w:rPr>
                <w:t>DESCRIPTION OF DEBT SECURITIES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3">
              <w:r>
                <w:rPr>
                  <w:rStyle w:val="InternetLink"/>
                  <w:rFonts w:ascii="Times New Roman" w:hAnsi="Times New Roman"/>
                  <w:sz w:val="20"/>
                </w:rPr>
                <w:t>TAXATION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4">
              <w:r>
                <w:rPr>
                  <w:rStyle w:val="InternetLink"/>
                  <w:rFonts w:ascii="Times New Roman" w:hAnsi="Times New Roman"/>
                  <w:sz w:val="20"/>
                </w:rPr>
                <w:t>LEGAL MATTERS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5">
              <w:r>
                <w:rPr>
                  <w:rStyle w:val="InternetLink"/>
                  <w:rFonts w:ascii="Times New Roman" w:hAnsi="Times New Roman"/>
                  <w:sz w:val="20"/>
                </w:rPr>
                <w:t>EXPERTS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6">
              <w:r>
                <w:rPr>
                  <w:rStyle w:val="InternetLink"/>
                  <w:rFonts w:ascii="Times New Roman" w:hAnsi="Times New Roman"/>
                  <w:sz w:val="20"/>
                </w:rPr>
                <w:t>ENFORCEMENT OF CIVIL LIABILITIES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7">
              <w:r>
                <w:rPr>
                  <w:rStyle w:val="InternetLink"/>
                  <w:rFonts w:ascii="Times New Roman" w:hAnsi="Times New Roman"/>
                  <w:sz w:val="20"/>
                </w:rPr>
                <w:t>WHERE YOU CAN FIND MORE INFORMATION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8">
              <w:r>
                <w:rPr>
                  <w:rStyle w:val="InternetLink"/>
                  <w:rFonts w:ascii="Times New Roman" w:hAnsi="Times New Roman"/>
                  <w:sz w:val="20"/>
                </w:rPr>
                <w:t>INCORPORATION OF DOCUMENTS BY REFERENCE</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rom86113_19">
              <w:r>
                <w:rPr>
                  <w:rStyle w:val="InternetLink"/>
                  <w:rFonts w:ascii="Times New Roman" w:hAnsi="Times New Roman"/>
                  <w:sz w:val="20"/>
                </w:rPr>
                <w:t>EXPENSES ASSOCIATED WITH REGISTRATION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rom86113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registration statement on Form F-3 that we filed with the SEC using a “shelf” registration process available to us as a “well-known seasoned issuer,” as defined in Rule 405 under the Securities Act of 1933, as amended (the “Securities Act”). Under this shelf registration process, we may offer ordinary shares, including ordinary shares represented by ADSs, warrants to purchase ordinary shares or ADSs, and debt securities, either individually or in combination, in one or more offerings. No limit exists on the aggregate number or amount of securities we may sell pursuant to the registration statement of which this prospectus is a part. This prospectus provides you with a general description of the 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Under this shelf registration process, we and/or our selling security holders may offer the securities described in this prospectus from time to time at prices and on terms to be determined by market conditions at the time of offering. Registration of the securities covered by this prospectus does not mean that these securities will necessarily be offered or sold. This prospectus provides you with a general description of the securities we and/or our selling security holders may offer. Each time we and/or our selling security holders offer a type or series of securities, we will provide a prospectus supplement that will describe the specific amounts, prices and other important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and/or our selling security holders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Documents by Reference,” before investing in any of the securities offered.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agent, underwriter or dealer, has authorized any person to give any information or to make any representation other than those contained in or incorporated by reference into this prospectus, any applicable prospectus supplement or any related free writing prospectus prepared by or on behalf of us or to which we have referred you. This prospectus, any applicable supplement to this prospectus or any related free writing prospectus does not constitute an offer to sell or the solicitation of an offer to buy any securities other than the registered securities to which it relates,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herein by reference contain summaries of certain provisions contained in some of the documents described herein, but you should refer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in this prospectus, “Abivax,” “the Company,” “our Company,” “we,” “us” and “our” refer to Abivax SA and its consolidated subsidiary,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references to “euro” or “” are to the legal currency of the countries of the European Union, including the Republic of France, and references to “dollars,” “U.S. dollars” or “$” are to the legal currency of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rom86113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highlights information contained elsewhere in this prospectus and does not contain all of the information that you need to consider in making your investment decision.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or free writing prospectus. Investing in our securities involves risks. Therefore, carefully consider the risk factors set forth in any prospectus supplements and in our most recent filings with the SEC including our Annual Reports on Form 20-F and reports on Form 6-K,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focused on developing therapeutics that harness the body’s natural regulatory mechanisms to stabilize the immune response in patients with chronic inflammatory diseases. We focus on indications where existing treatments have left patients with significant unmet needs, and where we believe our investigational agents have the potential to be meaningfully differentiated from currently available therapies. Our initial focus is on inflammatory bowel diseases (“IBD”), chronic conditions involving inflammation of the gastrointestinal tract, of which the two most common forms are ulcerative colitis (“UC”) and Crohn’s disease (“CD”).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our lead drug candidate, obefazimod, is differentiated from competing approaches for the treatment of IBD via its novel mechanism of action. Obefazimod was demonstrated to specifically enhance the expression of a single micro-RNA, miR-124, which plays a critical role in the regulation of the inflammatory response. In the context of inflammation, miR-124 is a natural regulator of the inflammatory response, controlling progression of inflammation and restoring homeostasis of the immune system, without causing broader immunosuppression. 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 results over the long-term, which is critical in lifelong conditions such as IBD, potentially differentiating obefazimod from currently available IBD treatments.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drug candidate, obefazimod, is currently being developed for the treatment of moderately to severely active UC and CD. We are also evaluating potential combination therapy opportunities in IBD to pursue. In parallel, we are in the process of strengthening our development portfolio by generating follow-on compounds based on our miR-124 platform and assessing external early drug candidates in IBD.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as a </w:t>
      </w:r>
      <w:r>
        <w:rPr>
          <w:rFonts w:ascii="Times New Roman" w:hAnsi="Times New Roman"/>
          <w:i/>
          <w:sz w:val="20"/>
          <w:bdr w:val="single" w:sz="8" w:space="1" w:color="000000"/>
        </w:rPr>
        <w:t>société anonyme</w:t>
      </w:r>
      <w:r>
        <w:rPr>
          <w:rFonts w:ascii="Times New Roman" w:hAnsi="Times New Roman"/>
          <w:sz w:val="20"/>
          <w:bdr w:val="single" w:sz="8" w:space="1" w:color="000000"/>
        </w:rPr>
        <w:t xml:space="preserve"> (limited liability company) on December 4, 2013 and registered at the Paris Trade and Company Register on December 27, 2013 for a period of 99 years until December 22, 2112, subject to extension or early dissolution, under the number 799 363 718. Our principal executive offices are located at 7-11 boulevard Haussmann 75009 Paris, France, and our telephone number is +33 (0) 1 53 83 09 63. We have one wholly owned subsidiary, Abivax LLC, a Delaware limited liability company, formed on March 20, 2023.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ADSs began trading on the Nasdaq Global Market in October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SEC maintains a website that contains reports, proxy information statements and other information regarding issuers that file electronically with the SEC. The address of that site is www.sec.gov. Our website address is www.abivax.com. The reference to our website is an inactive textual reference only and information contained in, or that can be accessed through, our website or any other website cited in this prospectus is not part of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U.S. Jumpstart Our Business Startups Act of 2012 (“JOBS Act”). As an emerging growth company, we may take advantage of specified reduced disclosure and other requirements that are otherwise applicable generally to public companies. These provisions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auditor attestation requirements of Section 404 of the Sarbanes-Oxley Act of 2002;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provisions until December 31, 2028 or until such earlier time that we no longer qualify as an emerging growth company. We would cease to be an emerging growth company upon the earliest to occur of: (i) the last day of the fiscal year in which our annual gross revenues exceed $1.235 billion; (ii) the first day of the year following the first year in which, as of the last business day of our most recently completed second fiscal quarter, the market value of our common equity held by non-affiliates exceeds $700 million; (iii) the date on which we have issued more than $1.0 billion in non-convertible debt securities during the previous three years; and (iv) the last day of the fiscal year ending after the fifth anniversary of our initial public offering of our ADSs.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choose to take advantage of some but not all of these exemptions. For example, Section 107 of the JOBS Act provides that an emerging growth company can use the extended transition period provided in Section 7(a)(2)(B) of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 Since IFRS make no distinction between public and private companies for purposes of compliance with new or revised accounting standards, the requirements for our compliance as a private company and as a public company are the same.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Foreign Private Issuer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considered a “foreign private issuer” under U.S. securities laws. In our capacity as a foreign private issuer, we are exempt from certain rules under the U.S. Securities Exchange Act of 1934, as amended (the “Exchange Act”), that impose certain disclosure obligations and procedural requirements for proxy solicitations under Section 14 of the Exchange Act. In addition, members of our board of directors and our principal shareholders are exempt from the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We and/or Our Selling Security Holders May Offer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this prospectus, we and/or our selling security holders may offer ordinary shares, including ADSs representing our ordinary shares, warrants to purchase ordinary shares or ADSs, and debt securities, either individually or in any combination, from time to time at prices and on terms to be determined by market conditions at the time of the offering. This prospectus provides you with a general description of the securities we and/or our selling security holders may offer. Each time we and/or our selling security holders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or dividends,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or sinking fund terms,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prices or rates, if any, and, if applicable, any provisions for changes to or adjustments in the conversion or exchange prices or rates in the securities or other property receivable upon conversion or exchange;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exercise prices, if any.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and/or our selling security holders may sell the securities directly to investors or to or through agents, underwriters or dealers. We, and our agents or underwriters, reserve the right to accept or reject all or part of any proposed purchase of securities. If we and/or our selling security holders offer securities through agents or underwriters, we will include in the applicable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those agents or underwriters;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fees and commissions to be paid to them;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over-allotment options,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to us or our selling security holders.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This prospectus may not be used to consummate a sale of any securities unless it is accompanied by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rom86113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20-F as updated by our subsequent filings including our Reports on Form 6-K that are incorporated by reference into this prospectus, before deciding whether to purchase any of the securities being registered pursuant to the registration statement of which this prospectus is a part.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rom86113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contain forward-looking statements within the meaning of Section 27A of the Securities Act of 1933, as amended, and Section 21E of the Exchange Act and the Private Securities Litigation Reform Act of 1995. All statements other than present and historical facts and conditions, including statements regarding our future results of operations and financial position, business strategy, plans and our objectives for future operations, are forward-looking statements. When used in this prospectus and the documents incorporated by reference, the words “anticipate,” “believe,” “can,” “could,” “estimate,” “expect,” “intend,” “is designed to,” “may,” “might,” “objective,” “plan,” “potential,” “predict,” “should,” “will,” “would” or the negative of these and similar expressions identify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prospects of attaining, maintaining and expanding marketing authorization for our lead drug candidate, obefazimod;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attributes and clinical advantages of obefazimod and our future drug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and results of our preclinical and clinical trials (and those conducted by third parties) and other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the availability of data from our clinical trials, including our Phase 3 maintenance trial of obefazimod in moderately to severely active ulcerative colitis and Phase 2b trial of obefazimod in CD;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our ability to advance drug candidates through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meetings and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our ability to obtain and maintain regulatory approvals for obefazimod and any of our future drug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and develop new drug candidates from our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sales and marketing capabilities and transition into a commercial-stage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increased competition as well as innovations by new and existing competitors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strategic relationships or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protect and enforce our intellectual property rights and propriety technologies and to operate our business without infringing the intellectual property rights and proprietary technology of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future revenues, capital requirements and the need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government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conditions in our industry, the global economy or global supply chain, including financial and credit market fluctuations, international trade relations, political turmoil, natural catastrophes, warfare, and terrorist attacks;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indicated in this prospectus and the documents incorporated by reference herein, including those under the heading “Risk Factors,” and the other documents filed or to be filed with the SEC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refer to the “Risk Factors” section contained in the applicable prospectus supplement and any related free writing prospectus, and under similar headings in the other documents that are incorporated by reference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for a discussion of important factors that may cause our actual results to differ materially from those expressed or implied by our forward-looking statements. In addition, statements that “we believe” and similar statements reflect our beliefs and opinions on the relevant subject.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law, we undertake no obligation to publicly update any forward-looking statements, whether as a result of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documents that we reference in this prospectus and have filed as exhibits to this prospectus completely and with the understanding that our actual future results may be materially different from what we expect. We qualify all of our forward-looking statements by these cautionary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prospectus is generally reliable, such information is inherently imprecise.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rom86113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the sale of the securities we offer pursuant to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a variety of capital preservation investments, including short-term, investment-grade, interest-bearing instruments.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by selling security holders of the securities covered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rom86113_6"/>
      <w:bookmarkEnd w:id="8"/>
      <w:r>
        <w:rPr>
          <w:rFonts w:ascii="Times New Roman" w:hAnsi="Times New Roman"/>
          <w:b/>
          <w:sz w:val="20"/>
        </w:rPr>
        <w:t xml:space="preserve">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Selling security holders are persons or entities that, directly or indirectly, have acquired or will from time to time acquire from us, our securities. Such selling security holders may be parties to registration rights agreements with us, or we otherwise may have agreed or will agree to register their securities for resale. The initial purchasers of our securities, as well as their transferees, pledges, donees or successors, all of whom we refer to as “selling security holders,” may from time to time offer and sell our securities pursuant to this prospectus and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name of each of the selling security holders and the number of securities beneficially owned by such selling security holders that are covered by such prospectus supplement. The applicable prospectus supplement will also disclose whether any of the selling security holders has held any position or office with, has been employed by or otherwise has had a material relationship with us during the three years prior to the date of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rom86113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and/or our selling security holders may offer securities under this prospectus from time to time pursuant to underwritten public offerings, negotiated transactions, block trades or a combination of these methods. We and/or our selling security holders may sell the securities (1) through underwriters or dealers, (2) through agents and/or (3) directly to one or more purchasers. We and/or our selling security holders may distribute the securities from time to time in one or more transactions, in accordance with applicable law and regulations and existing shareholders delegations of authority, 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distribution of securities may be carried out, from time to time, in one or more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transactions and transactions on the Nasdaq Global Market or any other organized market where such securities may be traded;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own account pursuant to a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a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through an “at the market offering” as defined in Rule 415(a)(4) under the Securities Act, into an existing trading market, on an exchange or otherwise;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in other ways not involving market makers or established trading markets, including direct sales to purchasers.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time that we and/or our selling security holders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 </w:t>
      </w:r>
    </w:p>
    <w:p>
      <w:pPr>
        <w:pStyle w:val="TextBody"/>
        <w:bidi w:val="0"/>
        <w:spacing w:before="240" w:after="0"/>
        <w:jc w:val="left"/>
        <w:rPr>
          <w:rFonts w:ascii="Times New Roman" w:hAnsi="Times New Roman"/>
          <w:sz w:val="20"/>
        </w:rPr>
      </w:pPr>
      <w:r>
        <w:rPr>
          <w:rFonts w:ascii="Times New Roman" w:hAnsi="Times New Roman"/>
          <w:sz w:val="20"/>
        </w:rPr>
        <w:t xml:space="preserve">We and/or our selling security holders may directly solicit offers to purchase the securities being offered by this prospectus. We and/or our selling security holders may also designate agents to solicit offers to purchase the securities from time to time. We will name in a prospectus supplement any underwriter or agent involved in the offer or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If we and/or our selling security holders utilize a dealer in the sale of the securities being offered by this prospectus, we and/or our selling security holders will sell the securities to the dealer, as principal. The dealer may then resell the securities to the public at varying prices to be determined by the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If we and/or our selling security holders utilize an underwriter in the sale of the securities being offered by this prospectus, we and/or our selling security holders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the securities for whom the underwriter may act as agent, may compensate the underwriter in the form of underwriting commissions. The underwriter may sell the securities to or through dealers, and the underwriter may compensate those dealers in the form of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provide in the applicable prospectus supplement information regarding any compensation we pay to underwriters, dealers or agents in connection with the offering of the securities, and any concessions or commissions allowed by underwriters to participating dealers. Underwriters, dealers and agents participating in the distribution of the securities may be deemed to be underwriters within the meaning of the Securities Act of 1933, as amended, and any commissions received by them and any profit realized by them on resale of the securities may be deemed to be underwriting commissions. We may enter into agreements to indemnify underwriters, dealers and agents against civil liabilities, including liabilities under the Securities Act, or to contribute to payments they may be required to make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ADSs are traded, in negotiated transactions or otherwise as agreed with the underwriters or agents. The distribution agreement will provide that any ADSs sold will be sold at negotiated prices or at prices related to the then prevailing market prices for our ADSs.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ADSs or other securities. The terms of each such distribution agreement will be described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and agents may engage in other transactions with us, or perform other services for us, in the ordinary course of their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rom86113_8"/>
      <w:bookmarkEnd w:id="10"/>
      <w:r>
        <w:rPr>
          <w:rFonts w:ascii="Times New Roman" w:hAnsi="Times New Roman"/>
          <w:b/>
          <w:sz w:val="20"/>
        </w:rPr>
        <w:t xml:space="preserve">DESCRIPTION OF SHARE CAPITAL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were incorporated as a </w:t>
      </w:r>
      <w:r>
        <w:rPr>
          <w:rFonts w:ascii="Times New Roman" w:hAnsi="Times New Roman"/>
          <w:i/>
          <w:sz w:val="20"/>
        </w:rPr>
        <w:t>société anonyme</w:t>
      </w:r>
      <w:r>
        <w:rPr>
          <w:rFonts w:ascii="Times New Roman" w:hAnsi="Times New Roman"/>
          <w:sz w:val="20"/>
        </w:rPr>
        <w:t xml:space="preserve"> (limited liability company) on December 4, 2013 and registered at the Paris Trade and Company Register on December 27, 2013 for a period of 99 years until December 22, 2112, subject to extension or early dissolution, under the number 799 363 718. Our corporate purpose in France and abroad includes the research, development and marketing of therapeutic and prophylactic vaccines and small therapeutic molecules that primarily have applications in the anti-infective field, as set forth in Article 4 of our by-laws. We may participate, by any means, directly or indirectly in any operations that may be related to our purpose through the creation of new companies, contribution, subscription or purchase of company securities or rights, merger or otherwise, creation, acquisition, leasing, management lease of any businesses or establishments. Our principal executive offices are located at 7-11 boulevard Haussmann, 75009 Paris, France, and our telephone number is +33 (0) 1 53 83 09 63. </w:t>
      </w:r>
    </w:p>
    <w:p>
      <w:pPr>
        <w:pStyle w:val="TextBody"/>
        <w:bidi w:val="0"/>
        <w:spacing w:before="240" w:after="0"/>
        <w:jc w:val="left"/>
        <w:rPr>
          <w:rFonts w:ascii="Times New Roman" w:hAnsi="Times New Roman"/>
          <w:sz w:val="20"/>
        </w:rPr>
      </w:pPr>
      <w:r>
        <w:rPr>
          <w:rFonts w:ascii="Times New Roman" w:hAnsi="Times New Roman"/>
          <w:sz w:val="20"/>
        </w:rPr>
        <w:t>The following description of our by-laws and share capital does not purport to be complete and is qualified in its entirety by reference to our by-laws as of the date of this prospectus. Copies of our by-laws may be obtained from the Trade and Company Registry (</w:t>
      </w:r>
      <w:r>
        <w:rPr>
          <w:rFonts w:ascii="Times New Roman" w:hAnsi="Times New Roman"/>
          <w:i/>
          <w:sz w:val="20"/>
        </w:rPr>
        <w:t>Greffe du Registre du Commerce et des Sociétés</w:t>
      </w:r>
      <w:r>
        <w:rPr>
          <w:rFonts w:ascii="Times New Roman" w:hAnsi="Times New Roman"/>
          <w:sz w:val="20"/>
        </w:rPr>
        <w:t xml:space="preserve">) of Paris, France or our corporate headquarters and are filed as an exhibit to this registration statement of which this 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Share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Share Capital History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our share capital amounted to 792,911.88 and is divided into 79,291,188 ordinary shares of 0.01 par value each after taking into account: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64"/>
        <w:gridCol w:w="256"/>
        <w:gridCol w:w="60"/>
        <w:gridCol w:w="1106"/>
        <w:gridCol w:w="60"/>
        <w:gridCol w:w="256"/>
        <w:gridCol w:w="74"/>
        <w:gridCol w:w="551"/>
        <w:gridCol w:w="60"/>
        <w:gridCol w:w="256"/>
        <w:gridCol w:w="60"/>
        <w:gridCol w:w="1105"/>
        <w:gridCol w:w="64"/>
      </w:tblGrid>
      <w:tr>
        <w:trPr/>
        <w:tc>
          <w:tcPr>
            <w:tcW w:w="4664"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664"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w:t>
              <w:br/>
              <w:t>Value</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of</w:t>
              <w:br/>
              <w:t>Paid</w:t>
              <w:br/>
              <w:t>Up Capital</w:t>
            </w:r>
          </w:p>
        </w:tc>
        <w:tc>
          <w:tcPr>
            <w:tcW w:w="64" w:type="dxa"/>
            <w:tcBorders/>
            <w:vAlign w:val="bottom"/>
          </w:tcPr>
          <w:p>
            <w:pPr>
              <w:pStyle w:val="TableContents"/>
              <w:bidi w:val="0"/>
              <w:spacing w:before="0" w:after="283"/>
              <w:jc w:val="left"/>
              <w:rPr/>
            </w:pPr>
            <w:r>
              <w:rPr/>
              <w:t> </w:t>
            </w:r>
          </w:p>
        </w:tc>
      </w:tr>
      <w:tr>
        <w:trPr/>
        <w:tc>
          <w:tcPr>
            <w:tcW w:w="4664"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6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25"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65" w:type="dxa"/>
            <w:gridSpan w:val="2"/>
            <w:tcBorders/>
            <w:vAlign w:val="bottom"/>
          </w:tcPr>
          <w:p>
            <w:pPr>
              <w:pStyle w:val="TableContents"/>
              <w:bidi w:val="0"/>
              <w:spacing w:before="0" w:after="283"/>
              <w:jc w:val="center"/>
              <w:rPr>
                <w:b/>
              </w:rPr>
            </w:pPr>
            <w:r>
              <w:rPr>
                <w:b/>
              </w:rPr>
              <w:t>()</w:t>
            </w:r>
          </w:p>
        </w:tc>
        <w:tc>
          <w:tcPr>
            <w:tcW w:w="64" w:type="dxa"/>
            <w:tcBorders/>
            <w:vAlign w:val="bottom"/>
          </w:tcPr>
          <w:p>
            <w:pPr>
              <w:pStyle w:val="TableContents"/>
              <w:bidi w:val="0"/>
              <w:spacing w:before="0" w:after="283"/>
              <w:jc w:val="left"/>
              <w:rPr/>
            </w:pPr>
            <w:r>
              <w:rPr/>
              <w:t> </w:t>
            </w:r>
          </w:p>
        </w:tc>
      </w:tr>
      <w:tr>
        <w:trPr/>
        <w:tc>
          <w:tcPr>
            <w:tcW w:w="4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Ordinary Shares</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79,291,188</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792,911.88</w:t>
            </w:r>
          </w:p>
        </w:tc>
        <w:tc>
          <w:tcPr>
            <w:tcW w:w="64" w:type="dxa"/>
            <w:tcBorders/>
            <w:shd w:fill="CCEEFF" w:val="clear"/>
            <w:vAlign w:val="bottom"/>
          </w:tcPr>
          <w:p>
            <w:pPr>
              <w:pStyle w:val="TableContents"/>
              <w:bidi w:val="0"/>
              <w:spacing w:before="0" w:after="283"/>
              <w:jc w:val="left"/>
              <w:rPr/>
            </w:pPr>
            <w:r>
              <w:rPr/>
              <w:t> </w:t>
            </w:r>
          </w:p>
        </w:tc>
      </w:tr>
      <w:tr>
        <w:trPr/>
        <w:tc>
          <w:tcPr>
            <w:tcW w:w="4664"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5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66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79,291,188</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792,911.88</w:t>
            </w:r>
          </w:p>
        </w:tc>
        <w:tc>
          <w:tcPr>
            <w:tcW w:w="64" w:type="dxa"/>
            <w:tcBorders/>
            <w:vAlign w:val="bottom"/>
          </w:tcPr>
          <w:p>
            <w:pPr>
              <w:pStyle w:val="TableContents"/>
              <w:bidi w:val="0"/>
              <w:spacing w:before="0" w:after="283"/>
              <w:jc w:val="left"/>
              <w:rPr/>
            </w:pPr>
            <w:r>
              <w:rPr/>
              <w:t> </w:t>
            </w:r>
          </w:p>
        </w:tc>
      </w:tr>
      <w:tr>
        <w:trPr/>
        <w:tc>
          <w:tcPr>
            <w:tcW w:w="4664"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5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of the shares are fully subscribed and paid. As of the date of this prospectus, we have not issued securities that do not represent our share capital.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shows the changes in our share capital over the last three years. </w:t>
      </w:r>
    </w:p>
    <w:p>
      <w:pPr>
        <w:pStyle w:val="TextBody"/>
        <w:bidi w:val="0"/>
        <w:spacing w:before="0" w:after="0"/>
        <w:jc w:val="left"/>
        <w:rPr/>
      </w:pPr>
      <w:r>
        <w:rPr/>
        <w:t> </w:t>
      </w:r>
    </w:p>
    <w:tbl>
      <w:tblPr>
        <w:tblW w:w="13695" w:type="dxa"/>
        <w:jc w:val="center"/>
        <w:tblInd w:w="0" w:type="dxa"/>
        <w:tblLayout w:type="fixed"/>
        <w:tblCellMar>
          <w:top w:w="0" w:type="dxa"/>
          <w:left w:w="0" w:type="dxa"/>
          <w:bottom w:w="0" w:type="dxa"/>
          <w:right w:w="0" w:type="dxa"/>
        </w:tblCellMar>
      </w:tblPr>
      <w:tblGrid>
        <w:gridCol w:w="500"/>
        <w:gridCol w:w="60"/>
        <w:gridCol w:w="4205"/>
        <w:gridCol w:w="60"/>
        <w:gridCol w:w="63"/>
        <w:gridCol w:w="1157"/>
        <w:gridCol w:w="60"/>
        <w:gridCol w:w="60"/>
        <w:gridCol w:w="60"/>
        <w:gridCol w:w="1220"/>
        <w:gridCol w:w="60"/>
        <w:gridCol w:w="60"/>
        <w:gridCol w:w="60"/>
        <w:gridCol w:w="1100"/>
        <w:gridCol w:w="60"/>
        <w:gridCol w:w="60"/>
        <w:gridCol w:w="62"/>
        <w:gridCol w:w="1143"/>
        <w:gridCol w:w="60"/>
        <w:gridCol w:w="60"/>
        <w:gridCol w:w="106"/>
        <w:gridCol w:w="784"/>
        <w:gridCol w:w="60"/>
        <w:gridCol w:w="60"/>
        <w:gridCol w:w="63"/>
        <w:gridCol w:w="1172"/>
        <w:gridCol w:w="60"/>
        <w:gridCol w:w="60"/>
        <w:gridCol w:w="106"/>
        <w:gridCol w:w="994"/>
        <w:gridCol w:w="60"/>
      </w:tblGrid>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50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Date</w:t>
            </w:r>
          </w:p>
        </w:tc>
        <w:tc>
          <w:tcPr>
            <w:tcW w:w="60" w:type="dxa"/>
            <w:tcBorders/>
            <w:vAlign w:val="bottom"/>
          </w:tcPr>
          <w:p>
            <w:pPr>
              <w:pStyle w:val="TableContents"/>
              <w:bidi w:val="0"/>
              <w:spacing w:before="0" w:after="283"/>
              <w:jc w:val="left"/>
              <w:rPr/>
            </w:pPr>
            <w:r>
              <w:rPr/>
              <w:t> </w:t>
            </w:r>
          </w:p>
        </w:tc>
        <w:tc>
          <w:tcPr>
            <w:tcW w:w="4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Type of operation</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Prior Share</w:t>
              <w:br/>
              <w:t>Capital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Premium </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 xml:space="preserve">shares </w:t>
              <w:br/>
              <w:t>created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Total </w:t>
              <w:br/>
              <w:t>number of</w:t>
              <w:br/>
              <w:t xml:space="preserve">shares after </w:t>
              <w:br/>
              <w:t>issuance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Nominal</w:t>
              <w:br/>
              <w:t xml:space="preserve">value </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Share </w:t>
              <w:br/>
              <w:t>capital after</w:t>
              <w:br/>
              <w:t xml:space="preserve">transaction </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Issue price</w:t>
              <w:br/>
              <w:t xml:space="preserve">per share </w:t>
              <w:br/>
              <w:t>()</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20/01/2023</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BCE-2014-4</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223,131.85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22,331,585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223,315.85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01/03/2023</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Capital increase through issue of new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223,315.85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129,800,000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42,331,585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423,315.85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6.50</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10/05/2023</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BSA-2014-3</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423,315.85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16,400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42,347,985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423,479.85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06/06/2023</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BSA-2018-KREOS-A</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423,479.85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488,786.40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67,887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42,415,872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424,158.72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7.21</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06/06/2023</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BSA-2018-KREOS-b</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424,158.72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338,830.24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31,696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42,447,568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424,475.68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10.70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19/06/2023</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BCE-2014-2</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424,475.68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42,547,568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425,475.68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12/09/2023</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BSA-2014-3</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425,475.68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16,400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42,563,968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425,639.68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14/09/2023</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BSA-2014-3</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425,639.68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42,580,368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425,803.68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24/10/2023</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Capital increase through issue of new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425,803.68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223,173,990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20,325,500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62,905,868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629,058.68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10.99</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20/11/2023</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BSA-2014-5</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629,058.68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22,950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62,928,818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629,288.18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22/04/2024</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BCE-2017-5</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629,288.18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11,130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62,929,818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629,298.18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11.14</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23/04/2024</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BCE-2017-5</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629,298.18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11,130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62,930,818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629,308.18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11.14</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4250" w:type="dxa"/>
        <w:jc w:val="center"/>
        <w:tblInd w:w="0" w:type="dxa"/>
        <w:tblLayout w:type="fixed"/>
        <w:tblCellMar>
          <w:top w:w="0" w:type="dxa"/>
          <w:left w:w="0" w:type="dxa"/>
          <w:bottom w:w="0" w:type="dxa"/>
          <w:right w:w="0" w:type="dxa"/>
        </w:tblCellMar>
      </w:tblPr>
      <w:tblGrid>
        <w:gridCol w:w="500"/>
        <w:gridCol w:w="60"/>
        <w:gridCol w:w="4205"/>
        <w:gridCol w:w="60"/>
        <w:gridCol w:w="63"/>
        <w:gridCol w:w="1157"/>
        <w:gridCol w:w="60"/>
        <w:gridCol w:w="60"/>
        <w:gridCol w:w="60"/>
        <w:gridCol w:w="1520"/>
        <w:gridCol w:w="60"/>
        <w:gridCol w:w="60"/>
        <w:gridCol w:w="60"/>
        <w:gridCol w:w="1100"/>
        <w:gridCol w:w="60"/>
        <w:gridCol w:w="60"/>
        <w:gridCol w:w="60"/>
        <w:gridCol w:w="1400"/>
        <w:gridCol w:w="60"/>
        <w:gridCol w:w="60"/>
        <w:gridCol w:w="106"/>
        <w:gridCol w:w="784"/>
        <w:gridCol w:w="60"/>
        <w:gridCol w:w="60"/>
        <w:gridCol w:w="63"/>
        <w:gridCol w:w="1172"/>
        <w:gridCol w:w="60"/>
        <w:gridCol w:w="60"/>
        <w:gridCol w:w="106"/>
        <w:gridCol w:w="994"/>
        <w:gridCol w:w="60"/>
      </w:tblGrid>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50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Date</w:t>
            </w:r>
          </w:p>
        </w:tc>
        <w:tc>
          <w:tcPr>
            <w:tcW w:w="60" w:type="dxa"/>
            <w:tcBorders/>
            <w:vAlign w:val="bottom"/>
          </w:tcPr>
          <w:p>
            <w:pPr>
              <w:pStyle w:val="TableContents"/>
              <w:bidi w:val="0"/>
              <w:spacing w:before="0" w:after="283"/>
              <w:jc w:val="left"/>
              <w:rPr/>
            </w:pPr>
            <w:r>
              <w:rPr/>
              <w:t> </w:t>
            </w:r>
          </w:p>
        </w:tc>
        <w:tc>
          <w:tcPr>
            <w:tcW w:w="4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Type of operation</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Prior Share</w:t>
              <w:br/>
              <w:t>Capital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Premium </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 xml:space="preserve">shares </w:t>
              <w:br/>
              <w:t>created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Total </w:t>
              <w:br/>
              <w:t>number of</w:t>
              <w:br/>
              <w:t xml:space="preserve">shares after </w:t>
              <w:br/>
              <w:t>issuance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Nominal</w:t>
              <w:br/>
              <w:t xml:space="preserve">value </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Share </w:t>
              <w:br/>
              <w:t>capital after</w:t>
              <w:br/>
              <w:t xml:space="preserve">transaction </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Issue price</w:t>
              <w:br/>
              <w:t xml:space="preserve">per share </w:t>
              <w:br/>
              <w:t>()</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11/06/2024</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BCE-2017-5</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629,308.18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11,130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62,931,818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629,318.18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11.14</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13/06/2024</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BCE-2017-5</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629,318.18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11,130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62,932,818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629,328.18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11.14</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11/07/2024</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Definitive allocation of free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629,328.18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344,107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63,276,925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632,769.25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05/09/2024</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Definitive allocation of free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632,769.25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17,728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63,294,653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632,946.53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13/11/2024</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Definitive allocation of free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632,946.53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53,184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63,347,837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633,478.37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23/07/2025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BCE-2018-5</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634,719.33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7,320.00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63,472,933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634,729.33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7.33</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24/07/2025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BCE-2016-1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634,729.33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25,997.57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63,476,432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634,764.32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7.44</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25/07/2025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BCE-2018-1</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634,764.32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14,767.50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63,478,082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634,780.82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8.96</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28/07/2025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Capital increase through issue of new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634,780.82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637,228,064.00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11,679,400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75,157,482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751,574.82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54.57</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29/07/2025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BCE-2018-5</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751,574.82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7,320.00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75,158,482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751,584.82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7.33</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29/07/2025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Conversion of convertible bonds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751,584.82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9,371,047.91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394,447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75,552,929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755,529.29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23.77</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30/07/2025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BCE-2016-1</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755,529.29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22,290,00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75,555,929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755,559.29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7.44</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30/07/2025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BCE-2016-1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755,559.29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26,850.00.00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75,558,929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755,589.29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01/08/2025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Definitive allocation of free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755,589.29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27,728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75,586,657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755,866.57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04/08/2025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BCE-2018-1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755,866.57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17,300.00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75,588,657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755,886.57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05/08/2025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BCE-2016-1</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755,886.57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4,829.50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75,589,307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755,893.07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7.44</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06/08/2025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BCE-2018-1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755,893.07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16,110.0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75,591,107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755,911.07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06/08/2025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BCE-2016-1</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755,911.07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29,712.57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3,999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75,595,106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755,951.06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7.44</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07/08/2025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BCE-2016-1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755,951.06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11,137.57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75,596,605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755,966.05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7.44</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05/08/2025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Conversion of convertible bonds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755,966.05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12,494,729.38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525,930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76,122,535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761,225.35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23.76</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08/08/2025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Conversion of convertible bonds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761,225.35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16,658,807.54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785,389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76,907,924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769,079.24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21.21</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08/08/2025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BSA (Kreos)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769,079.24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2,665,728.23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95,742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77,003,666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770,036.66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18.67</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08/08/2025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BSA (Kreos)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770,036.66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2,664,564.29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223,509.00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77,227,175,00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772,271.75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9.86</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28/08/2025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BSA (Claret)</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772,985.74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1,331,840.08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135,263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77,433,837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774,338.37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9.86</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04/09/2025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Definitive allocation of free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774,338.37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17,728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77,451,565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774,515.65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04/09/2025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BCE-2016-1</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774,515.65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1,107.07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77,451,714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774,517.14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7.44</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08/09/2025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BCE-2016-1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774,517.14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7,430.00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77,452,714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774,527.14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7.44</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28/09/2025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Definitive allocation of free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774,527.14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377,353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77,830,067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778,300.67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02/10/2025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BSA-2015-12</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778,300.67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291,592.00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16,400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77,846,467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778,464.67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17.79</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23/10/2025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BSA-2017-1</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778,464.67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189,584.00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77,862,867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778,628.67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11.57</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23/10/2025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BCE-2016-1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778,628.67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37,150.00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77,867,867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778,678.67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7.44</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12/11/2025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BCE-2018-1</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778,678.67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8,860.50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77,868,857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778,688.57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8.96</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13/11/2025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Definitive allocation of free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778,688.57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35,456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77,904,313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779,043.13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17/11/2025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BSA-2015-11</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779,043.13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1,723,308.72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96,924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78,001,237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780,012.37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17.79</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28/11/2025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BSA-2024-1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780,012.37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63,656.67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4,863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78,006,100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780,061.00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13.10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01/12/2025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Definitive allocation of free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780,061.00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78,033,725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780,337.25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02/12/2025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Conversion of convertible bonds (Claret)</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780,337.25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8,329,406.05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392,695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78,426,420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784,264.20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21.22</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11/12/2025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Definitive allocation of free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784,264.20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17,728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78,444,148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784,441.48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16/12/2025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BCE-2017-1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784,441.48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212,536.94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33,313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78,477,461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784,774.61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6.39</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17/12/2025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BCE-2017-5</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784,774.61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187,462.59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16,843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78,494,304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784,943.04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11.14</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17/12/2025</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BCE-2018-4</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784,943.04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61,649.04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8,422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78,502,726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785,027.26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7.33</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19/12/2025</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Exercise of BCE-2017-4</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785,027.26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374,925.18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33,686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78,536,412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785,364.12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11.14</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12/01/2026</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Exercise of BCE-2018-1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785,364.12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22,733.00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78,538,952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785,389.52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01/02/2026</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Definitive allocation of free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785,389.52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628,480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79,167,432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791,674.32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19/03/2026</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Definitive allocation of free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791,674.32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35,456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79,202,888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792,028.88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25/03/2026</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Definitive allocation of free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792,028.88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77,050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79,279,938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792,799.38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28/03/2026</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Definitive allocation of free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792,799.38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79,291,188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792,911.88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07/05/2026</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Capital increase through issue of new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792,911.88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38,451,069.51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403,347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79,694,535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796,945.35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95.34</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21/05/2026</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Definitive allocation of free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796,945.35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35,456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79,729,991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797,299.91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27/05/2026</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Definitive allocation of free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797,299.91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40,200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79,770,191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797,701.91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tcPr>
          <w:p>
            <w:pPr>
              <w:pStyle w:val="TableContents"/>
              <w:bidi w:val="0"/>
              <w:spacing w:before="0" w:after="283"/>
              <w:jc w:val="left"/>
              <w:rPr/>
            </w:pPr>
            <w:r>
              <w:rPr/>
              <w:t>01/06/2026</w:t>
            </w:r>
          </w:p>
        </w:tc>
        <w:tc>
          <w:tcPr>
            <w:tcW w:w="60" w:type="dxa"/>
            <w:tcBorders/>
            <w:shd w:fill="CCEEFF" w:val="clear"/>
            <w:vAlign w:val="bottom"/>
          </w:tcPr>
          <w:p>
            <w:pPr>
              <w:pStyle w:val="TableContents"/>
              <w:bidi w:val="0"/>
              <w:spacing w:before="0" w:after="283"/>
              <w:jc w:val="left"/>
              <w:rPr/>
            </w:pPr>
            <w:r>
              <w:rPr/>
              <w:t> </w:t>
            </w:r>
          </w:p>
        </w:tc>
        <w:tc>
          <w:tcPr>
            <w:tcW w:w="4205" w:type="dxa"/>
            <w:tcBorders/>
            <w:shd w:fill="CCEEFF" w:val="clear"/>
            <w:vAlign w:val="bottom"/>
          </w:tcPr>
          <w:p>
            <w:pPr>
              <w:pStyle w:val="TableContents"/>
              <w:bidi w:val="0"/>
              <w:spacing w:before="0" w:after="283"/>
              <w:jc w:val="left"/>
              <w:rPr/>
            </w:pPr>
            <w:r>
              <w:rPr/>
              <w:t>Definitive allocation of free shares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797,299.91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79,782,941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797,829.41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tcPr>
          <w:p>
            <w:pPr>
              <w:pStyle w:val="TableContents"/>
              <w:bidi w:val="0"/>
              <w:spacing w:before="0" w:after="283"/>
              <w:jc w:val="left"/>
              <w:rPr/>
            </w:pPr>
            <w:r>
              <w:rPr/>
              <w:t>26/06/2026</w:t>
            </w:r>
          </w:p>
        </w:tc>
        <w:tc>
          <w:tcPr>
            <w:tcW w:w="60" w:type="dxa"/>
            <w:tcBorders/>
            <w:vAlign w:val="bottom"/>
          </w:tcPr>
          <w:p>
            <w:pPr>
              <w:pStyle w:val="TableContents"/>
              <w:bidi w:val="0"/>
              <w:spacing w:before="0" w:after="283"/>
              <w:jc w:val="left"/>
              <w:rPr/>
            </w:pPr>
            <w:r>
              <w:rPr/>
              <w:t> </w:t>
            </w:r>
          </w:p>
        </w:tc>
        <w:tc>
          <w:tcPr>
            <w:tcW w:w="4205" w:type="dxa"/>
            <w:tcBorders/>
            <w:vAlign w:val="bottom"/>
          </w:tcPr>
          <w:p>
            <w:pPr>
              <w:pStyle w:val="TableContents"/>
              <w:bidi w:val="0"/>
              <w:spacing w:before="0" w:after="283"/>
              <w:jc w:val="left"/>
              <w:rPr/>
            </w:pPr>
            <w:r>
              <w:rPr/>
              <w:t>Definitive allocation of free shares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797,829.41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17,728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79,800,669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798,006.69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Shareholders’ Meetings and Voting Rights (Articles 12, 22, 23, 24, 25 and 26 of the By-Laws)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In accordance with the French Commercial Code (</w:t>
      </w:r>
      <w:r>
        <w:rPr>
          <w:rFonts w:ascii="Times New Roman" w:hAnsi="Times New Roman"/>
          <w:i/>
          <w:sz w:val="20"/>
        </w:rPr>
        <w:t>Code de Commerce</w:t>
      </w:r>
      <w:r>
        <w:rPr>
          <w:rFonts w:ascii="Times New Roman" w:hAnsi="Times New Roman"/>
          <w:sz w:val="20"/>
        </w:rPr>
        <w:t xml:space="preserve">), there are three types of shareholders’ meetings: ordinary, extraordinary and special. </w:t>
      </w:r>
    </w:p>
    <w:p>
      <w:pPr>
        <w:pStyle w:val="TextBody"/>
        <w:bidi w:val="0"/>
        <w:spacing w:before="240" w:after="0"/>
        <w:jc w:val="left"/>
        <w:rPr>
          <w:rFonts w:ascii="Times New Roman" w:hAnsi="Times New Roman"/>
          <w:sz w:val="20"/>
        </w:rPr>
      </w:pPr>
      <w:r>
        <w:rPr>
          <w:rFonts w:ascii="Times New Roman" w:hAnsi="Times New Roman"/>
          <w:sz w:val="20"/>
        </w:rPr>
        <w:t xml:space="preserve">Ordinary shareholders’ meetings are required to elect, replace or remove directors, appoint independent statutory auditors, approve the annual financial statements, approve share repurchase programs, declare dividends or authorizing dividends to be paid in shares and approve regulated agreements. In addition, pursuant to AMF recommendation, French listed companies may be required to conduct a consultation of the Ordinary Shareholders Meeting prior to the disposal of the majority of their assets, under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Extraordinary shareholders’ meetings are required for approval of matters such as amendments to our by-laws, including amendments required in connection with extraordinary corporate actions (i.e., changing our name, corporate purpose or registered office, increasing or decreasing our share capital and creating a new class of equity securities (ordinary or preferred shares)). Shareholders’ rights may be modified as allowed by French law. Only the extraordinary shareholders’ meeting is authorized to amend any and all provisions of our by-laws. It may not, however, increase shareholder commitments without the prior approval of each shareholder. </w:t>
      </w:r>
    </w:p>
    <w:p>
      <w:pPr>
        <w:pStyle w:val="TextBody"/>
        <w:bidi w:val="0"/>
        <w:spacing w:before="0" w:after="0"/>
        <w:jc w:val="left"/>
        <w:rPr>
          <w:rFonts w:ascii="Times New Roman" w:hAnsi="Times New Roman"/>
          <w:sz w:val="20"/>
        </w:rPr>
      </w:pPr>
      <w:r>
        <w:rPr>
          <w:rFonts w:ascii="Times New Roman" w:hAnsi="Times New Roman"/>
          <w:sz w:val="20"/>
        </w:rPr>
        <w:t xml:space="preserve">Special meetings of holders of a certain category of shares or of securities giving access to our share capital are required for any modification of the rights relating to such categories of shares. The resolutions of the shareholders’ meeting modifying these rights are effective only after they have been approved by the relevant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Voting Rights of Warrant Holders </w:t>
      </w:r>
    </w:p>
    <w:p>
      <w:pPr>
        <w:pStyle w:val="TextBody"/>
        <w:bidi w:val="0"/>
        <w:spacing w:before="120" w:after="0"/>
        <w:jc w:val="left"/>
        <w:rPr>
          <w:rFonts w:ascii="Times New Roman" w:hAnsi="Times New Roman"/>
          <w:sz w:val="20"/>
        </w:rPr>
      </w:pPr>
      <w:r>
        <w:rPr>
          <w:rFonts w:ascii="Times New Roman" w:hAnsi="Times New Roman"/>
          <w:sz w:val="20"/>
        </w:rPr>
        <w:t>Under French law, the holders of warrants of the same class (</w:t>
      </w:r>
      <w:r>
        <w:rPr>
          <w:rFonts w:ascii="Times New Roman" w:hAnsi="Times New Roman"/>
          <w:i/>
          <w:sz w:val="20"/>
        </w:rPr>
        <w:t>i.e.,</w:t>
      </w:r>
      <w:r>
        <w:rPr>
          <w:rFonts w:ascii="Times New Roman" w:hAnsi="Times New Roman"/>
          <w:sz w:val="20"/>
        </w:rPr>
        <w:t xml:space="preserve"> warrants that were issued at the same time and with the same rights), including founder’s share warrants (BCEs), are entitled to vote as a separate class at a general meeting of that class of warrant holders under certain circumstances, principally in connection with any proposed modification of the terms and conditions of the class of warrants or any proposed issuance of preferred shares or any modification of the rights of any outstanding class or series of preferred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Shareholders’ Meetings </w:t>
      </w:r>
    </w:p>
    <w:p>
      <w:pPr>
        <w:pStyle w:val="TextBody"/>
        <w:bidi w:val="0"/>
        <w:spacing w:before="120" w:after="0"/>
        <w:jc w:val="left"/>
        <w:rPr>
          <w:rFonts w:ascii="Times New Roman" w:hAnsi="Times New Roman"/>
          <w:sz w:val="20"/>
        </w:rPr>
      </w:pPr>
      <w:r>
        <w:rPr>
          <w:rFonts w:ascii="Times New Roman" w:hAnsi="Times New Roman"/>
          <w:sz w:val="20"/>
        </w:rPr>
        <w:t>Our Board convenes an annual ordinary shareholders’ meeting for the approval of the annual financial statements. This meeting is held within six months of the end of each fiscal year. This period may be extended by an order of the President of the French Commercial Court (</w:t>
      </w:r>
      <w:r>
        <w:rPr>
          <w:rFonts w:ascii="Times New Roman" w:hAnsi="Times New Roman"/>
          <w:i/>
          <w:sz w:val="20"/>
        </w:rPr>
        <w:t>Tribunal de Commerce</w:t>
      </w:r>
      <w:r>
        <w:rPr>
          <w:rFonts w:ascii="Times New Roman" w:hAnsi="Times New Roman"/>
          <w:sz w:val="20"/>
        </w:rPr>
        <w:t xml:space="preserve">) at the request of the Board. The Board may also convene an ordinary or extraordinary shareholders’ meeting upon proper notice at any time during the year. </w:t>
      </w:r>
    </w:p>
    <w:p>
      <w:pPr>
        <w:pStyle w:val="TextBody"/>
        <w:bidi w:val="0"/>
        <w:spacing w:before="240" w:after="0"/>
        <w:jc w:val="left"/>
        <w:rPr>
          <w:rFonts w:ascii="Times New Roman" w:hAnsi="Times New Roman"/>
          <w:sz w:val="20"/>
        </w:rPr>
      </w:pPr>
      <w:r>
        <w:rPr>
          <w:rFonts w:ascii="Times New Roman" w:hAnsi="Times New Roman"/>
          <w:sz w:val="20"/>
        </w:rPr>
        <w:t xml:space="preserve">If the Board fails to convene a shareholders’ meeting at the shareholders’ request, our statutory auditors may call the meeting. In the event of bankruptcy, the liquidator or court-appointed agent may also call a shareholders’ meeting. In addition, any of the following may request the President of the French Commercial Court to appoint an agent to convene the shareholders’ meeting: one or several shareholders holding at least 5% of our share capital, any interested party in cases of urgency, the workers council in cases of urgency or duly qualified associations of shareholders who have held their shares in registered form for at least two years and who together hold a minimum number of the voting rights of our share capital. Shareholders holding a majority of the share capital or voting may also convene a shareholders’ meeting after the filing of a public offer or sale of a controlling interest in our share capital. </w:t>
      </w:r>
    </w:p>
    <w:p>
      <w:pPr>
        <w:pStyle w:val="TextBody"/>
        <w:bidi w:val="0"/>
        <w:spacing w:before="240" w:after="0"/>
        <w:jc w:val="left"/>
        <w:rPr>
          <w:rFonts w:ascii="Times New Roman" w:hAnsi="Times New Roman"/>
          <w:sz w:val="20"/>
        </w:rPr>
      </w:pPr>
      <w:r>
        <w:rPr>
          <w:rFonts w:ascii="Times New Roman" w:hAnsi="Times New Roman"/>
          <w:sz w:val="20"/>
        </w:rPr>
        <w:t xml:space="preserve">Shareholders’ meetings shall be chaired by the chairperson of the Board or, in his or her absence, by a Deputy chairperson or by a director elected for this purpose. Failing that, the meeting itself shall elect a chairperson. Vote counting shall be performed by the two members of the meeting who are present and accept such duties, who represent, either on their own behalf or as proxies, the greatest number of votes.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of Shareholders’ Meeting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French law requirements in relation to notice of shareholders’ meetings and announce shareholders’ meetings at least 35 days in advance by means of a preliminary notice published in the </w:t>
      </w:r>
      <w:r>
        <w:rPr>
          <w:rFonts w:ascii="Times New Roman" w:hAnsi="Times New Roman"/>
          <w:i/>
          <w:sz w:val="20"/>
        </w:rPr>
        <w:t>Bulletin des</w:t>
      </w:r>
      <w:r>
        <w:rPr>
          <w:rFonts w:ascii="Times New Roman" w:hAnsi="Times New Roman"/>
          <w:sz w:val="20"/>
        </w:rPr>
        <w:t xml:space="preserve"> </w:t>
      </w:r>
      <w:r>
        <w:rPr>
          <w:rFonts w:ascii="Times New Roman" w:hAnsi="Times New Roman"/>
          <w:i/>
          <w:sz w:val="20"/>
        </w:rPr>
        <w:t>annonces légales obligatoires</w:t>
      </w:r>
      <w:r>
        <w:rPr>
          <w:rFonts w:ascii="Times New Roman" w:hAnsi="Times New Roman"/>
          <w:sz w:val="20"/>
        </w:rPr>
        <w:t xml:space="preserve"> (BALO), as well as on our website at least 21 days prior to the meeting. At least 15 days prior to the date set for a shareholders’ meeting, or 10 days if it is a second call, we must publish a final notice in accordance with French law requirements. In addition to the particulars relative to us, the final notice indicates, notably, the meeting’s agenda and the draft resolutions that will be presented. The requests for recording of issues or draft resolutions on the agenda must be addressed to the Company under the conditions provided for in the current legislation. </w:t>
      </w:r>
    </w:p>
    <w:p>
      <w:pPr>
        <w:pStyle w:val="TextBody"/>
        <w:bidi w:val="0"/>
        <w:spacing w:before="240" w:after="0"/>
        <w:jc w:val="left"/>
        <w:rPr>
          <w:rFonts w:ascii="Times New Roman" w:hAnsi="Times New Roman"/>
          <w:sz w:val="20"/>
        </w:rPr>
      </w:pPr>
      <w:r>
        <w:rPr>
          <w:rFonts w:ascii="Times New Roman" w:hAnsi="Times New Roman"/>
          <w:sz w:val="20"/>
        </w:rPr>
        <w:t xml:space="preserve">In general, shareholders can only take action at shareholders’ meetings on matters listed on the agenda for the meeting. As an exception to this rule, shareholders may take action, among other things, with respect to the dismissal of directors, even if these actions have not been included on the agenda. The Board must submit properly proposed resolutions to a vote of the shareholders. When a shareholder submits a blank proxy form without naming a representative, his vote is deemed to be in favor of the resolutions (or amendments) proposed or recommended by the Board and against all others. As of the date of the publication of the final notice of a meeting but no later than four business days before the shareholders’ meeting, any shareholder may submit written questions to the Board relating to the agenda for the meeting. The Board must respond to these questions during the meeting. A common answer can be given to several questions if they have the same content or bear on the same topic. The answer to a written question is deemed to have been given insofar as it is published on our website in a section devoted to questions and answers.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Agenda and Conduct of Annual Shareholders’ Meetings. </w:t>
      </w:r>
    </w:p>
    <w:p>
      <w:pPr>
        <w:pStyle w:val="TextBody"/>
        <w:bidi w:val="0"/>
        <w:spacing w:before="120" w:after="0"/>
        <w:jc w:val="left"/>
        <w:rPr>
          <w:rFonts w:ascii="Times New Roman" w:hAnsi="Times New Roman"/>
          <w:sz w:val="20"/>
        </w:rPr>
      </w:pPr>
      <w:r>
        <w:rPr>
          <w:rFonts w:ascii="Times New Roman" w:hAnsi="Times New Roman"/>
          <w:sz w:val="20"/>
        </w:rPr>
        <w:t xml:space="preserve">The agenda of the shareholders’ meeting shall appear in the notice to convene the meeting and is set by the author of the notice. The shareholders’ meeting may only deliberate on the items on the agenda except for the removal of directors and the appointment of their successors which may be put to vote by any shareholder during any shareholders’ meeting. Pursuant to French law and our current share capital, one or more shareholders representing 5% of our share capital may request the inclusion of items or proposed resolutions on the agenda. Such request must be received at the latest on the 25th day preceding the date of the shareholders’ meeting, and in any event no later than the 20th day following the date of the convening notice to the shareholders’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Attendance and Voting at Shareholders’ Meetings </w:t>
      </w:r>
    </w:p>
    <w:p>
      <w:pPr>
        <w:pStyle w:val="TextBody"/>
        <w:bidi w:val="0"/>
        <w:spacing w:before="120" w:after="0"/>
        <w:jc w:val="left"/>
        <w:rPr>
          <w:rFonts w:ascii="Times New Roman" w:hAnsi="Times New Roman"/>
          <w:sz w:val="20"/>
        </w:rPr>
      </w:pPr>
      <w:r>
        <w:rPr>
          <w:rFonts w:ascii="Times New Roman" w:hAnsi="Times New Roman"/>
          <w:sz w:val="20"/>
        </w:rPr>
        <w:t xml:space="preserve">Ownership of one share implies, </w:t>
      </w:r>
      <w:r>
        <w:rPr>
          <w:rFonts w:ascii="Times New Roman" w:hAnsi="Times New Roman"/>
          <w:i/>
          <w:sz w:val="20"/>
        </w:rPr>
        <w:t>ipso jure</w:t>
      </w:r>
      <w:r>
        <w:rPr>
          <w:rFonts w:ascii="Times New Roman" w:hAnsi="Times New Roman"/>
          <w:sz w:val="20"/>
        </w:rPr>
        <w:t xml:space="preserve">, adherence to our by-laws and the decision of the shareholders’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The voting rights attached to equity or dividend shares are proportional to the percentage of the share capital they represent. Each share entitles the holder to one vote. </w:t>
      </w:r>
    </w:p>
    <w:p>
      <w:pPr>
        <w:pStyle w:val="TextBody"/>
        <w:bidi w:val="0"/>
        <w:spacing w:before="240" w:after="0"/>
        <w:jc w:val="left"/>
        <w:rPr>
          <w:rFonts w:ascii="Times New Roman" w:hAnsi="Times New Roman"/>
          <w:sz w:val="20"/>
        </w:rPr>
      </w:pPr>
      <w:r>
        <w:rPr>
          <w:rFonts w:ascii="Times New Roman" w:hAnsi="Times New Roman"/>
          <w:sz w:val="20"/>
        </w:rPr>
        <w:t xml:space="preserve">However, a double voting right compared to that conferred to other shares with regard to the percentage of share capital they represent is allocated to all fully paid-up ordinary shares with proof of being held in registered form by the same owner for at least two (2) years. Under French law, treasury shares or ordinary shares held by entities controlled by us are not entitled to voting rights and do not count for quorum purposes. Purchasers of ADSs or ordinary shares in an offering under this prospectus, in the open market or in subsequent offerings will be unlikely to meet the requirements to have double voting rights attach to any ordinary shares held by them. </w:t>
      </w:r>
    </w:p>
    <w:p>
      <w:pPr>
        <w:pStyle w:val="TextBody"/>
        <w:bidi w:val="0"/>
        <w:spacing w:before="240" w:after="0"/>
        <w:jc w:val="left"/>
        <w:rPr>
          <w:rFonts w:ascii="Times New Roman" w:hAnsi="Times New Roman"/>
          <w:sz w:val="20"/>
        </w:rPr>
      </w:pPr>
      <w:r>
        <w:rPr>
          <w:rFonts w:ascii="Times New Roman" w:hAnsi="Times New Roman"/>
          <w:sz w:val="20"/>
        </w:rPr>
        <w:t xml:space="preserve">In order to participate in any general meeting, shareholders are required to have their shares registered under the conditions and time limits provided for the applicable laws before such general meeting in their name or in the name of an intermediary registered on their behalf, either in the registered shares shareholder account or in the bearer shares shareholder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Proxies and Votes by Mail or Videoconference </w:t>
      </w:r>
    </w:p>
    <w:p>
      <w:pPr>
        <w:pStyle w:val="TextBody"/>
        <w:bidi w:val="0"/>
        <w:spacing w:before="120" w:after="0"/>
        <w:jc w:val="left"/>
        <w:rPr>
          <w:rFonts w:ascii="Times New Roman" w:hAnsi="Times New Roman"/>
          <w:sz w:val="20"/>
        </w:rPr>
      </w:pPr>
      <w:r>
        <w:rPr>
          <w:rFonts w:ascii="Times New Roman" w:hAnsi="Times New Roman"/>
          <w:sz w:val="20"/>
        </w:rPr>
        <w:t xml:space="preserve">In general, all shareholders who have properly registered and fully paid their shares or duly presented a certificate from their accredited intermediary may participate in shareholders’ meetings. Shareholders may participate in shareholders’ meetings either in person, by proxy or by mail or by videoconference or by any means of telecommunications in accordance with applicable regulations, if the Board provides for such possibility when convening the meeting. </w:t>
      </w:r>
    </w:p>
    <w:p>
      <w:pPr>
        <w:pStyle w:val="TextBody"/>
        <w:bidi w:val="0"/>
        <w:spacing w:before="240" w:after="0"/>
        <w:jc w:val="left"/>
        <w:rPr>
          <w:rFonts w:ascii="Times New Roman" w:hAnsi="Times New Roman"/>
          <w:sz w:val="20"/>
        </w:rPr>
      </w:pPr>
      <w:r>
        <w:rPr>
          <w:rFonts w:ascii="Times New Roman" w:hAnsi="Times New Roman"/>
          <w:sz w:val="20"/>
        </w:rPr>
        <w:t xml:space="preserve">Proxies are sent to any shareholder upon request. In order to be counted, such proxies must be received at our registered office, or at any other address indicated on the notice convening the meeting, prior to the date of the meeting. A shareholder may grant proxies to his or her spouse, civil partner, to another shareholder or to any other person (individual or legal) of his/her/its choice. A shareholder that is a corporation may grant proxies to a legal representative. A shareholder who is a non-resident of France may be represented at a shareholders’ meeting by an intermediary registered under the conditions set forth by French law. Alternatively, the shareholder may send a blank proxy to us without nominating a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votes by mail, we will send shareholders a voting form. The completed form must be returned to us at least three days prior to the date of the shareholders’ meeting. The final date for returning votes by mail is disclosed in the notice of meeting published in accordance with French law requirements. Under our by-laws, shareholders’ meetings by means of telecommunications permitting their identification are possible if the Board so determines in the preliminary or final notice of the meeting. Shareholders voting by proxy, mail, authorized intermediary or, if provided for in the preliminary or final notice of the meeting by any means of telecommunications permitting them to be identified, will be considered to be present at the meeting for the computation of the quorum and the majority. </w:t>
      </w:r>
    </w:p>
    <w:p>
      <w:pPr>
        <w:pStyle w:val="TextBody"/>
        <w:bidi w:val="0"/>
        <w:spacing w:before="240" w:after="0"/>
        <w:jc w:val="left"/>
        <w:rPr>
          <w:rFonts w:ascii="Times New Roman" w:hAnsi="Times New Roman"/>
          <w:sz w:val="20"/>
        </w:rPr>
      </w:pPr>
      <w:r>
        <w:rPr>
          <w:rFonts w:ascii="Times New Roman" w:hAnsi="Times New Roman"/>
          <w:sz w:val="20"/>
        </w:rPr>
        <w:t xml:space="preserve">A shareholder who has voted by correspondence will no longer be able to participate directly in the meeting or to be represented. In the case of returning the proxy form and the voting by correspondence form, the proxy form is taken into account, subject to the votes cast in the voting by correspondence 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Quorum </w:t>
      </w:r>
    </w:p>
    <w:p>
      <w:pPr>
        <w:pStyle w:val="TextBody"/>
        <w:bidi w:val="0"/>
        <w:spacing w:before="120" w:after="0"/>
        <w:jc w:val="left"/>
        <w:rPr>
          <w:rFonts w:ascii="Times New Roman" w:hAnsi="Times New Roman"/>
          <w:sz w:val="20"/>
        </w:rPr>
      </w:pPr>
      <w:r>
        <w:rPr>
          <w:rFonts w:ascii="Times New Roman" w:hAnsi="Times New Roman"/>
          <w:sz w:val="20"/>
        </w:rPr>
        <w:t xml:space="preserve">For an ordinary shareholders’ meeting to be quorate, one-fifth of the holders of shares entitled to voting rights must be present in person or vote by mail or by proxy or by authorized intermediary or by any means of telecommunication permitting their identification. An extraordinary shareholders’ meeting is quorate if one-fourth of the holders of shares entitled to voting rights are present or vote by mail or by proxy or by authorized intermediary or by any means of telecommunication. As an exception, an extraordinary shareholders’ meeting deciding upon a share capital increase by capitalization of reserves, profits or share premium has the same quorum requirement as an ordinary shareholders’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If the requirements for a quorum are not satisfied, the meeting is adjourned. When an adjourned ordinary shareholders’ meeting is resumed, there is no quorum requirement. Extraordinary shareholders’ meetings require a quorum of one-fifth of the holders of shares entitled to voting rights. If a quorum is not present, the reconvened meeting may be adjourned for a maximum of two months. No deliberation by the shareholders may take place without a quorum. For special meetings of holders of a certain class of shares, the quorum requirement is one-third of the certain class of shares entitled to voting rights for the meeting convened on the first call. Should the special meeting be reconvened, the quorum requirement is one-fifth of the certain class of shares entitled to voting rights for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Majority </w:t>
      </w:r>
    </w:p>
    <w:p>
      <w:pPr>
        <w:pStyle w:val="TextBody"/>
        <w:bidi w:val="0"/>
        <w:spacing w:before="120" w:after="0"/>
        <w:jc w:val="left"/>
        <w:rPr>
          <w:rFonts w:ascii="Times New Roman" w:hAnsi="Times New Roman"/>
          <w:sz w:val="20"/>
        </w:rPr>
      </w:pPr>
      <w:r>
        <w:rPr>
          <w:rFonts w:ascii="Times New Roman" w:hAnsi="Times New Roman"/>
          <w:sz w:val="20"/>
        </w:rPr>
        <w:t xml:space="preserve">A simple majority of shareholders may pass a resolution at either an ordinary shareholders’ meeting or an extraordinary shareholders’ meeting deciding upon a share capital increase by capitalization of reserves, profits or share premium. At any other extraordinary shareholders’ meeting, a two-thirds majority of the shareholder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votes cast is required. A unanimous shareholder vote is required to increase shareholders’ liabilities. Abstention from voting by those present either in person or by means of telecommunications if provided for by the by-laws, or those represented by proxy or voting by mail is counted as a vote against the resolution submitted to a shareholder vote. In general, each shareholder is entitled to one vote per share at any shareholders’ meeting. Under the French Commercial Code, shares of a company held by it or by entities controlled directly or indirectly by that company are not entitled to voting rights and do not count for quorum or majority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Statements and Other Communications with Shareholders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annual ordinary shareholders’ meeting, we must provide or make available to any shareholder a set of documents including, among other things, our annual report, the annual and consolidated accounts, the statutory auditors’ reports and a draft of the meeting’s resolutions. </w:t>
      </w:r>
    </w:p>
    <w:p>
      <w:pPr>
        <w:pStyle w:val="TextBody"/>
        <w:bidi w:val="0"/>
        <w:spacing w:before="240" w:after="0"/>
        <w:jc w:val="left"/>
        <w:rPr>
          <w:rFonts w:ascii="Times New Roman" w:hAnsi="Times New Roman"/>
          <w:sz w:val="20"/>
        </w:rPr>
      </w:pPr>
      <w:r>
        <w:rPr>
          <w:rFonts w:ascii="Times New Roman" w:hAnsi="Times New Roman"/>
          <w:sz w:val="20"/>
        </w:rPr>
        <w:t xml:space="preserve">The chairperson of the Board is required to deliver a special report to the annual ordinary shareholders’ meeting regarding the composition of the Board, the representation of men and women in its composition, the status of the preparation and organization of the work of the Board, the status of the internal control procedures that we have implemented, including those in connection with the treatment of the accounting and financial statements and principles and rules that it establishes to determine management compensation and benefits. French law requires that a special report be provided annually to the ordinary shareholders’ meeting regarding stock options authorized and/or granted by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Rights, Preferences and Restrictions Attaching to Ordinary Shares (Articles 7, 11, 30, 31 and 32 of the By-Laws)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We only distribute dividends out of our “distributable profits,” plus any amounts filed in its reserves that the shareholders decide to make available for distribution, other than those reserves that are specifically required by French law or our by-laws. “Distributable profits” consist of our net profit in each fiscal year, as increased or reduced by any profit or loss carried forward from prior years, less any contributions to the reserve accounts pursuant to French law or our by-laws.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Reserve </w:t>
      </w:r>
    </w:p>
    <w:p>
      <w:pPr>
        <w:pStyle w:val="TextBody"/>
        <w:bidi w:val="0"/>
        <w:spacing w:before="120" w:after="0"/>
        <w:jc w:val="left"/>
        <w:rPr>
          <w:rFonts w:ascii="Times New Roman" w:hAnsi="Times New Roman"/>
          <w:sz w:val="20"/>
        </w:rPr>
      </w:pPr>
      <w:r>
        <w:rPr>
          <w:rFonts w:ascii="Times New Roman" w:hAnsi="Times New Roman"/>
          <w:sz w:val="20"/>
        </w:rPr>
        <w:t xml:space="preserve">Under French law, we are required to allocate 5% of our net income for each fiscal year, after reduction for losses carried forward from previous years, if any, to a legal reserve fund until the amount in the legal reserve is equal to 10% of the aggregate nominal value of the share capital. The legal reserve subject to this requirement may only be used to offset losses when other reserves cannot be used and, in particular, may not be distributed to shareholders until our liquidation. As of December 31, 2025, our legal reserve was 0.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Approval of Dividends </w:t>
      </w:r>
    </w:p>
    <w:p>
      <w:pPr>
        <w:pStyle w:val="TextBody"/>
        <w:bidi w:val="0"/>
        <w:spacing w:before="120" w:after="0"/>
        <w:jc w:val="left"/>
        <w:rPr>
          <w:rFonts w:ascii="Times New Roman" w:hAnsi="Times New Roman"/>
          <w:sz w:val="20"/>
        </w:rPr>
      </w:pPr>
      <w:r>
        <w:rPr>
          <w:rFonts w:ascii="Times New Roman" w:hAnsi="Times New Roman"/>
          <w:sz w:val="20"/>
        </w:rPr>
        <w:t xml:space="preserve">Shareholders may decide in an ordinary shareholders’ meeting, upon proposal of the Board, to allocate all or part of the distributable profits to special or general reserves, to carry them forward to the following fiscal year as retained earnings, or to allocate them to the shareholders as dividends. Dividends may be paid in cash or as shares upon the option of the shareholders if such option is granted at the annual ordinary shareholders’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If we have earned distributable profits since the end of the preceding fiscal year, as reflected in an interim income statement certified by its auditors, the Board may distribute interim dividends to the extent of the distributable profits for the period covered by the interim income statement before approval of the annual financial statements. Subject to French law, the Board may declare interim dividends paid in cash without obtaining shareholder approval. For interim dividends paid in shares, prior authorization by an ordinary shareholders’ meeting is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Distribution of Dividends and Timing of Payment </w:t>
      </w:r>
    </w:p>
    <w:p>
      <w:pPr>
        <w:pStyle w:val="TextBody"/>
        <w:bidi w:val="0"/>
        <w:spacing w:before="120" w:after="0"/>
        <w:jc w:val="left"/>
        <w:rPr>
          <w:rFonts w:ascii="Times New Roman" w:hAnsi="Times New Roman"/>
          <w:sz w:val="20"/>
        </w:rPr>
      </w:pPr>
      <w:r>
        <w:rPr>
          <w:rFonts w:ascii="Times New Roman" w:hAnsi="Times New Roman"/>
          <w:sz w:val="20"/>
        </w:rPr>
        <w:t xml:space="preserve">In principle, dividends are distributed to shareholders pro rata according to their respective shareholdings.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Timing of Payment </w:t>
      </w:r>
    </w:p>
    <w:p>
      <w:pPr>
        <w:pStyle w:val="TextBody"/>
        <w:bidi w:val="0"/>
        <w:spacing w:before="120" w:after="0"/>
        <w:jc w:val="left"/>
        <w:rPr>
          <w:rFonts w:ascii="Times New Roman" w:hAnsi="Times New Roman"/>
          <w:sz w:val="20"/>
        </w:rPr>
      </w:pPr>
      <w:r>
        <w:rPr>
          <w:rFonts w:ascii="Times New Roman" w:hAnsi="Times New Roman"/>
          <w:sz w:val="20"/>
        </w:rPr>
        <w:t xml:space="preserve">Under French law, we must pay any dividends within nine months of the end of our fiscal year, unless otherwise authorized by an order of the President of the French Commercial Court. Dividends on shares that are not claimed within five years of the date of declared payment revert to the French State.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interim dividends, distributions are made to shareholders on the date set by our Board during the meeting in which the distribution of interim dividends is approved. The actual dividend payment date is decided by the shareholders at an annual shareholders’ meeting or by our Board in the absence of such a decision by the shareholders. Shareholders that own shares on the actual payment date are entitled to the dividend. </w:t>
      </w:r>
    </w:p>
    <w:p>
      <w:pPr>
        <w:pStyle w:val="TextBody"/>
        <w:bidi w:val="0"/>
        <w:spacing w:before="240" w:after="0"/>
        <w:jc w:val="left"/>
        <w:rPr>
          <w:rFonts w:ascii="Times New Roman" w:hAnsi="Times New Roman"/>
          <w:sz w:val="20"/>
        </w:rPr>
      </w:pPr>
      <w:r>
        <w:rPr>
          <w:rFonts w:ascii="Times New Roman" w:hAnsi="Times New Roman"/>
          <w:sz w:val="20"/>
        </w:rPr>
        <w:t xml:space="preserve">Shareholders may be granted an option to receive dividends in cash or in shares, in accordance with legal conditions. The conditions for payment of dividends in cash shall be set at the shareholders’ meeting or, failing this, by the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Increases in Share Capital </w:t>
      </w:r>
    </w:p>
    <w:p>
      <w:pPr>
        <w:pStyle w:val="TextBody"/>
        <w:bidi w:val="0"/>
        <w:spacing w:before="120" w:after="0"/>
        <w:jc w:val="left"/>
        <w:rPr>
          <w:rFonts w:ascii="Times New Roman" w:hAnsi="Times New Roman"/>
          <w:sz w:val="20"/>
        </w:rPr>
      </w:pPr>
      <w:r>
        <w:rPr>
          <w:rFonts w:ascii="Times New Roman" w:hAnsi="Times New Roman"/>
          <w:sz w:val="20"/>
        </w:rPr>
        <w:t xml:space="preserve">Our share capital may only be increased by obtaining the approval of the shareholders at an extraordinary shareholders’ meeting upon the recommendation of the Board. The decision to increase share capital through increases in the nominal value of existing shares requires unanimous approval at an extraordinary shareholders’ meeting. The decision to increase share capital through the capitalization of reserves, profits and/or share premiums must be submitted to an extraordinary shareholders’ meeting applying the quorum and majority requirements applicable to ordinary shareholders’ meetings. In the case of an increase in share capital in connection with the payment of a share dividend the voting and quorum procedures of an ordinary shareholders’ meetings apply. All other share capital increases require the approval of an extraordinary shareholders’ meeting. See “—Shareholders’ Meetings and Voting Rights (Articles 6, 12 and 22 of the By-Laws)” above. </w:t>
      </w:r>
    </w:p>
    <w:p>
      <w:pPr>
        <w:pStyle w:val="TextBody"/>
        <w:bidi w:val="0"/>
        <w:spacing w:before="240" w:after="0"/>
        <w:jc w:val="left"/>
        <w:rPr>
          <w:rFonts w:ascii="Times New Roman" w:hAnsi="Times New Roman"/>
          <w:sz w:val="20"/>
        </w:rPr>
      </w:pPr>
      <w:r>
        <w:rPr>
          <w:rFonts w:ascii="Times New Roman" w:hAnsi="Times New Roman"/>
          <w:sz w:val="20"/>
        </w:rPr>
        <w:t xml:space="preserve">Increases in our share capital may be effected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issuing additional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par value of existing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a new class of equity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exercising the rights attached to securities giving access to the share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Increases in share capital by issuing additional securities may be effected through one or a combination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consideration for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consideration for assets contributed in kind;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conversion of previously issued debt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capitalization of profits, reserves or share premium;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conditions, by way of offset against debt incurred by us. </w:t>
            </w:r>
          </w:p>
        </w:tc>
      </w:tr>
    </w:tbl>
    <w:p>
      <w:pPr>
        <w:pStyle w:val="TextBody"/>
        <w:bidi w:val="0"/>
        <w:spacing w:before="240" w:after="0"/>
        <w:jc w:val="left"/>
        <w:rPr>
          <w:rFonts w:ascii="Times New Roman" w:hAnsi="Times New Roman"/>
          <w:sz w:val="20"/>
        </w:rPr>
      </w:pPr>
      <w:r>
        <w:rPr>
          <w:rFonts w:ascii="Times New Roman" w:hAnsi="Times New Roman"/>
          <w:sz w:val="20"/>
        </w:rPr>
        <w:t>Subject to certain conditions, shareholders may delegate the authority (</w:t>
      </w:r>
      <w:r>
        <w:rPr>
          <w:rFonts w:ascii="Times New Roman" w:hAnsi="Times New Roman"/>
          <w:i/>
          <w:sz w:val="20"/>
        </w:rPr>
        <w:t>délégation de compétence</w:t>
      </w:r>
      <w:r>
        <w:rPr>
          <w:rFonts w:ascii="Times New Roman" w:hAnsi="Times New Roman"/>
          <w:sz w:val="20"/>
        </w:rPr>
        <w:t>) or the powers (</w:t>
      </w:r>
      <w:r>
        <w:rPr>
          <w:rFonts w:ascii="Times New Roman" w:hAnsi="Times New Roman"/>
          <w:i/>
          <w:sz w:val="20"/>
        </w:rPr>
        <w:t>délégation de pouvoirs</w:t>
      </w:r>
      <w:r>
        <w:rPr>
          <w:rFonts w:ascii="Times New Roman" w:hAnsi="Times New Roman"/>
          <w:sz w:val="20"/>
        </w:rPr>
        <w:t xml:space="preserve">) to carry out certain increases in our share capital to the Board following approval at an extraordinary shareholders’ meeting. The Board may further sub-delegate this right to the Chief Executive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Reduction in Share Capital </w:t>
      </w:r>
    </w:p>
    <w:p>
      <w:pPr>
        <w:pStyle w:val="TextBody"/>
        <w:bidi w:val="0"/>
        <w:spacing w:before="120" w:after="0"/>
        <w:jc w:val="left"/>
        <w:rPr>
          <w:rFonts w:ascii="Times New Roman" w:hAnsi="Times New Roman"/>
          <w:sz w:val="20"/>
        </w:rPr>
      </w:pPr>
      <w:r>
        <w:rPr>
          <w:rFonts w:ascii="Times New Roman" w:hAnsi="Times New Roman"/>
          <w:sz w:val="20"/>
        </w:rPr>
        <w:t xml:space="preserve">Under French law, any reduction in our share capital requires approval of the shareholders at an extraordinary shareholders’ meeting. The share capital may be reduced either by decreasing the nominal value of the outstanding shares or by reducing the number of outstanding shares. The number of outstanding shares may be reduced by the repurchase and cancellation of the shares. </w:t>
      </w:r>
    </w:p>
    <w:p>
      <w:pPr>
        <w:pStyle w:val="TextBody"/>
        <w:bidi w:val="0"/>
        <w:spacing w:before="240" w:after="0"/>
        <w:jc w:val="left"/>
        <w:rPr>
          <w:rFonts w:ascii="Times New Roman" w:hAnsi="Times New Roman"/>
          <w:sz w:val="20"/>
        </w:rPr>
      </w:pPr>
      <w:r>
        <w:rPr>
          <w:rFonts w:ascii="Times New Roman" w:hAnsi="Times New Roman"/>
          <w:sz w:val="20"/>
        </w:rPr>
        <w:t xml:space="preserve">Holders of each class of shares must be treated equally unless each affected shareholder agrees otherwise. As a general matter, reductions of capital occur pro rata among all shareholders, except (i) in the case of a share buyback program, or a public tender offer to repurchase shares, where such a reduction occurs pro rata only among tendering shareholders and (ii) in the case where all shareholders unanimously consent to a non-pro-rata reduction. In any case, we must not own more than 10% of our outstanding share capital. The extraordinary shareholders’ meeting may authorize the buy-back program for a period not exceeding 18 months. In addition, we may not cancel more than 10% of our outstanding share capital over any 24-month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Preferential Subscription Rights </w:t>
      </w:r>
    </w:p>
    <w:p>
      <w:pPr>
        <w:pStyle w:val="TextBody"/>
        <w:bidi w:val="0"/>
        <w:spacing w:before="120" w:after="0"/>
        <w:jc w:val="left"/>
        <w:rPr>
          <w:rFonts w:ascii="Times New Roman" w:hAnsi="Times New Roman"/>
          <w:sz w:val="20"/>
        </w:rPr>
      </w:pPr>
      <w:r>
        <w:rPr>
          <w:rFonts w:ascii="Times New Roman" w:hAnsi="Times New Roman"/>
          <w:sz w:val="20"/>
        </w:rPr>
        <w:t xml:space="preserve">According to French law, existing shareholders have preferential subscription rights to these securities on a pro rata basis if we issue certain kinds of additional securities. These preferential subscription rights require us to give priority treatment to existing shareholders. The rights entitle the individual or entity that holds them to subscribe to an issue of any securities that may increase our share capital by means of a cash payment or a settling of cash debts. Subscription rights are transferable during a period starting two days prior the opening of the subscription period (or, if such day is not a business day, the preceding trading day) and ending two days prior the closing of the subscription period (or, if such day is not a business day, the preceding trading day). </w:t>
      </w:r>
    </w:p>
    <w:p>
      <w:pPr>
        <w:pStyle w:val="TextBody"/>
        <w:bidi w:val="0"/>
        <w:spacing w:before="240" w:after="0"/>
        <w:jc w:val="left"/>
        <w:rPr>
          <w:rFonts w:ascii="Times New Roman" w:hAnsi="Times New Roman"/>
          <w:sz w:val="20"/>
        </w:rPr>
      </w:pPr>
      <w:r>
        <w:rPr>
          <w:rFonts w:ascii="Times New Roman" w:hAnsi="Times New Roman"/>
          <w:sz w:val="20"/>
        </w:rPr>
        <w:t xml:space="preserve">A two-thirds majority of the shares entitled to vote at an extraordinary shareholders’ meeting may vote to waive preferential subscription rights with respect to any particular offering or a portion of that offering. French law requires that the Board and our statutory auditors present reports that specifically address any proposal to waive preferential subscription rights. In the event of a waiver, the issue of securities must be completed within the period prescribed by French law. The shareholders may also decide at an extraordinary shareholders’ meeting to give existing shareholders a non-transferable priority right to subscribe to such new securities during a limited period of time. Shareholders also may notify us that they wish to waive their own preferential subscription rights with respect to any particular offering if they so choose.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share capital increase without preferential subscription rights to existing shareholders through a public offering, the extraordinary shareholders’ meeting may authorize the Board to freely set the issuing price or to set the issuing price in accordance with the terms established by the extraordinary shareholders’ meeting. </w:t>
      </w:r>
    </w:p>
    <w:p>
      <w:pPr>
        <w:pStyle w:val="TextBody"/>
        <w:bidi w:val="0"/>
        <w:spacing w:before="360" w:after="0"/>
        <w:jc w:val="left"/>
        <w:rPr>
          <w:rFonts w:ascii="Times New Roman" w:hAnsi="Times New Roman"/>
          <w:b/>
          <w:sz w:val="20"/>
        </w:rPr>
      </w:pPr>
      <w:r>
        <w:rPr>
          <w:rFonts w:ascii="Times New Roman" w:hAnsi="Times New Roman"/>
          <w:b/>
          <w:sz w:val="20"/>
        </w:rPr>
        <w:t xml:space="preserve">Form, Holding and Transfer of Shares (Articles 10 and 11 of the By-Laws)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Form of Shares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the shares once fully paid may be held in registered or bearer form at the option of the shareholder, subject to applicable laws. Shares not fully paid must be nominal.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Holding of Shares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French law, shareholders’ ownership rights are represented by book entries instead of share certificates. Shares issued are registered in individual accounts opened by us or any authorized intermediary, in the name of each shareholder and kept according to the terms and conditions laid down by the legal and regulatory provisions. </w:t>
      </w:r>
    </w:p>
    <w:p>
      <w:pPr>
        <w:pStyle w:val="TextBody"/>
        <w:bidi w:val="0"/>
        <w:spacing w:before="240" w:after="0"/>
        <w:jc w:val="left"/>
        <w:rPr>
          <w:rFonts w:ascii="Times New Roman" w:hAnsi="Times New Roman"/>
          <w:sz w:val="20"/>
        </w:rPr>
      </w:pPr>
      <w:r>
        <w:rPr>
          <w:rFonts w:ascii="Times New Roman" w:hAnsi="Times New Roman"/>
          <w:sz w:val="20"/>
        </w:rPr>
        <w:t xml:space="preserve">Any owner of our shares may elect to have its shares held in registered form and registered in its name in an account currently maintained by Uptevia, 90–110 Esplanade du Général de Gaulle – 92931 Paris La Défense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Cedex, France for and on our behalf or held in bearer form and recorded in its name in an account maintained by an accredited financial intermediary, such as a French broker, bank or other authorized financial institution. Any shareholder may, at its expense, change from one form of holding to the other. Both methods are operated through Euroclear. In addition, according to French law, shares held by any non-French resident may be held on the shareholder’s behalf in a collective account or in several individual accounts by an intermediary. </w:t>
      </w:r>
    </w:p>
    <w:p>
      <w:pPr>
        <w:pStyle w:val="TextBody"/>
        <w:bidi w:val="0"/>
        <w:spacing w:before="240" w:after="0"/>
        <w:jc w:val="left"/>
        <w:rPr>
          <w:rFonts w:ascii="Times New Roman" w:hAnsi="Times New Roman"/>
          <w:sz w:val="20"/>
        </w:rPr>
      </w:pPr>
      <w:r>
        <w:rPr>
          <w:rFonts w:ascii="Times New Roman" w:hAnsi="Times New Roman"/>
          <w:sz w:val="20"/>
        </w:rPr>
        <w:t xml:space="preserve">When our shares are held in bearer form by a beneficial owner who is not a resident of France, Euroclear may agree to issue, upon our request, a bearer depository receipt with respect to such shares for use only outside France. In this case, the name of the holder is deleted from the accredited financial intermediary’s books. Title to the shares represented by a bearer depository receipt will pass upon delivery of the relevant receipt outside France.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applicable laws, we may request the information referred to in Article L.228-2 of the French Commercial Code at any time from the central depository responsible for holding our shares. Thus, we are at any time entitled to request the name and year of birth or, in the case of a legal entity, the name and the year of incorporation, nationality and address of the holders of our shares or other securities granting immediate or future voting rights, held in bearer form, and the number of shares or other securities so held and, if applicable, the restrictions relating to such securities. Furthermore, under French law, any intermediary who acts on behalf of one or more persons who are not domiciled in France must declare that it is acting as an intermediary. We may also request the identity of the shareholders on whose behalf it is acting. Consequently, the owner of shares recorded in a collective account or in several individual accounts by an intermediary will be represented in the shareholders’ meetings by this intermediary.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of Shares </w:t>
      </w:r>
    </w:p>
    <w:p>
      <w:pPr>
        <w:pStyle w:val="TextBody"/>
        <w:bidi w:val="0"/>
        <w:spacing w:before="120" w:after="0"/>
        <w:jc w:val="left"/>
        <w:rPr>
          <w:rFonts w:ascii="Times New Roman" w:hAnsi="Times New Roman"/>
          <w:sz w:val="20"/>
        </w:rPr>
      </w:pPr>
      <w:r>
        <w:rPr>
          <w:rFonts w:ascii="Times New Roman" w:hAnsi="Times New Roman"/>
          <w:sz w:val="20"/>
        </w:rPr>
        <w:t xml:space="preserve">Our by-laws do not contain any restrictions relating to the transfer of shares. Shares are freely negotiable, subject to applicable legal and regulatory provisions. French and European law provide for standstill obligations and prohibition of insider trading.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If we are liquidated, any assets remaining after payment of our debts, liquidation expenses and all of our remaining obligations will be distributed first to repay in full the nominal value of our shares (up to the amount of the paid-up and non-liquidated share capital). Any surplus will be distributed pro rata among shareholders in proportion to the nominal value of their shareholdings, taking into account, where applicable, the rights attached to shares of different classes. Shareholders shall only bear losses up to the amount of their contributions. </w:t>
      </w:r>
    </w:p>
    <w:p>
      <w:pPr>
        <w:pStyle w:val="TextBody"/>
        <w:bidi w:val="0"/>
        <w:spacing w:before="360" w:after="0"/>
        <w:jc w:val="left"/>
        <w:rPr>
          <w:rFonts w:ascii="Times New Roman" w:hAnsi="Times New Roman"/>
          <w:b/>
          <w:sz w:val="20"/>
        </w:rPr>
      </w:pPr>
      <w:r>
        <w:rPr>
          <w:rFonts w:ascii="Times New Roman" w:hAnsi="Times New Roman"/>
          <w:b/>
          <w:sz w:val="20"/>
        </w:rPr>
        <w:t xml:space="preserve">Disclosure Requirements for Holdings Exceeding Certain Thresholds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Declaration of Crossing of Ownership Thresholds (Article 11.2 of the By-laws) </w:t>
      </w:r>
    </w:p>
    <w:p>
      <w:pPr>
        <w:pStyle w:val="TextBody"/>
        <w:bidi w:val="0"/>
        <w:spacing w:before="120" w:after="0"/>
        <w:jc w:val="left"/>
        <w:rPr>
          <w:rFonts w:ascii="Times New Roman" w:hAnsi="Times New Roman"/>
          <w:sz w:val="20"/>
        </w:rPr>
      </w:pPr>
      <w:r>
        <w:rPr>
          <w:rFonts w:ascii="Times New Roman" w:hAnsi="Times New Roman"/>
          <w:sz w:val="20"/>
        </w:rPr>
        <w:t>We are subject to certain disclosure requirements under French law. Any individual or entity, acting alone or in concert with others, that acquires, either directly or indirectly, shares representing more than 5%, 10%, 15%, 20%, 25%, 30%, 33 1/3%, 50%, 66 2/3%, 90% or 95% of our outstanding share capital or voting rights or that increases or decreases its shareholding or voting rights above or below any of those percentage thresholds, must notify us and the French Market Authority (</w:t>
      </w:r>
      <w:r>
        <w:rPr>
          <w:rFonts w:ascii="Times New Roman" w:hAnsi="Times New Roman"/>
          <w:i/>
          <w:sz w:val="20"/>
        </w:rPr>
        <w:t>Autorité des Marchés Financiers</w:t>
      </w:r>
      <w:r>
        <w:rPr>
          <w:rFonts w:ascii="Times New Roman" w:hAnsi="Times New Roman"/>
          <w:sz w:val="20"/>
        </w:rPr>
        <w:t xml:space="preserve">) (“AMF”) within four trading days of the date on which such threshold was crossed. French law and AMF regulations impose additional reporting requirements on persons who acquire more than 10%, 15%, 20% or 25% of the outstanding shares or voting rights of a listed company. </w:t>
      </w:r>
    </w:p>
    <w:p>
      <w:pPr>
        <w:pStyle w:val="TextBody"/>
        <w:bidi w:val="0"/>
        <w:spacing w:before="240" w:after="0"/>
        <w:jc w:val="left"/>
        <w:rPr>
          <w:rFonts w:ascii="Times New Roman" w:hAnsi="Times New Roman"/>
          <w:sz w:val="20"/>
        </w:rPr>
      </w:pPr>
      <w:r>
        <w:rPr>
          <w:rFonts w:ascii="Times New Roman" w:hAnsi="Times New Roman"/>
          <w:sz w:val="20"/>
        </w:rPr>
        <w:t xml:space="preserve">If a shareholder fails to comply with the notification requirements under French law, the shares or voting rights in excess of the relevant threshold will be deprived of voting rights until the end of a two-year period following the date on which the owner of such shares has complied with the notification requirements. They may also be suspended for up to five years and may be subject to criminal fines.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by-laws provide that any shareholder, acting alone or in concert, who comes into possession, in any manner whatsoever, either directly or indirectly, of a number of shares representing 2% of our share capital and/or voting rights must, by registered letter with acknowledgment of receipt sent to the registered office, or any other equivalent means for the shareholders or security holders residing outside of France, within five trading days of crossing such threshold, notify us of the total number of shares and voting rights he or she owns and the number of securities he or she owns that give access to the capital and voting rights attached thereto. This disclosure requirement shall apply, under the conditions above, each time a new threshold of 2% of capital and/or voting rights is met or exceeded, for whatever reason, including beyond the legal threshold of 5%. If the shares have not been reported under the above conditions, the shares exceeding the fraction that should have been reported are denied the right to vote in shareholders’ meetings, if at a shareholders’ meeting, the failure to report was recorded and if one or more shareholders holding together not less than 5% of capital or voting rights so request at that meeting. The denial of voting rights applies to any shareholders’ meeting to be held until the expiration of a period of two years from the date of regularization of the reporting.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publish the total number of voting rights and shares composing the share capital (if such numbers vary from the numbers previously published) on a monthly basis. The AMF makes this information public. We are subject to AMF regulations regarding public tender offers. </w:t>
      </w:r>
    </w:p>
    <w:p>
      <w:pPr>
        <w:pStyle w:val="TextBody"/>
        <w:bidi w:val="0"/>
        <w:spacing w:before="240" w:after="0"/>
        <w:jc w:val="left"/>
        <w:rPr>
          <w:rFonts w:ascii="Times New Roman" w:hAnsi="Times New Roman"/>
          <w:sz w:val="20"/>
        </w:rPr>
      </w:pPr>
      <w:r>
        <w:rPr>
          <w:rFonts w:ascii="Times New Roman" w:hAnsi="Times New Roman"/>
          <w:sz w:val="20"/>
        </w:rPr>
        <w:t xml:space="preserve">Further, and subject to certain exemptions, any shareholder crossing, alone or acting in concert, the 30% threshold shall file a mandatory public tender offer with the AMF. Also, any shareholder holding directly or indirectly a number between 30% and 50% of the capital or voting rights and who, in less than 12 consecutive months, increases his/her/its holding of capital or voting rights by at least 1% of the company’s capital or voting rights, shall file a mandatory public tender offer. </w:t>
      </w:r>
    </w:p>
    <w:p>
      <w:pPr>
        <w:pStyle w:val="TextBody"/>
        <w:bidi w:val="0"/>
        <w:spacing w:before="360" w:after="0"/>
        <w:jc w:val="left"/>
        <w:rPr>
          <w:rFonts w:ascii="Times New Roman" w:hAnsi="Times New Roman"/>
          <w:b/>
          <w:sz w:val="20"/>
        </w:rPr>
      </w:pPr>
      <w:r>
        <w:rPr>
          <w:rFonts w:ascii="Times New Roman" w:hAnsi="Times New Roman"/>
          <w:b/>
          <w:sz w:val="20"/>
        </w:rPr>
        <w:t xml:space="preserve">Treasury Shares and Purchases of our Own Shares </w:t>
      </w:r>
    </w:p>
    <w:p>
      <w:pPr>
        <w:pStyle w:val="TextBody"/>
        <w:bidi w:val="0"/>
        <w:spacing w:before="120" w:after="0"/>
        <w:jc w:val="left"/>
        <w:rPr>
          <w:rFonts w:ascii="Times New Roman" w:hAnsi="Times New Roman"/>
          <w:sz w:val="20"/>
        </w:rPr>
      </w:pPr>
      <w:r>
        <w:rPr>
          <w:rFonts w:ascii="Times New Roman" w:hAnsi="Times New Roman"/>
          <w:sz w:val="20"/>
        </w:rPr>
        <w:t xml:space="preserve">We are not permitted to hold more than 10% of our share capital in treasury shares or to have more than 10% of our share capital to be held for us by our subsidiaries. Treasury shares are not entitled to dividends, voting rights or preferential subscription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Repurchase and Redemption of Shares </w:t>
      </w:r>
    </w:p>
    <w:p>
      <w:pPr>
        <w:pStyle w:val="TextBody"/>
        <w:bidi w:val="0"/>
        <w:spacing w:before="120" w:after="0"/>
        <w:jc w:val="left"/>
        <w:rPr>
          <w:rFonts w:ascii="Times New Roman" w:hAnsi="Times New Roman"/>
          <w:sz w:val="20"/>
        </w:rPr>
      </w:pPr>
      <w:r>
        <w:rPr>
          <w:rFonts w:ascii="Times New Roman" w:hAnsi="Times New Roman"/>
          <w:sz w:val="20"/>
        </w:rPr>
        <w:t xml:space="preserve">Under French law, we may acquire our own shares. Such acquisition may be challenged on the ground of market abuse regulations. However, EU Market Abuse Regulation 596/2014 of April 16, 2014 (“MAR”) provides for safe harbor exemptions when the acquisition is made for the following purposes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decrease our share capital, provided that such a decision is not driven by losses and that a purchase offer is made to all shareholders on a pro rata basis, with the approval of the shareholders at an extraordinary meeting. In this case, the shares repurchased must be cancelled within one month from the expiry of the purchase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meet obligations arising from debt securities that are exchangeable into equity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shares for distribution to employees or managers under a profit-sharing, free share or share option plan. In this case the shares repurchased must be distributed within 12 months from their repurchase failing which they must be cancelled;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a buy-back program to be authorized by the shareholders in accordance with the provisions of Article L. 22-10-62 of the French Commercial Code and in accordance with the general regulations of, and market practices accepted by the AMF.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other purposes, and especially share buy-backs made for external growth operations in pursuance of Article L. 22-10-62 of the French Commercial Code, while not forbidden, must be pursued in strict compliance of market manipulation and insider dealing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Under MAR and in accordance with the general regulations (</w:t>
      </w:r>
      <w:r>
        <w:rPr>
          <w:rFonts w:ascii="Times New Roman" w:hAnsi="Times New Roman"/>
          <w:i/>
          <w:sz w:val="20"/>
        </w:rPr>
        <w:t>réglement général</w:t>
      </w:r>
      <w:r>
        <w:rPr>
          <w:rFonts w:ascii="Times New Roman" w:hAnsi="Times New Roman"/>
          <w:sz w:val="20"/>
        </w:rPr>
        <w:t xml:space="preserve">) of the AMF (the “General Regulations”), a corporation shall report to the competent authority of the trading value on which the shares have been admitted to trading or are traded, no later than by the end of the seventh daily market session following the date of the execution of the transaction, all the transactions relating to the buy-back program, in a detailed form and in an aggregated form. </w:t>
      </w:r>
    </w:p>
    <w:p>
      <w:pPr>
        <w:pStyle w:val="TextBody"/>
        <w:bidi w:val="0"/>
        <w:spacing w:before="240" w:after="0"/>
        <w:jc w:val="left"/>
        <w:rPr>
          <w:rFonts w:ascii="Times New Roman" w:hAnsi="Times New Roman"/>
          <w:sz w:val="20"/>
        </w:rPr>
      </w:pPr>
      <w:r>
        <w:rPr>
          <w:rFonts w:ascii="Times New Roman" w:hAnsi="Times New Roman"/>
          <w:sz w:val="20"/>
        </w:rPr>
        <w:t xml:space="preserve">No such repurchase of shares may result in us holding, directly or through a person acting on our behalf, more than 10% of our issued share capital. Shares repurchased by us continue to be deemed “issued” under French law but are not entitled to dividends or voting rights so long as we hold them directly or indirectly, and we may not exercise the preferential subscription rights attached to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of Shares by Non-French Persons </w:t>
      </w:r>
    </w:p>
    <w:p>
      <w:pPr>
        <w:pStyle w:val="TextBody"/>
        <w:bidi w:val="0"/>
        <w:spacing w:before="120" w:after="0"/>
        <w:jc w:val="left"/>
        <w:rPr>
          <w:rFonts w:ascii="Times New Roman" w:hAnsi="Times New Roman"/>
          <w:sz w:val="20"/>
        </w:rPr>
      </w:pPr>
      <w:r>
        <w:rPr>
          <w:rFonts w:ascii="Times New Roman" w:hAnsi="Times New Roman"/>
          <w:sz w:val="20"/>
        </w:rPr>
        <w:t>EU and non-EU residents are required to file an administrative notice (</w:t>
      </w:r>
      <w:r>
        <w:rPr>
          <w:rFonts w:ascii="Times New Roman" w:hAnsi="Times New Roman"/>
          <w:i/>
          <w:sz w:val="20"/>
        </w:rPr>
        <w:t>déclaration administrative</w:t>
      </w:r>
      <w:r>
        <w:rPr>
          <w:rFonts w:ascii="Times New Roman" w:hAnsi="Times New Roman"/>
          <w:sz w:val="20"/>
        </w:rPr>
        <w:t xml:space="preserve">) with the French authorities in connection with certain direct or indirect investments in us, including through ownership of ADSs, on the date a binding purchase agreement is executed or a tender offer is made public. Under existing administrative rulings the following transactions qualify as foreign investments in us that require the filing of an administrative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carried out on our capital by a non-French resident provided that after the transaction the cumulative amount of the capital or the voting rights held by non-French residents exceeds 1/3 of our capital or 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mentioned above by a corporation incorporated under French law whose capital or voting rights are held for more than 33.33% by non-French residents;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carried out abroad resulting in a change of the controlling shareholder of a corporation incorporated under a foreign law that holds a shareholding or voting rights in us if our capital or voting rights are held for more than 33.33% by non-French residents;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loans and guarantees granted by the acquirer to us in amounts evidencing control over our financing;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patent licenses granted by an acquirer or management or technical assistance agreements with such acquirer that place us in a dependent position </w:t>
            </w:r>
            <w:r>
              <w:rPr>
                <w:rFonts w:ascii="Times New Roman" w:hAnsi="Times New Roman"/>
                <w:i/>
                <w:sz w:val="20"/>
              </w:rPr>
              <w:t>vis-à-vis</w:t>
            </w:r>
            <w:r>
              <w:rPr>
                <w:rFonts w:ascii="Times New Roman" w:hAnsi="Times New Roman"/>
                <w:sz w:val="20"/>
              </w:rPr>
              <w:t xml:space="preserve"> such party or its group. </w:t>
            </w:r>
          </w:p>
        </w:tc>
      </w:tr>
    </w:tbl>
    <w:p>
      <w:pPr>
        <w:pStyle w:val="TextBody"/>
        <w:bidi w:val="0"/>
        <w:spacing w:before="240" w:after="0"/>
        <w:jc w:val="left"/>
        <w:rPr>
          <w:rFonts w:ascii="Times New Roman" w:hAnsi="Times New Roman"/>
          <w:sz w:val="20"/>
        </w:rPr>
      </w:pPr>
      <w:r>
        <w:rPr>
          <w:rFonts w:ascii="Times New Roman" w:hAnsi="Times New Roman"/>
          <w:sz w:val="20"/>
        </w:rPr>
        <w:t>Non-French residents must file a declaration for statistical purposes with the Bank of France (</w:t>
      </w:r>
      <w:r>
        <w:rPr>
          <w:rFonts w:ascii="Times New Roman" w:hAnsi="Times New Roman"/>
          <w:i/>
          <w:sz w:val="20"/>
        </w:rPr>
        <w:t>Banque de France</w:t>
      </w:r>
      <w:r>
        <w:rPr>
          <w:rFonts w:ascii="Times New Roman" w:hAnsi="Times New Roman"/>
          <w:sz w:val="20"/>
        </w:rPr>
        <w:t xml:space="preserve">) within twenty working days following the date of certain direct foreign investments in us, including any purchase of our ADSs. In particular, such filings are required in connection with investments exceeding 15,000,000 that lead to the acquisition of at least 10% of our Company’s share capital or voting rights or cross such 10% threshold. Violation of this filing requirement may be sanctioned by five years of imprisonment and a fine up to twice the amount of the relevant investment. This amount may be increased fivefold if the violation is made by a legal entity. </w:t>
      </w:r>
    </w:p>
    <w:p>
      <w:pPr>
        <w:pStyle w:val="TextBody"/>
        <w:bidi w:val="0"/>
        <w:spacing w:before="360" w:after="0"/>
        <w:jc w:val="left"/>
        <w:rPr>
          <w:rFonts w:ascii="Times New Roman" w:hAnsi="Times New Roman"/>
          <w:b/>
          <w:sz w:val="20"/>
        </w:rPr>
      </w:pPr>
      <w:r>
        <w:rPr>
          <w:rFonts w:ascii="Times New Roman" w:hAnsi="Times New Roman"/>
          <w:b/>
          <w:sz w:val="20"/>
        </w:rPr>
        <w:t xml:space="preserve">Differences in Corporate Law </w:t>
      </w:r>
    </w:p>
    <w:p>
      <w:pPr>
        <w:pStyle w:val="TextBody"/>
        <w:bidi w:val="0"/>
        <w:spacing w:before="120" w:after="0"/>
        <w:jc w:val="left"/>
        <w:rPr>
          <w:rFonts w:ascii="Times New Roman" w:hAnsi="Times New Roman"/>
          <w:sz w:val="20"/>
        </w:rPr>
      </w:pPr>
      <w:r>
        <w:rPr>
          <w:rFonts w:ascii="Times New Roman" w:hAnsi="Times New Roman"/>
          <w:sz w:val="20"/>
        </w:rPr>
        <w:t xml:space="preserve">The laws applicable to French </w:t>
      </w:r>
      <w:r>
        <w:rPr>
          <w:rFonts w:ascii="Times New Roman" w:hAnsi="Times New Roman"/>
          <w:i/>
          <w:sz w:val="20"/>
        </w:rPr>
        <w:t>sociétés anonymes</w:t>
      </w:r>
      <w:r>
        <w:rPr>
          <w:rFonts w:ascii="Times New Roman" w:hAnsi="Times New Roman"/>
          <w:sz w:val="20"/>
        </w:rPr>
        <w:t xml:space="preserve"> (limited liability companies) differ from laws applicable to U.S. corporations and their shareholders. Set forth below is a summary of certain differences between the provisions of the French Commercial Code applicable to us and the Delaware General Corporation Law, the law under which many public companies in the United States are incorporated, relating to shareholders’ rights and protections. This summary is not intended to be a complete discussion of the respective rights, and it is qualified in its entirety by reference to Delaware law and French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7"/>
        <w:gridCol w:w="204"/>
        <w:gridCol w:w="4185"/>
        <w:gridCol w:w="204"/>
        <w:gridCol w:w="4185"/>
      </w:tblGrid>
      <w:tr>
        <w:trPr/>
        <w:tc>
          <w:tcPr>
            <w:tcW w:w="142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42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FRANCE</w:t>
            </w:r>
          </w:p>
        </w:tc>
        <w:tc>
          <w:tcPr>
            <w:tcW w:w="204"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Number of</w:t>
            </w:r>
          </w:p>
          <w:p>
            <w:pPr>
              <w:pStyle w:val="TableContents"/>
              <w:bidi w:val="0"/>
              <w:spacing w:before="0" w:after="20"/>
              <w:jc w:val="left"/>
              <w:rPr>
                <w:rFonts w:ascii="Times New Roman" w:hAnsi="Times New Roman"/>
                <w:sz w:val="20"/>
              </w:rPr>
            </w:pPr>
            <w:r>
              <w:rPr>
                <w:rFonts w:ascii="Times New Roman" w:hAnsi="Times New Roman"/>
                <w:sz w:val="20"/>
              </w:rPr>
              <w:t>Directors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 xml:space="preserve">Under French law, a </w:t>
            </w:r>
            <w:r>
              <w:rPr>
                <w:i/>
              </w:rPr>
              <w:t>société anonyme</w:t>
            </w:r>
            <w:r>
              <w:rPr/>
              <w:t xml:space="preserve"> must have at least three and may have up to 18 directors. The number of directors is fixed by or in the manner provided in the by-laws. The number of directors of each gender may not be less than 40%. In case a board of directors comprises up to eight members, the difference between the number of directors of each gender may not exceed two. Any appointment made in violation of this limit that is not remedied within six months of this appointment will be null and void and payment of directors’ compensation will be suspended.</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a corporation must have at least one director and the number of directors shall be fixed by or in the manner provided in the by-laws (unless specified in the certificate of incorporation of the corporation).</w:t>
            </w:r>
          </w:p>
        </w:tc>
      </w:tr>
      <w:tr>
        <w:trPr>
          <w:trHeight w:val="120" w:hRule="atLeast"/>
        </w:trPr>
        <w:tc>
          <w:tcPr>
            <w:tcW w:w="1427" w:type="dxa"/>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p>
            <w:pPr>
              <w:pStyle w:val="TableContents"/>
              <w:bidi w:val="0"/>
              <w:spacing w:before="0" w:after="20"/>
              <w:jc w:val="left"/>
              <w:rPr>
                <w:rFonts w:ascii="Times New Roman" w:hAnsi="Times New Roman"/>
                <w:sz w:val="20"/>
              </w:rPr>
            </w:pPr>
            <w:r>
              <w:rPr>
                <w:rFonts w:ascii="Times New Roman" w:hAnsi="Times New Roman"/>
                <w:sz w:val="20"/>
              </w:rPr>
              <w:t>Qualifications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French law, a corporation may prescribe qualifications for directors under its by-laws. In addition, under French law, members of a board of directors may be legal entities, and such legal entities must designate an individual to represent them and to act on their behalf at meetings of the board of directors.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a corporation may prescribe qualifications for directors under its certificate of incorporation or by-laws.</w:t>
            </w:r>
          </w:p>
        </w:tc>
      </w:tr>
      <w:tr>
        <w:trPr>
          <w:trHeight w:val="120" w:hRule="atLeast"/>
        </w:trPr>
        <w:tc>
          <w:tcPr>
            <w:tcW w:w="1427" w:type="dxa"/>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Removal of</w:t>
            </w:r>
          </w:p>
          <w:p>
            <w:pPr>
              <w:pStyle w:val="TableContents"/>
              <w:bidi w:val="0"/>
              <w:spacing w:before="0" w:after="20"/>
              <w:jc w:val="left"/>
              <w:rPr>
                <w:rFonts w:ascii="Times New Roman" w:hAnsi="Times New Roman"/>
                <w:sz w:val="20"/>
              </w:rPr>
            </w:pPr>
            <w:r>
              <w:rPr>
                <w:rFonts w:ascii="Times New Roman" w:hAnsi="Times New Roman"/>
                <w:sz w:val="20"/>
              </w:rPr>
              <w:t>Directors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French law, directors may be removed from office, with or without cause, at any shareholders’ meeting without notice or justification, by a simple majority vote of the shareholders present and voting at the meeting in person or by proxy.</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unless otherwise provided in the certificate of incorporation, directors may be removed from office, with or without cause, by a majority stockholder vote, though in the case of a corporation whose board is classified, shareholders may effect such removal only for cause.</w:t>
            </w:r>
          </w:p>
        </w:tc>
      </w:tr>
      <w:tr>
        <w:trPr>
          <w:trHeight w:val="120" w:hRule="atLeast"/>
        </w:trPr>
        <w:tc>
          <w:tcPr>
            <w:tcW w:w="1427" w:type="dxa"/>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Vacancies on</w:t>
            </w:r>
          </w:p>
          <w:p>
            <w:pPr>
              <w:pStyle w:val="TableContents"/>
              <w:bidi w:val="0"/>
              <w:spacing w:before="0" w:after="0"/>
              <w:jc w:val="left"/>
              <w:rPr>
                <w:rFonts w:ascii="Times New Roman" w:hAnsi="Times New Roman"/>
                <w:sz w:val="20"/>
              </w:rPr>
            </w:pPr>
            <w:r>
              <w:rPr>
                <w:rFonts w:ascii="Times New Roman" w:hAnsi="Times New Roman"/>
                <w:sz w:val="20"/>
              </w:rPr>
              <w:t>the board of</w:t>
            </w:r>
          </w:p>
          <w:p>
            <w:pPr>
              <w:pStyle w:val="TableContents"/>
              <w:bidi w:val="0"/>
              <w:spacing w:before="0" w:after="20"/>
              <w:jc w:val="left"/>
              <w:rPr>
                <w:rFonts w:ascii="Times New Roman" w:hAnsi="Times New Roman"/>
                <w:sz w:val="20"/>
              </w:rPr>
            </w:pPr>
            <w:r>
              <w:rPr>
                <w:rFonts w:ascii="Times New Roman" w:hAnsi="Times New Roman"/>
                <w:sz w:val="20"/>
              </w:rPr>
              <w:t>directors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French law, vacancies on the board of directors resulting from death or a resignation, provided that at least three directors remain in office, may be filled by a majority of the remaining directors pending ratification by the shareholders by the next shareholders’ meeting.</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vacancies on a corporation’s board of directors, including those caused by an increase in the number of directors, unless otherwise provided in the certificate of incorporation, may be filled by the board of directors or other governing body.</w:t>
            </w:r>
          </w:p>
        </w:tc>
      </w:tr>
      <w:tr>
        <w:trPr>
          <w:trHeight w:val="120" w:hRule="atLeast"/>
        </w:trPr>
        <w:tc>
          <w:tcPr>
            <w:tcW w:w="1427" w:type="dxa"/>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Annual</w:t>
            </w:r>
          </w:p>
          <w:p>
            <w:pPr>
              <w:pStyle w:val="TableContents"/>
              <w:bidi w:val="0"/>
              <w:spacing w:before="0" w:after="0"/>
              <w:jc w:val="left"/>
              <w:rPr>
                <w:rFonts w:ascii="Times New Roman" w:hAnsi="Times New Roman"/>
                <w:sz w:val="20"/>
              </w:rPr>
            </w:pPr>
            <w:r>
              <w:rPr>
                <w:rFonts w:ascii="Times New Roman" w:hAnsi="Times New Roman"/>
                <w:sz w:val="20"/>
              </w:rPr>
              <w:t>Shareholders’</w:t>
            </w:r>
          </w:p>
          <w:p>
            <w:pPr>
              <w:pStyle w:val="TableContents"/>
              <w:bidi w:val="0"/>
              <w:spacing w:before="0" w:after="20"/>
              <w:jc w:val="left"/>
              <w:rPr>
                <w:rFonts w:ascii="Times New Roman" w:hAnsi="Times New Roman"/>
                <w:sz w:val="20"/>
              </w:rPr>
            </w:pPr>
            <w:r>
              <w:rPr>
                <w:rFonts w:ascii="Times New Roman" w:hAnsi="Times New Roman"/>
                <w:sz w:val="20"/>
              </w:rPr>
              <w:t>Meeting</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French law, the annual shareholders’ meeting shall be held at such place, on such date and at such time as decided each year by the board of directors and notified to the shareholders in the convening notice of the annual meeting, within six months after the close of the relevant fiscal year unless such period is extended by court order.</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the annual meeting of stockholders shall be held at such place, on such date and at such time as may be designated from time to time by the board of directors or as provided in the certificate of incorporation or by the by-laws.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203"/>
        <w:gridCol w:w="4185"/>
        <w:gridCol w:w="204"/>
        <w:gridCol w:w="4185"/>
      </w:tblGrid>
      <w:tr>
        <w:trPr/>
        <w:tc>
          <w:tcPr>
            <w:tcW w:w="142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FRANCE</w:t>
            </w:r>
          </w:p>
        </w:tc>
        <w:tc>
          <w:tcPr>
            <w:tcW w:w="204"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w:t>
            </w:r>
          </w:p>
          <w:p>
            <w:pPr>
              <w:pStyle w:val="TableContents"/>
              <w:bidi w:val="0"/>
              <w:spacing w:before="0" w:after="20"/>
              <w:jc w:val="left"/>
              <w:rPr>
                <w:rFonts w:ascii="Times New Roman" w:hAnsi="Times New Roman"/>
                <w:sz w:val="20"/>
              </w:rPr>
            </w:pPr>
            <w:r>
              <w:rPr>
                <w:rFonts w:ascii="Times New Roman" w:hAnsi="Times New Roman"/>
                <w:sz w:val="20"/>
              </w:rPr>
              <w:t>Meeting</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French law, shareholders’ meetings may be called by the board of directors or, failing that, by the statutory auditors, or by a court appointed agent or liquidator in certain circumstances, or by the majority shareholder in capital or voting rights following a public tender offer or exchange offer or the transfer of a controlling block on the date decided by the board of directors or the relevant person.</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special meetings of the stockholders may be called by the board of directors or by such person or persons as may be authorized by the certificate of incorporation or by the by-laws.</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Notice of</w:t>
            </w:r>
          </w:p>
          <w:p>
            <w:pPr>
              <w:pStyle w:val="TableContents"/>
              <w:bidi w:val="0"/>
              <w:spacing w:before="0" w:after="0"/>
              <w:jc w:val="left"/>
              <w:rPr>
                <w:rFonts w:ascii="Times New Roman" w:hAnsi="Times New Roman"/>
                <w:sz w:val="20"/>
              </w:rPr>
            </w:pPr>
            <w:r>
              <w:rPr>
                <w:rFonts w:ascii="Times New Roman" w:hAnsi="Times New Roman"/>
                <w:sz w:val="20"/>
              </w:rPr>
              <w:t>Shareholders’</w:t>
            </w:r>
          </w:p>
          <w:p>
            <w:pPr>
              <w:pStyle w:val="TableContents"/>
              <w:bidi w:val="0"/>
              <w:spacing w:before="0" w:after="20"/>
              <w:jc w:val="left"/>
              <w:rPr>
                <w:rFonts w:ascii="Times New Roman" w:hAnsi="Times New Roman"/>
                <w:sz w:val="20"/>
              </w:rPr>
            </w:pPr>
            <w:r>
              <w:rPr>
                <w:rFonts w:ascii="Times New Roman" w:hAnsi="Times New Roman"/>
                <w:sz w:val="20"/>
              </w:rPr>
              <w:t>Meetings</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A meeting notice (</w:t>
            </w:r>
            <w:r>
              <w:rPr>
                <w:i/>
              </w:rPr>
              <w:t>avis de réunion</w:t>
            </w:r>
            <w:r>
              <w:rPr/>
              <w:t xml:space="preserve">) is published in the </w:t>
            </w:r>
            <w:r>
              <w:rPr>
                <w:i/>
              </w:rPr>
              <w:t>Bulletin des annonces légales obligatoires</w:t>
            </w:r>
            <w:r>
              <w:rPr/>
              <w:t xml:space="preserve"> (“BALO”) at least 35 days prior to a meeting and made available on the website of the company at least 21 days prior to the meeting. Additionally, a convening notice (</w:t>
            </w:r>
            <w:r>
              <w:rPr>
                <w:i/>
              </w:rPr>
              <w:t>avis de convocation</w:t>
            </w:r>
            <w:r>
              <w:rPr/>
              <w:t>) is published at least 15 days prior to the date of the meeting, in a legal announcement bulletin of the registered office department and in the BALO. Further, the holders of registered shares (</w:t>
            </w:r>
            <w:r>
              <w:rPr>
                <w:i/>
              </w:rPr>
              <w:t>actions nominatives</w:t>
            </w:r>
            <w:r>
              <w:rPr/>
              <w:t>) for at least a month at the time of the convening notice shall be summoned individually, by regular letter (or by registered letter if they request it and include an advance of expenses) sent to their last known address. This notice may also be transmitted by electronic means of telecommunication, in lieu of any such mailing, in accordance with legal and regulatory requirements.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means of remote communication, if any, by which stockholders and proxy holders may be deemed to be present in person and vote, the record date for voting if it is different from the record date determining notice and, in the case of a special meeting, the purpose or purposes of the meeting.</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The meeting notice must also indicate the conditions under which the shareholders may vote by correspondence, the places and conditions in which they can obtain voting forms, and as the case may be, the e-mail address to which they may send written questions.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Proxy</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Each shareholder has the right to attend the meetings and participate in the discussions (i) personally, (ii) by granting proxy to any individual or legal entity of his choosing, (iii) by sending a proxy to the company without indication of the mandate (in which case such proxy shall be cast in favor of the resolutions supported by the board of directors), (iv) by voting by correspondence or (v) by videoconference or another means of telecommunication allowing identification in accordance with applicable laws. The</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at any meeting of stockholders, a stockholder may designate another person to act for such stockholder by proxy, but no such proxy shall be voted or acted upon after three years from its date, unless the proxy provides for a longer period.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203"/>
        <w:gridCol w:w="4185"/>
        <w:gridCol w:w="203"/>
        <w:gridCol w:w="4186"/>
      </w:tblGrid>
      <w:tr>
        <w:trPr/>
        <w:tc>
          <w:tcPr>
            <w:tcW w:w="142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FRANCE</w:t>
            </w:r>
          </w:p>
        </w:tc>
        <w:tc>
          <w:tcPr>
            <w:tcW w:w="203" w:type="dxa"/>
            <w:tcBorders/>
            <w:vAlign w:val="bottom"/>
          </w:tcPr>
          <w:p>
            <w:pPr>
              <w:pStyle w:val="TableContents"/>
              <w:bidi w:val="0"/>
              <w:spacing w:before="0" w:after="283"/>
              <w:jc w:val="left"/>
              <w:rPr/>
            </w:pPr>
            <w:r>
              <w:rPr/>
              <w:t>  </w:t>
            </w:r>
          </w:p>
        </w:tc>
        <w:tc>
          <w:tcPr>
            <w:tcW w:w="41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8"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proxy is only valid for a single meeting or for successive meetings convened with the same agenda. It can also be granted for two meetings, one ordinary the other extraordinary, held on the same day or within a period of 15 days.</w:t>
            </w:r>
          </w:p>
        </w:tc>
        <w:tc>
          <w:tcPr>
            <w:tcW w:w="203" w:type="dxa"/>
            <w:tcBorders/>
            <w:vAlign w:val="bottom"/>
          </w:tcPr>
          <w:p>
            <w:pPr>
              <w:pStyle w:val="TableContents"/>
              <w:bidi w:val="0"/>
              <w:spacing w:before="0" w:after="283"/>
              <w:jc w:val="left"/>
              <w:rPr/>
            </w:pPr>
            <w:r>
              <w:rPr/>
              <w:t>  </w:t>
            </w:r>
          </w:p>
        </w:tc>
        <w:tc>
          <w:tcPr>
            <w:tcW w:w="4186" w:type="dxa"/>
            <w:tcBorders/>
          </w:tcPr>
          <w:p>
            <w:pPr>
              <w:pStyle w:val="TableContents"/>
              <w:bidi w:val="0"/>
              <w:spacing w:before="0" w:after="283"/>
              <w:jc w:val="left"/>
              <w:rPr>
                <w:sz w:val="4"/>
                <w:szCs w:val="4"/>
              </w:rPr>
            </w:pPr>
            <w:r>
              <w:rPr>
                <w:sz w:val="4"/>
                <w:szCs w:val="4"/>
              </w:rPr>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Shareholder</w:t>
            </w:r>
          </w:p>
          <w:p>
            <w:pPr>
              <w:pStyle w:val="TableContents"/>
              <w:bidi w:val="0"/>
              <w:spacing w:before="0" w:after="0"/>
              <w:jc w:val="left"/>
              <w:rPr>
                <w:rFonts w:ascii="Times New Roman" w:hAnsi="Times New Roman"/>
                <w:sz w:val="20"/>
              </w:rPr>
            </w:pPr>
            <w:r>
              <w:rPr>
                <w:rFonts w:ascii="Times New Roman" w:hAnsi="Times New Roman"/>
                <w:sz w:val="20"/>
              </w:rPr>
              <w:t>Action by</w:t>
            </w:r>
          </w:p>
          <w:p>
            <w:pPr>
              <w:pStyle w:val="TableContents"/>
              <w:bidi w:val="0"/>
              <w:spacing w:before="0" w:after="0"/>
              <w:jc w:val="left"/>
              <w:rPr>
                <w:rFonts w:ascii="Times New Roman" w:hAnsi="Times New Roman"/>
                <w:sz w:val="20"/>
              </w:rPr>
            </w:pPr>
            <w:r>
              <w:rPr>
                <w:rFonts w:ascii="Times New Roman" w:hAnsi="Times New Roman"/>
                <w:sz w:val="20"/>
              </w:rPr>
              <w:t>Written</w:t>
            </w:r>
          </w:p>
          <w:p>
            <w:pPr>
              <w:pStyle w:val="TableContents"/>
              <w:bidi w:val="0"/>
              <w:spacing w:before="0" w:after="20"/>
              <w:jc w:val="left"/>
              <w:rPr>
                <w:rFonts w:ascii="Times New Roman" w:hAnsi="Times New Roman"/>
                <w:sz w:val="20"/>
              </w:rPr>
            </w:pPr>
            <w:r>
              <w:rPr>
                <w:rFonts w:ascii="Times New Roman" w:hAnsi="Times New Roman"/>
                <w:sz w:val="20"/>
              </w:rPr>
              <w:t>Consent</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 xml:space="preserve">Under French law, shareholders’ action by written consent is not permitted in a </w:t>
            </w:r>
            <w:r>
              <w:rPr>
                <w:i/>
              </w:rPr>
              <w:t>société anonyme.</w:t>
            </w:r>
          </w:p>
        </w:tc>
        <w:tc>
          <w:tcPr>
            <w:tcW w:w="203" w:type="dxa"/>
            <w:tcBorders/>
            <w:vAlign w:val="bottom"/>
          </w:tcPr>
          <w:p>
            <w:pPr>
              <w:pStyle w:val="TableContents"/>
              <w:bidi w:val="0"/>
              <w:spacing w:before="0" w:after="283"/>
              <w:jc w:val="left"/>
              <w:rPr/>
            </w:pPr>
            <w:r>
              <w:rPr/>
              <w:t>  </w:t>
            </w:r>
          </w:p>
        </w:tc>
        <w:tc>
          <w:tcPr>
            <w:tcW w:w="4186" w:type="dxa"/>
            <w:tcBorders/>
          </w:tcPr>
          <w:p>
            <w:pPr>
              <w:pStyle w:val="TableContents"/>
              <w:bidi w:val="0"/>
              <w:spacing w:before="0" w:after="283"/>
              <w:jc w:val="left"/>
              <w:rPr/>
            </w:pPr>
            <w:r>
              <w:rPr/>
              <w:t>Under Delaware law, a corporation’s certificate of incorporation (i) may permit stockholders to act by written consent if such action is signed by all stockholders, (ii) may permit stockholders to act by written consent signed by stockholders having the minimum number of votes that would be necessary to take such action at a meeting or (iii) may prohibit actions by written consent.</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Preferential</w:t>
            </w:r>
          </w:p>
          <w:p>
            <w:pPr>
              <w:pStyle w:val="TableContents"/>
              <w:bidi w:val="0"/>
              <w:spacing w:before="0" w:after="0"/>
              <w:jc w:val="left"/>
              <w:rPr>
                <w:rFonts w:ascii="Times New Roman" w:hAnsi="Times New Roman"/>
                <w:sz w:val="20"/>
              </w:rPr>
            </w:pPr>
            <w:r>
              <w:rPr>
                <w:rFonts w:ascii="Times New Roman" w:hAnsi="Times New Roman"/>
                <w:sz w:val="20"/>
              </w:rPr>
              <w:t>Subscription</w:t>
            </w:r>
          </w:p>
          <w:p>
            <w:pPr>
              <w:pStyle w:val="TableContents"/>
              <w:bidi w:val="0"/>
              <w:spacing w:before="0" w:after="20"/>
              <w:jc w:val="left"/>
              <w:rPr>
                <w:rFonts w:ascii="Times New Roman" w:hAnsi="Times New Roman"/>
                <w:sz w:val="20"/>
              </w:rPr>
            </w:pPr>
            <w:r>
              <w:rPr>
                <w:rFonts w:ascii="Times New Roman" w:hAnsi="Times New Roman"/>
                <w:sz w:val="20"/>
              </w:rPr>
              <w:t>Rights</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French law, in case of issuance of additional shares or other securities for cash or set-off against cash debts, the existing shareholders have preferential subscription rights to these securities on a pro rata basis unless such rights are waived by a two-thirds majority of the votes held by the shareholders present at the extraordinary meeting deciding or authorizing the capital increase, voting in person or represented by proxy or voting by mail. In case such rights are not waived by the extraordinary general meeting, each shareholder may individually either exercise, assign or not exercise its preferential subscription rights.</w:t>
            </w:r>
          </w:p>
        </w:tc>
        <w:tc>
          <w:tcPr>
            <w:tcW w:w="203" w:type="dxa"/>
            <w:tcBorders/>
            <w:vAlign w:val="bottom"/>
          </w:tcPr>
          <w:p>
            <w:pPr>
              <w:pStyle w:val="TableContents"/>
              <w:bidi w:val="0"/>
              <w:spacing w:before="0" w:after="283"/>
              <w:jc w:val="left"/>
              <w:rPr/>
            </w:pPr>
            <w:r>
              <w:rPr/>
              <w:t>  </w:t>
            </w:r>
          </w:p>
        </w:tc>
        <w:tc>
          <w:tcPr>
            <w:tcW w:w="4186" w:type="dxa"/>
            <w:tcBorders/>
          </w:tcPr>
          <w:p>
            <w:pPr>
              <w:pStyle w:val="TableContents"/>
              <w:bidi w:val="0"/>
              <w:spacing w:before="0" w:after="283"/>
              <w:jc w:val="left"/>
              <w:rPr/>
            </w:pPr>
            <w:r>
              <w:rPr/>
              <w:t>Under Delaware law, unless otherwise provided in a corporation’s certificate of incorporation, a stockholder does not, by operation of law, possess preemptive rights to subscribe to additional issuances of the corporation’s stock.</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Sources of</w:t>
            </w:r>
          </w:p>
          <w:p>
            <w:pPr>
              <w:pStyle w:val="TableContents"/>
              <w:bidi w:val="0"/>
              <w:spacing w:before="0" w:after="20"/>
              <w:jc w:val="left"/>
              <w:rPr>
                <w:rFonts w:ascii="Times New Roman" w:hAnsi="Times New Roman"/>
                <w:sz w:val="20"/>
              </w:rPr>
            </w:pPr>
            <w:r>
              <w:rPr>
                <w:rFonts w:ascii="Times New Roman" w:hAnsi="Times New Roman"/>
                <w:sz w:val="20"/>
              </w:rPr>
              <w:t>Dividends</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French law, dividends may only be paid by a French </w:t>
            </w:r>
            <w:r>
              <w:rPr>
                <w:rFonts w:ascii="Times New Roman" w:hAnsi="Times New Roman"/>
                <w:i/>
                <w:sz w:val="20"/>
              </w:rPr>
              <w:t>société anonyme</w:t>
            </w:r>
            <w:r>
              <w:rPr>
                <w:rFonts w:ascii="Times New Roman" w:hAnsi="Times New Roman"/>
                <w:sz w:val="20"/>
              </w:rPr>
              <w:t xml:space="preserve"> out of “distributable profits,” plus any distributable reserves and “distributable premium” that the shareholders decide to make available for distribution, other than those reserves that are specifically required by-law. “Distributable profits” consist of the unconsolidated net profits of the relevant corporation for each fiscal year, as increased or reduced by any profit or loss carried forward from prior years, minus the amounts to be set aside to the statutory reserve (at least 5% of the profit until the reserve has reached 10% of the amount of the share capital) and to the reserve set forth in the company’s by-laws (if any).</w:t>
            </w:r>
          </w:p>
          <w:p>
            <w:pPr>
              <w:pStyle w:val="TableContents"/>
              <w:bidi w:val="0"/>
              <w:spacing w:before="0" w:after="0"/>
              <w:jc w:val="left"/>
              <w:rPr/>
            </w:pPr>
            <w:r>
              <w:rPr/>
              <w:t> </w:t>
            </w:r>
          </w:p>
          <w:p>
            <w:pPr>
              <w:pStyle w:val="TableContents"/>
              <w:bidi w:val="0"/>
              <w:spacing w:before="0" w:after="20"/>
              <w:jc w:val="left"/>
              <w:rPr/>
            </w:pPr>
            <w:r>
              <w:rPr/>
              <w:t>“</w:t>
            </w:r>
            <w:r>
              <w:rPr>
                <w:rFonts w:ascii="Times New Roman" w:hAnsi="Times New Roman"/>
                <w:sz w:val="20"/>
              </w:rPr>
              <w:t>Distributable premium” refers to the contribution paid by the shareholders in</w:t>
            </w:r>
          </w:p>
        </w:tc>
        <w:tc>
          <w:tcPr>
            <w:tcW w:w="203" w:type="dxa"/>
            <w:tcBorders/>
            <w:vAlign w:val="bottom"/>
          </w:tcPr>
          <w:p>
            <w:pPr>
              <w:pStyle w:val="TableContents"/>
              <w:bidi w:val="0"/>
              <w:spacing w:before="0" w:after="283"/>
              <w:jc w:val="left"/>
              <w:rPr/>
            </w:pPr>
            <w:r>
              <w:rPr/>
              <w:t>  </w:t>
            </w:r>
          </w:p>
        </w:tc>
        <w:tc>
          <w:tcPr>
            <w:tcW w:w="4186" w:type="dxa"/>
            <w:tcBorders/>
          </w:tcPr>
          <w:p>
            <w:pPr>
              <w:pStyle w:val="TableContents"/>
              <w:bidi w:val="0"/>
              <w:spacing w:before="0" w:after="283"/>
              <w:jc w:val="left"/>
              <w:rPr/>
            </w:pPr>
            <w:r>
              <w:rPr/>
              <w:t>Under Delaware law, dividends may be paid by a Delaware corporation either out of (i) surplus, as defined in and computed in accordance with Delaware law, or (ii) in case there is no surplus, out of its net profits for the fiscal year in which the dividend is declared and/or the preceding fiscal year, except when the capital is diminished by depreciation in the value of its property, or by losses or otherwise, to an amount less than the aggregate amount of capital represented by issued and outstanding stock having a preference on the distribution of assets.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9"/>
        <w:gridCol w:w="203"/>
        <w:gridCol w:w="4185"/>
        <w:gridCol w:w="203"/>
        <w:gridCol w:w="4185"/>
      </w:tblGrid>
      <w:tr>
        <w:trPr/>
        <w:tc>
          <w:tcPr>
            <w:tcW w:w="142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42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FRANCE</w:t>
            </w:r>
          </w:p>
        </w:tc>
        <w:tc>
          <w:tcPr>
            <w:tcW w:w="203"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9"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left"/>
              <w:rPr>
                <w:rFonts w:ascii="Times New Roman" w:hAnsi="Times New Roman"/>
                <w:sz w:val="20"/>
              </w:rPr>
            </w:pPr>
            <w:r>
              <w:rPr>
                <w:rFonts w:ascii="Times New Roman" w:hAnsi="Times New Roman"/>
                <w:sz w:val="20"/>
              </w:rPr>
              <w:t>addition to the par value of their shares for their subscription that the shareholders decide to make available for distribution.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Except in the case of a share capital reduction, no distribution can be made to the shareholders when the net equity is, or would become, lower than the amount of the share capital plus the reserves which cannot be distributed in accordance with the law or the by-laws.</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rHeight w:val="120" w:hRule="atLeast"/>
        </w:trPr>
        <w:tc>
          <w:tcPr>
            <w:tcW w:w="1429"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Repurchase of</w:t>
            </w:r>
          </w:p>
          <w:p>
            <w:pPr>
              <w:pStyle w:val="TableContents"/>
              <w:bidi w:val="0"/>
              <w:spacing w:before="0" w:after="20"/>
              <w:jc w:val="left"/>
              <w:rPr>
                <w:rFonts w:ascii="Times New Roman" w:hAnsi="Times New Roman"/>
                <w:sz w:val="20"/>
              </w:rPr>
            </w:pPr>
            <w:r>
              <w:rPr>
                <w:rFonts w:ascii="Times New Roman" w:hAnsi="Times New Roman"/>
                <w:sz w:val="20"/>
              </w:rPr>
              <w:t>Shares</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left"/>
              <w:rPr>
                <w:rFonts w:ascii="Times New Roman" w:hAnsi="Times New Roman"/>
                <w:sz w:val="20"/>
              </w:rPr>
            </w:pPr>
            <w:r>
              <w:rPr>
                <w:rFonts w:ascii="Times New Roman" w:hAnsi="Times New Roman"/>
                <w:sz w:val="20"/>
              </w:rPr>
              <w:t>Under French law, a corporation may acquire its own shares. Such acquisition may be challenged on the ground of market abuse regulations. However, MAR provides for safe harbor exemptions when the acquisition is made for the following purposes only:</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to decrease its share capital, provided that such decision is not driven by losses and that a purchase offer is made to all shareholders on a pro rata basis, with the approval of the shareholders at the extraordinary general meeting deciding the capital reduction; or to meet obligations arising from debt securities, that are exchangeable into equity instruments.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with a view to distributing within one year of their repurchase the relevant shares to employees or managers under a profit-sharing, free share or share option plan;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under a buy-back program to be authorized by the shareholders in accordance with the provisions of Article L. 22-10-62 of the French Commercial Code and in accordance with the general regulations of the AMF.</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All other purposes, and especially share buy-backs for external growth operations by virtue of Article L. 22-10-62 of the French Commercial Code, while not forbidden, must be pursued in strict compliance of market manipulations and insider dealing rules.</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a corporation may generally redeem or repurchase shares of its stock unless the capital of the corporation is impaired or such redemption or repurchase would impair the capital of the corporation.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204"/>
        <w:gridCol w:w="4184"/>
        <w:gridCol w:w="204"/>
        <w:gridCol w:w="4185"/>
      </w:tblGrid>
      <w:tr>
        <w:trPr/>
        <w:tc>
          <w:tcPr>
            <w:tcW w:w="1428"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41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FRANCE</w:t>
            </w:r>
          </w:p>
        </w:tc>
        <w:tc>
          <w:tcPr>
            <w:tcW w:w="204"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8"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No such repurchase of shares may result in the company holding, directly or through a person acting on its behalf, more than 10% of its issued share capital.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MAR and in accordance with the General Regulations, a corporation shall report to the competent authority of the trading venue on which the shares have been admitted to trading or are traded, no later than by the end of the seventh daily market session following the date of the execution of the transaction, all the transactions relating to the buy-back program, in a detailed form and in an aggregated form.</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Liability of</w:t>
            </w:r>
          </w:p>
          <w:p>
            <w:pPr>
              <w:pStyle w:val="TableContents"/>
              <w:bidi w:val="0"/>
              <w:spacing w:before="0" w:after="0"/>
              <w:jc w:val="left"/>
              <w:rPr>
                <w:rFonts w:ascii="Times New Roman" w:hAnsi="Times New Roman"/>
                <w:sz w:val="20"/>
              </w:rPr>
            </w:pPr>
            <w:r>
              <w:rPr>
                <w:rFonts w:ascii="Times New Roman" w:hAnsi="Times New Roman"/>
                <w:sz w:val="20"/>
              </w:rPr>
              <w:t>Directors and</w:t>
            </w:r>
          </w:p>
          <w:p>
            <w:pPr>
              <w:pStyle w:val="TableContents"/>
              <w:bidi w:val="0"/>
              <w:spacing w:before="0" w:after="20"/>
              <w:jc w:val="left"/>
              <w:rPr>
                <w:rFonts w:ascii="Times New Roman" w:hAnsi="Times New Roman"/>
                <w:sz w:val="20"/>
              </w:rPr>
            </w:pPr>
            <w:r>
              <w:rPr>
                <w:rFonts w:ascii="Times New Roman" w:hAnsi="Times New Roman"/>
                <w:sz w:val="20"/>
              </w:rPr>
              <w:t>Officers</w:t>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left"/>
              <w:rPr/>
            </w:pPr>
            <w:r>
              <w:rPr/>
              <w:t>Under French law, the by-laws may not include any provisions limiting the liability of directors.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left"/>
              <w:rPr>
                <w:rFonts w:ascii="Times New Roman" w:hAnsi="Times New Roman"/>
                <w:sz w:val="20"/>
              </w:rPr>
            </w:pPr>
            <w:r>
              <w:rPr>
                <w:rFonts w:ascii="Times New Roman" w:hAnsi="Times New Roman"/>
                <w:sz w:val="20"/>
              </w:rPr>
              <w:t>Under Delaware law, a corporation’s certificate of incorporation may include a provision eliminating or limiting the personal liability of a director or officer to the corporation and its stockholders for damages arising from a breach of fiduciary duty as a director or officer. However, no provision can limit the liability of a director or officer for: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breach of the director’s duty of loyalty to the corporation or its stockholders;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acts or omissions not in good faith or that involve intentional misconduct or a knowing violation of law;</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intentional or negligent payment of unlawful dividends or stock purchases or redemptions;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 director approving and transaction from which the director or officer derives an improper personal benefit;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 officer in any action by or in the right of the corporation.</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Voting Rights</w:t>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left"/>
              <w:rPr/>
            </w:pPr>
            <w:r>
              <w:rPr/>
              <w:t>French law provides that, unless otherwise provided in the by-laws, each shareholder is entitled to one vote for each share of share capital held by such shareholder. Further, pursuant to the introduction of Law No. 2014-384 dated March 29, 2014 (</w:t>
            </w:r>
            <w:r>
              <w:rPr>
                <w:i/>
              </w:rPr>
              <w:t>Loi</w:t>
            </w:r>
            <w:r>
              <w:rPr/>
              <w:t> </w:t>
            </w:r>
            <w:r>
              <w:rPr>
                <w:i/>
              </w:rPr>
              <w:t>Florange</w:t>
            </w:r>
            <w:r>
              <w:rPr/>
              <w:t>), shares registered for more</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Delaware law provides that, unless otherwise provided in the certificate of incorporation, each stockholder is entitled to one vote for each share of capital stock held by such stockholder.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204"/>
        <w:gridCol w:w="4184"/>
        <w:gridCol w:w="204"/>
        <w:gridCol w:w="4185"/>
      </w:tblGrid>
      <w:tr>
        <w:trPr/>
        <w:tc>
          <w:tcPr>
            <w:tcW w:w="1428"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41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FRANCE</w:t>
            </w:r>
          </w:p>
        </w:tc>
        <w:tc>
          <w:tcPr>
            <w:tcW w:w="204"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8"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left"/>
              <w:rPr/>
            </w:pPr>
            <w:r>
              <w:rPr/>
              <w:t>than two years in the name of the same shareholder are automatically be granted double voting rights from 2016, unless the by-laws expressly reject this measure.</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Shareholder</w:t>
            </w:r>
          </w:p>
          <w:p>
            <w:pPr>
              <w:pStyle w:val="TableContents"/>
              <w:bidi w:val="0"/>
              <w:spacing w:before="0" w:after="0"/>
              <w:jc w:val="left"/>
              <w:rPr>
                <w:rFonts w:ascii="Times New Roman" w:hAnsi="Times New Roman"/>
                <w:sz w:val="20"/>
              </w:rPr>
            </w:pPr>
            <w:r>
              <w:rPr>
                <w:rFonts w:ascii="Times New Roman" w:hAnsi="Times New Roman"/>
                <w:sz w:val="20"/>
              </w:rPr>
              <w:t>Vote on Certain</w:t>
            </w:r>
          </w:p>
          <w:p>
            <w:pPr>
              <w:pStyle w:val="TableContents"/>
              <w:bidi w:val="0"/>
              <w:spacing w:before="0" w:after="20"/>
              <w:jc w:val="left"/>
              <w:rPr>
                <w:rFonts w:ascii="Times New Roman" w:hAnsi="Times New Roman"/>
                <w:sz w:val="20"/>
              </w:rPr>
            </w:pPr>
            <w:r>
              <w:rPr>
                <w:rFonts w:ascii="Times New Roman" w:hAnsi="Times New Roman"/>
                <w:sz w:val="20"/>
              </w:rPr>
              <w:t>Transactions</w:t>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0"/>
              <w:jc w:val="left"/>
              <w:rPr>
                <w:rFonts w:ascii="Times New Roman" w:hAnsi="Times New Roman"/>
                <w:sz w:val="20"/>
              </w:rPr>
            </w:pPr>
            <w:r>
              <w:rPr>
                <w:rFonts w:ascii="Times New Roman" w:hAnsi="Times New Roman"/>
                <w:sz w:val="20"/>
              </w:rPr>
              <w:t>Generally, under French law, completion of a merger, dissolution or sale or exchange of all or substantially all of a corporation’s assets (</w:t>
            </w:r>
            <w:r>
              <w:rPr>
                <w:rFonts w:ascii="Times New Roman" w:hAnsi="Times New Roman"/>
                <w:i/>
                <w:sz w:val="20"/>
              </w:rPr>
              <w:t>apport partiel d’actifs</w:t>
            </w:r>
            <w:r>
              <w:rPr>
                <w:rFonts w:ascii="Times New Roman" w:hAnsi="Times New Roman"/>
                <w:sz w:val="20"/>
              </w:rPr>
              <w:t>) requires: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approval of the board of directors;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approval by a two-thirds majority of the votes held by the shareholders present, represented by proxy or voting by mail at the relevant meeting or, in the case of a merger with a non-EU company, approval of all shareholders of the corporation.</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left"/>
              <w:rPr>
                <w:rFonts w:ascii="Times New Roman" w:hAnsi="Times New Roman"/>
                <w:sz w:val="20"/>
              </w:rPr>
            </w:pPr>
            <w:r>
              <w:rPr>
                <w:rFonts w:ascii="Times New Roman" w:hAnsi="Times New Roman"/>
                <w:sz w:val="20"/>
              </w:rPr>
              <w:t>Generally, under Delaware law, unless the certificate of incorporation provides for the vote of a larger portion of shares, completion of a merger, consolidation, sale, lease or exchange of all or substantially all of a corporation’s assets or dissolution requires: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approval of the board of directors;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approval by the vote of the holders of a majority of the outstanding stock or, if the certificate of incorporation provides for more or less than one vote per share, a majority of the votes of the outstanding stock of a corporation entitled to vote on the matter.</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Dissent or</w:t>
            </w:r>
          </w:p>
          <w:p>
            <w:pPr>
              <w:pStyle w:val="TableContents"/>
              <w:bidi w:val="0"/>
              <w:spacing w:before="0" w:after="0"/>
              <w:jc w:val="left"/>
              <w:rPr>
                <w:rFonts w:ascii="Times New Roman" w:hAnsi="Times New Roman"/>
                <w:sz w:val="20"/>
              </w:rPr>
            </w:pPr>
            <w:r>
              <w:rPr>
                <w:rFonts w:ascii="Times New Roman" w:hAnsi="Times New Roman"/>
                <w:sz w:val="20"/>
              </w:rPr>
              <w:t>Dissenters</w:t>
            </w:r>
          </w:p>
          <w:p>
            <w:pPr>
              <w:pStyle w:val="TableContents"/>
              <w:bidi w:val="0"/>
              <w:spacing w:before="0" w:after="0"/>
              <w:jc w:val="left"/>
              <w:rPr>
                <w:rFonts w:ascii="Times New Roman" w:hAnsi="Times New Roman"/>
                <w:sz w:val="20"/>
              </w:rPr>
            </w:pPr>
            <w:r>
              <w:rPr>
                <w:rFonts w:ascii="Times New Roman" w:hAnsi="Times New Roman"/>
                <w:sz w:val="20"/>
              </w:rPr>
              <w:t>Appraisal</w:t>
            </w:r>
          </w:p>
          <w:p>
            <w:pPr>
              <w:pStyle w:val="TableContents"/>
              <w:bidi w:val="0"/>
              <w:spacing w:before="0" w:after="20"/>
              <w:jc w:val="left"/>
              <w:rPr>
                <w:rFonts w:ascii="Times New Roman" w:hAnsi="Times New Roman"/>
                <w:sz w:val="20"/>
              </w:rPr>
            </w:pPr>
            <w:r>
              <w:rPr>
                <w:rFonts w:ascii="Times New Roman" w:hAnsi="Times New Roman"/>
                <w:sz w:val="20"/>
              </w:rPr>
              <w:t>Rights</w:t>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left"/>
              <w:rPr/>
            </w:pPr>
            <w:r>
              <w:rPr/>
              <w:t>French law does not provide for any such right but provides that a merger is subject to shareholders’ approval by a two-thirds majority vote, as stated above.</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left"/>
              <w:rPr>
                <w:rFonts w:ascii="Times New Roman" w:hAnsi="Times New Roman"/>
                <w:sz w:val="20"/>
              </w:rPr>
            </w:pPr>
            <w:r>
              <w:rPr>
                <w:rFonts w:ascii="Times New Roman" w:hAnsi="Times New Roman"/>
                <w:sz w:val="20"/>
              </w:rPr>
              <w:t>Under Delaware law, a holder of shares of any class or series has the right, in specified circumstances, to dissent from a merger or consolidation by demanding payment in cash for the stockholder’s shares equal to the fair value of those shares, as determined by the Delaware Chancery Court in an action timely brought by the corporation or a dissenting stockholder. Delaware law grants these appraisal rights only in the case of mergers or consolidations and not in the case of a sale or transfer of assets or a purchase of assets for shares. Further, no appraisal rights are available for shares of any class or series that is listed on a national securities exchange or held of record by more than 2,000 stockholders, unless the agreement of merger or consolidation requires the holders to accept for their shares anything other than:</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shares of stock of the surviving corporation;</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shares of another corporation that are either listed on a national securities exchange or held of record by more than 2,000 stockholders;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cash in lieu of fractional shares of the stock described in the two preceding bullet points;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combination of the above.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204"/>
        <w:gridCol w:w="4184"/>
        <w:gridCol w:w="204"/>
        <w:gridCol w:w="4185"/>
      </w:tblGrid>
      <w:tr>
        <w:trPr/>
        <w:tc>
          <w:tcPr>
            <w:tcW w:w="1428"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41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FRANCE</w:t>
            </w:r>
          </w:p>
        </w:tc>
        <w:tc>
          <w:tcPr>
            <w:tcW w:w="204"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8"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appraisal rights are not available to holders of shares of the surviving corporation in specified mergers that do not require the vote of the stockholders of the surviving corporation.</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Standard of</w:t>
            </w:r>
          </w:p>
          <w:p>
            <w:pPr>
              <w:pStyle w:val="TableContents"/>
              <w:bidi w:val="0"/>
              <w:spacing w:before="0" w:after="0"/>
              <w:jc w:val="left"/>
              <w:rPr>
                <w:rFonts w:ascii="Times New Roman" w:hAnsi="Times New Roman"/>
                <w:sz w:val="20"/>
              </w:rPr>
            </w:pPr>
            <w:r>
              <w:rPr>
                <w:rFonts w:ascii="Times New Roman" w:hAnsi="Times New Roman"/>
                <w:sz w:val="20"/>
              </w:rPr>
              <w:t>Conduct for</w:t>
            </w:r>
          </w:p>
          <w:p>
            <w:pPr>
              <w:pStyle w:val="TableContents"/>
              <w:bidi w:val="0"/>
              <w:spacing w:before="0" w:after="20"/>
              <w:jc w:val="left"/>
              <w:rPr>
                <w:rFonts w:ascii="Times New Roman" w:hAnsi="Times New Roman"/>
                <w:sz w:val="20"/>
              </w:rPr>
            </w:pPr>
            <w:r>
              <w:rPr>
                <w:rFonts w:ascii="Times New Roman" w:hAnsi="Times New Roman"/>
                <w:sz w:val="20"/>
              </w:rPr>
              <w:t>Directors</w:t>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left"/>
              <w:rPr/>
            </w:pPr>
            <w:r>
              <w:rPr/>
              <w:t>French law does not contain specific provisions setting forth the standard of conduct of a director. However, directors have a duty to act without self-interest, on a well-informed basis, and not to take any decision against a corporation’s corporate interest (</w:t>
            </w:r>
            <w:r>
              <w:rPr>
                <w:i/>
              </w:rPr>
              <w:t>intérêt social</w:t>
            </w:r>
            <w:r>
              <w:rPr/>
              <w:t>).</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Shareholder</w:t>
            </w:r>
          </w:p>
          <w:p>
            <w:pPr>
              <w:pStyle w:val="TableContents"/>
              <w:bidi w:val="0"/>
              <w:spacing w:before="0" w:after="20"/>
              <w:jc w:val="left"/>
              <w:rPr>
                <w:rFonts w:ascii="Times New Roman" w:hAnsi="Times New Roman"/>
                <w:sz w:val="20"/>
              </w:rPr>
            </w:pPr>
            <w:r>
              <w:rPr>
                <w:rFonts w:ascii="Times New Roman" w:hAnsi="Times New Roman"/>
                <w:sz w:val="20"/>
              </w:rPr>
              <w:t>Suits</w:t>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0"/>
              <w:jc w:val="left"/>
              <w:rPr>
                <w:rFonts w:ascii="Times New Roman" w:hAnsi="Times New Roman"/>
                <w:sz w:val="20"/>
              </w:rPr>
            </w:pPr>
            <w:r>
              <w:rPr>
                <w:rFonts w:ascii="Times New Roman" w:hAnsi="Times New Roman"/>
                <w:sz w:val="20"/>
              </w:rPr>
              <w:t>French law provides that a shareholder, or a group of shareholders, may initiate a legal action to seek indemnification from the directors of a corporation in the corporation’s interest if it fails to bring such legal action itself. If so, any damages awarded by the court are paid to the corporation and any legal fees relating to such action are borne by the relevant shareholder or the group of shareholders.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plaintiff must remain a shareholder through the duration of the legal action.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There is no other case where shareholders may initiate a derivative action to enforce a right of a corporation.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 shareholder may alternatively or cumulatively bring individual legal action against the directors, provided he has suffered distinct damages from those suffered by the corporation. In this case, any damages awarded by the court are paid to the relevant shareholder.</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left"/>
              <w:rPr>
                <w:rFonts w:ascii="Times New Roman" w:hAnsi="Times New Roman"/>
                <w:sz w:val="20"/>
              </w:rPr>
            </w:pPr>
            <w:r>
              <w:rPr>
                <w:rFonts w:ascii="Times New Roman" w:hAnsi="Times New Roman"/>
                <w:sz w:val="20"/>
              </w:rPr>
              <w:t>Under Delaware law, a stockholder may initiate a derivative action to enforce a right of a corporation if the corporation fails to enforce the right itself. The complaint must: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state that the plaintiff was a stockholder at the time of the transaction of which the plaintiff complains or that the plaintiff’s shares thereafter devolved on the plaintiff by operation of law;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allege with particularity the efforts made by the plaintiff to obtain the action the plaintiff desires from the directors and the reasons for the plaintiff’s failure to obtain the action;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state the reasons for not making the effort.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Additionally, the plaintiff must remain a stockholder through the duration of the derivative suit. The action will not be dismissed or compromised without the approval of the Delaware Court of Chancery.</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Amendment of</w:t>
            </w:r>
          </w:p>
          <w:p>
            <w:pPr>
              <w:pStyle w:val="TableContents"/>
              <w:bidi w:val="0"/>
              <w:spacing w:before="0" w:after="0"/>
              <w:jc w:val="left"/>
              <w:rPr>
                <w:rFonts w:ascii="Times New Roman" w:hAnsi="Times New Roman"/>
                <w:sz w:val="20"/>
              </w:rPr>
            </w:pPr>
            <w:r>
              <w:rPr>
                <w:rFonts w:ascii="Times New Roman" w:hAnsi="Times New Roman"/>
                <w:sz w:val="20"/>
              </w:rPr>
              <w:t>Certificate of</w:t>
            </w:r>
          </w:p>
          <w:p>
            <w:pPr>
              <w:pStyle w:val="TableContents"/>
              <w:bidi w:val="0"/>
              <w:spacing w:before="0" w:after="20"/>
              <w:jc w:val="left"/>
              <w:rPr>
                <w:rFonts w:ascii="Times New Roman" w:hAnsi="Times New Roman"/>
                <w:sz w:val="20"/>
              </w:rPr>
            </w:pPr>
            <w:r>
              <w:rPr>
                <w:rFonts w:ascii="Times New Roman" w:hAnsi="Times New Roman"/>
                <w:sz w:val="20"/>
              </w:rPr>
              <w:t>Incorporation</w:t>
            </w:r>
          </w:p>
        </w:tc>
        <w:tc>
          <w:tcPr>
            <w:tcW w:w="204"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0"/>
              <w:jc w:val="left"/>
              <w:rPr>
                <w:rFonts w:ascii="Times New Roman" w:hAnsi="Times New Roman"/>
                <w:sz w:val="20"/>
              </w:rPr>
            </w:pPr>
            <w:r>
              <w:rPr>
                <w:rFonts w:ascii="Times New Roman" w:hAnsi="Times New Roman"/>
                <w:sz w:val="20"/>
              </w:rPr>
              <w:t>Unlike companies incorporated under Delaware law, the organizational documents, which comprise both a certificate of incorporation and by-laws, companies incorporated under French law only have by-laws (</w:t>
            </w:r>
            <w:r>
              <w:rPr>
                <w:rFonts w:ascii="Times New Roman" w:hAnsi="Times New Roman"/>
                <w:i/>
                <w:sz w:val="20"/>
              </w:rPr>
              <w:t>statuts</w:t>
            </w:r>
            <w:r>
              <w:rPr>
                <w:rFonts w:ascii="Times New Roman" w:hAnsi="Times New Roman"/>
                <w:sz w:val="20"/>
              </w:rPr>
              <w:t>) as organizational documents.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indicated in the paragraph below, only the extraordinary shareholders’ meeting is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left"/>
              <w:rPr>
                <w:rFonts w:ascii="Times New Roman" w:hAnsi="Times New Roman"/>
                <w:sz w:val="20"/>
              </w:rPr>
            </w:pPr>
            <w:r>
              <w:rPr>
                <w:rFonts w:ascii="Times New Roman" w:hAnsi="Times New Roman"/>
                <w:sz w:val="20"/>
              </w:rPr>
              <w:t>Under Delaware law, generally a corporation may amend its certificate of incorporation if:</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its board of directors has adopted a resolution setting forth the amendment proposed and declared its advisability;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amendment is adopted by the affirmative votes of a majority (or greater percentage as may be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203"/>
        <w:gridCol w:w="4185"/>
        <w:gridCol w:w="204"/>
        <w:gridCol w:w="4185"/>
      </w:tblGrid>
      <w:tr>
        <w:trPr/>
        <w:tc>
          <w:tcPr>
            <w:tcW w:w="142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FRANCE</w:t>
            </w:r>
          </w:p>
        </w:tc>
        <w:tc>
          <w:tcPr>
            <w:tcW w:w="204" w:type="dxa"/>
            <w:tcBorders/>
            <w:vAlign w:val="bottom"/>
          </w:tcPr>
          <w:p>
            <w:pPr>
              <w:pStyle w:val="TableContents"/>
              <w:bidi w:val="0"/>
              <w:spacing w:before="0" w:after="283"/>
              <w:jc w:val="left"/>
              <w:rPr/>
            </w:pPr>
            <w:r>
              <w:rPr/>
              <w:t>  </w:t>
            </w:r>
          </w:p>
        </w:tc>
        <w:tc>
          <w:tcPr>
            <w:tcW w:w="4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8"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authorized under French law to adopt or amend the by-laws.</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specified by the corporation) of the outstanding shares entitled to vote on the amendment and a majority (or greater percentage as may be specified by the corporation) of the outstanding shares of each class or series of stock, if any, entitled to vote on the amendment as a class or series.</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Amendment of</w:t>
            </w:r>
          </w:p>
          <w:p>
            <w:pPr>
              <w:pStyle w:val="TableContents"/>
              <w:bidi w:val="0"/>
              <w:spacing w:before="0" w:after="20"/>
              <w:jc w:val="left"/>
              <w:rPr>
                <w:rFonts w:ascii="Times New Roman" w:hAnsi="Times New Roman"/>
                <w:sz w:val="20"/>
              </w:rPr>
            </w:pPr>
            <w:r>
              <w:rPr>
                <w:rFonts w:ascii="Times New Roman" w:hAnsi="Times New Roman"/>
                <w:sz w:val="20"/>
              </w:rPr>
              <w:t>by-laws</w:t>
            </w:r>
          </w:p>
        </w:tc>
        <w:tc>
          <w:tcPr>
            <w:tcW w:w="203"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French law, only the extraordinary shareholders’ meeting is authorized to adopt or amend the by-laws (two-thirds majority). The extraordinary shareholders’ meeting may authorize the board of directors to amend the by-laws to comply with legal provisions, subject to the ratification of such amendments by the next extraordinary shareholders’ meeting. The board of directors is authorized to amend the by-laws as a result of a decision to relocate the company’s registered office in France, subject to ratification by the next ordinary shareholders’ meeting.</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Under Delaware law, the stockholders entitled to vote have the power to adopt, amend or repeal by-laws. A corporation may also confer, in its certificate of incorporation, that power upon the board of directors.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Legal Name; Formation; Registered Office </w:t>
      </w:r>
    </w:p>
    <w:p>
      <w:pPr>
        <w:pStyle w:val="TextBody"/>
        <w:bidi w:val="0"/>
        <w:spacing w:before="120" w:after="0"/>
        <w:jc w:val="left"/>
        <w:rPr>
          <w:rFonts w:ascii="Times New Roman" w:hAnsi="Times New Roman"/>
          <w:sz w:val="20"/>
        </w:rPr>
      </w:pPr>
      <w:r>
        <w:rPr>
          <w:rFonts w:ascii="Times New Roman" w:hAnsi="Times New Roman"/>
          <w:sz w:val="20"/>
        </w:rPr>
        <w:t xml:space="preserve">Our legal name and commercial name is Abivax SA. We were incorporated as a </w:t>
      </w:r>
      <w:r>
        <w:rPr>
          <w:rFonts w:ascii="Times New Roman" w:hAnsi="Times New Roman"/>
          <w:i/>
          <w:sz w:val="20"/>
        </w:rPr>
        <w:t>société anonyme</w:t>
      </w:r>
      <w:r>
        <w:rPr>
          <w:rFonts w:ascii="Times New Roman" w:hAnsi="Times New Roman"/>
          <w:sz w:val="20"/>
        </w:rPr>
        <w:t xml:space="preserve"> (limited liability company) on December 4, 2013. Our headquarters are located at 7-11 boulevard Haussmann, 75009 Paris, France. We were registered at the Paris Trade and Company Register on December 27, 2013 for a period of 99 years until December 22, 2112, subject to extension or early dissolution, under the number 799 363 718. Our telephone number at our principal executive offices is +33 (0) 1 53 83 09 63. Our website address is www.abivax.com. The reference to our website is an inactive textual reference only and information contained in, or that can be assessed through, our website is not part of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ADSs are listed on the Nasdaq Global Market under the symbol “ABVX” and our ordinary shares are listed on Euronext Paris under the symbol “ABVX.”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for our ADSs is Citibank, N.A. Uptevia is our transfer agent and registrar for our ordinary shares and currently maintains our share register for our ordinary shares. The share register reflects only record owners of our ordinary shares. Holders of our ADSs will not be treated as one of our shareholders and their names will therefore not be entered in our share register. The depositary, the custodian or their nominees will be the holder of the shares underlying the ADSs. Holders of our ADSs have a right to receive the ordinary shares underlying their ADSs. For discussion on our ADSs and ADS holder rights, see “Description of American Depositary Shares”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rom86113_9"/>
      <w:bookmarkEnd w:id="11"/>
      <w:r>
        <w:rPr>
          <w:rFonts w:ascii="Times New Roman" w:hAnsi="Times New Roman"/>
          <w:b/>
          <w:sz w:val="20"/>
        </w:rPr>
        <w:t xml:space="preserve">LIMITATIONS AFFECTING SHAREHOLDERS OF A FRENCH COMPANY </w:t>
      </w:r>
    </w:p>
    <w:p>
      <w:pPr>
        <w:pStyle w:val="TextBody"/>
        <w:bidi w:val="0"/>
        <w:spacing w:before="240" w:after="0"/>
        <w:jc w:val="left"/>
        <w:rPr>
          <w:rFonts w:ascii="Times New Roman" w:hAnsi="Times New Roman"/>
          <w:b/>
          <w:sz w:val="20"/>
        </w:rPr>
      </w:pPr>
      <w:r>
        <w:rPr>
          <w:rFonts w:ascii="Times New Roman" w:hAnsi="Times New Roman"/>
          <w:b/>
          <w:sz w:val="20"/>
        </w:rPr>
        <w:t xml:space="preserve">Ownership of ADSs by Non-French Residents </w:t>
      </w:r>
    </w:p>
    <w:p>
      <w:pPr>
        <w:pStyle w:val="TextBody"/>
        <w:bidi w:val="0"/>
        <w:spacing w:before="120" w:after="0"/>
        <w:jc w:val="left"/>
        <w:rPr>
          <w:rFonts w:ascii="Times New Roman" w:hAnsi="Times New Roman"/>
          <w:sz w:val="20"/>
        </w:rPr>
      </w:pPr>
      <w:r>
        <w:rPr>
          <w:rFonts w:ascii="Times New Roman" w:hAnsi="Times New Roman"/>
          <w:sz w:val="20"/>
        </w:rPr>
        <w:t>Neither the French Commercial Code nor our by-laws currently impose any restrictions on the right of non-French residents or non-French shareholders to own and vote shares. However, non-French residents must file a declaration for statistical purposes with the Bank of France (</w:t>
      </w:r>
      <w:r>
        <w:rPr>
          <w:rFonts w:ascii="Times New Roman" w:hAnsi="Times New Roman"/>
          <w:i/>
          <w:sz w:val="20"/>
        </w:rPr>
        <w:t>Banque de France</w:t>
      </w:r>
      <w:r>
        <w:rPr>
          <w:rFonts w:ascii="Times New Roman" w:hAnsi="Times New Roman"/>
          <w:sz w:val="20"/>
        </w:rPr>
        <w:t xml:space="preserve">) within 20 working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Violation of this filing requirement may be sanctioned by five years of imprisonment and a fine of up to twice the amount of the relevant investment. This amount may be increased fivefold if the violation is made by a legal entity. </w:t>
      </w:r>
    </w:p>
    <w:p>
      <w:pPr>
        <w:pStyle w:val="TextBody"/>
        <w:bidi w:val="0"/>
        <w:spacing w:before="240" w:after="0"/>
        <w:jc w:val="left"/>
        <w:rPr>
          <w:rFonts w:ascii="Times New Roman" w:hAnsi="Times New Roman"/>
          <w:sz w:val="20"/>
        </w:rPr>
      </w:pPr>
      <w:r>
        <w:rPr>
          <w:rFonts w:ascii="Times New Roman" w:hAnsi="Times New Roman"/>
          <w:sz w:val="20"/>
        </w:rPr>
        <w:t xml:space="preserve">Further, any investment: </w:t>
      </w:r>
    </w:p>
    <w:p>
      <w:pPr>
        <w:pStyle w:val="TextBody"/>
        <w:bidi w:val="0"/>
        <w:spacing w:before="240" w:after="0"/>
        <w:jc w:val="left"/>
        <w:rPr>
          <w:rFonts w:ascii="Times New Roman" w:hAnsi="Times New Roman"/>
          <w:sz w:val="20"/>
        </w:rPr>
      </w:pPr>
      <w:r>
        <w:rPr>
          <w:rFonts w:ascii="Times New Roman" w:hAnsi="Times New Roman"/>
          <w:sz w:val="20"/>
        </w:rPr>
        <w:t xml:space="preserve">(i) by (a) any non-French citizen, (b) any French citizen not residing in France, (c) any non-French entity or (d) any French entity controlled by one of the aforementioned persons or entities; </w:t>
      </w:r>
    </w:p>
    <w:p>
      <w:pPr>
        <w:pStyle w:val="TextBody"/>
        <w:bidi w:val="0"/>
        <w:spacing w:before="240" w:after="0"/>
        <w:jc w:val="left"/>
        <w:rPr>
          <w:rFonts w:ascii="Times New Roman" w:hAnsi="Times New Roman"/>
          <w:sz w:val="20"/>
        </w:rPr>
      </w:pPr>
      <w:r>
        <w:rPr>
          <w:rFonts w:ascii="Times New Roman" w:hAnsi="Times New Roman"/>
          <w:sz w:val="20"/>
        </w:rPr>
        <w:t xml:space="preserve">(ii) that will result in the relevant investor (a) acquiring control of an entity registered in France, (b) acquiring all or part of a business line of an entity registered in France, or (c) for non-EU or non-EEA investors crossing, directly or indirectly, alone or in concert, a 25% threshold of voting rights in an entity registered in France; and </w:t>
      </w:r>
    </w:p>
    <w:p>
      <w:pPr>
        <w:pStyle w:val="TextBody"/>
        <w:bidi w:val="0"/>
        <w:spacing w:before="240" w:after="0"/>
        <w:jc w:val="left"/>
        <w:rPr>
          <w:rFonts w:ascii="Times New Roman" w:hAnsi="Times New Roman"/>
          <w:sz w:val="20"/>
        </w:rPr>
      </w:pPr>
      <w:r>
        <w:rPr>
          <w:rFonts w:ascii="Times New Roman" w:hAnsi="Times New Roman"/>
          <w:sz w:val="20"/>
        </w:rPr>
        <w:t xml:space="preserve">(iii) developing activities in certain strategic industries related to (a) activity likely to prejudice national defense interests, participating in the exercise of official authority or are likely to prejudice public policy and public security (including weapons, double-use items, IT systems, cryptology, date capturing devices, gambling, toxic agents or storage of data), (b) activities relating to essential infrastructure, goods or services (including energy, water, transportation, space, telecom, public health, farm products, media, and critical raw materials), and (c) research and development activity related to critical technologies (including cybersecurity, artificial intelligence, robotics, additive manufacturing, semiconductors, quantum technologies, energy storage, biotechnologies, low carbon energy or photonics) or dual-use items, is subject to the prior authorization of the French Ministry of Economy, which authorization may be conditioned on certain undertakings. </w:t>
      </w:r>
    </w:p>
    <w:p>
      <w:pPr>
        <w:pStyle w:val="TextBody"/>
        <w:bidi w:val="0"/>
        <w:spacing w:before="240" w:after="0"/>
        <w:jc w:val="left"/>
        <w:rPr>
          <w:rFonts w:ascii="Times New Roman" w:hAnsi="Times New Roman"/>
          <w:sz w:val="20"/>
        </w:rPr>
      </w:pPr>
      <w:r>
        <w:rPr>
          <w:rFonts w:ascii="Times New Roman" w:hAnsi="Times New Roman"/>
          <w:sz w:val="20"/>
        </w:rPr>
        <w:t>The Decree (</w:t>
      </w:r>
      <w:r>
        <w:rPr>
          <w:rFonts w:ascii="Times New Roman" w:hAnsi="Times New Roman"/>
          <w:i/>
          <w:sz w:val="20"/>
        </w:rPr>
        <w:t>décret</w:t>
      </w:r>
      <w:r>
        <w:rPr>
          <w:rFonts w:ascii="Times New Roman" w:hAnsi="Times New Roman"/>
          <w:sz w:val="20"/>
        </w:rPr>
        <w:t>) n° 2023-1293 of December 28, 2023 made permanent the temporary regime under Decree (</w:t>
      </w:r>
      <w:r>
        <w:rPr>
          <w:rFonts w:ascii="Times New Roman" w:hAnsi="Times New Roman"/>
          <w:i/>
          <w:sz w:val="20"/>
        </w:rPr>
        <w:t>décret</w:t>
      </w:r>
      <w:r>
        <w:rPr>
          <w:rFonts w:ascii="Times New Roman" w:hAnsi="Times New Roman"/>
          <w:sz w:val="20"/>
        </w:rPr>
        <w:t>) n° 2020-892 dated July 22, 2020, as amended on December 28, 2020 by the Decree (</w:t>
      </w:r>
      <w:r>
        <w:rPr>
          <w:rFonts w:ascii="Times New Roman" w:hAnsi="Times New Roman"/>
          <w:i/>
          <w:sz w:val="20"/>
        </w:rPr>
        <w:t>décret</w:t>
      </w:r>
      <w:r>
        <w:rPr>
          <w:rFonts w:ascii="Times New Roman" w:hAnsi="Times New Roman"/>
          <w:sz w:val="20"/>
        </w:rPr>
        <w:t>) n° 2020-1729, on December 22, 2021 by the Decree (</w:t>
      </w:r>
      <w:r>
        <w:rPr>
          <w:rFonts w:ascii="Times New Roman" w:hAnsi="Times New Roman"/>
          <w:i/>
          <w:sz w:val="20"/>
        </w:rPr>
        <w:t>décret</w:t>
      </w:r>
      <w:r>
        <w:rPr>
          <w:rFonts w:ascii="Times New Roman" w:hAnsi="Times New Roman"/>
          <w:sz w:val="20"/>
        </w:rPr>
        <w:t>) n° 2021-1758, and on December 23, 2022 by the Decree (</w:t>
      </w:r>
      <w:r>
        <w:rPr>
          <w:rFonts w:ascii="Times New Roman" w:hAnsi="Times New Roman"/>
          <w:i/>
          <w:sz w:val="20"/>
        </w:rPr>
        <w:t>décret</w:t>
      </w:r>
      <w:r>
        <w:rPr>
          <w:rFonts w:ascii="Times New Roman" w:hAnsi="Times New Roman"/>
          <w:sz w:val="20"/>
        </w:rPr>
        <w:t xml:space="preserve">) n° 2022-1622, creating a new 10% threshold of the voting rights for the non-European investments made (i) in an entity with its registered office in France and (ii) whose shares are admitted to trading on a French-, EU- or EEA-regulated market, in addition to the 25% above-mentioned threshold. A fast-track procedure shall apply for any non-European investor exceeding this 10% threshold who will have to notify the Minister of Economy who will then have 10 days to decide whether or not the transaction should be subject to further examination. </w:t>
      </w:r>
    </w:p>
    <w:p>
      <w:pPr>
        <w:pStyle w:val="TextBody"/>
        <w:bidi w:val="0"/>
        <w:spacing w:before="240" w:after="0"/>
        <w:jc w:val="left"/>
        <w:rPr>
          <w:rFonts w:ascii="Times New Roman" w:hAnsi="Times New Roman"/>
          <w:sz w:val="20"/>
        </w:rPr>
      </w:pPr>
      <w:r>
        <w:rPr>
          <w:rFonts w:ascii="Times New Roman" w:hAnsi="Times New Roman"/>
          <w:sz w:val="20"/>
        </w:rPr>
        <w:t xml:space="preserve">In the absence of such authorization, the relevant investment shall be deemed null and void. The relevant investor may be found criminally liable and may be sanctioned with a fine not to exceed the greater of the following amounts: (i) twice the amount of the relevant investment, (ii) 10% of the annual turnover before tax of the target company or (iii) 5 million (for a company) or 1 million (for an individual). </w:t>
      </w:r>
    </w:p>
    <w:p>
      <w:pPr>
        <w:pStyle w:val="TextBody"/>
        <w:bidi w:val="0"/>
        <w:spacing w:before="360" w:after="0"/>
        <w:jc w:val="left"/>
        <w:rPr>
          <w:rFonts w:ascii="Times New Roman" w:hAnsi="Times New Roman"/>
          <w:b/>
          <w:sz w:val="20"/>
        </w:rPr>
      </w:pPr>
      <w:r>
        <w:rPr>
          <w:rFonts w:ascii="Times New Roman" w:hAnsi="Times New Roman"/>
          <w:b/>
          <w:sz w:val="20"/>
        </w:rPr>
        <w:t xml:space="preserve">Foreign Exchange Controls </w:t>
      </w:r>
    </w:p>
    <w:p>
      <w:pPr>
        <w:pStyle w:val="TextBody"/>
        <w:bidi w:val="0"/>
        <w:spacing w:before="120" w:after="0"/>
        <w:jc w:val="left"/>
        <w:rPr>
          <w:rFonts w:ascii="Times New Roman" w:hAnsi="Times New Roman"/>
          <w:sz w:val="20"/>
        </w:rPr>
      </w:pPr>
      <w:r>
        <w:rPr>
          <w:rFonts w:ascii="Times New Roman" w:hAnsi="Times New Roman"/>
          <w:sz w:val="20"/>
        </w:rPr>
        <w:t xml:space="preserve">Under current French foreign exchange control regulations there are no limitations on the amount of cash payments that we may remit to residents of foreign countries. Laws and regulations concerning foreign exchange controls do, however, require that all payments or transfers of funds made by a French resident to a non-resident such as dividend payments be handled by an accredited intermediary. All registered banks and substantially all credit institutions in France are accredited intermediaries.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Availability of Preferential Subscription Rights </w:t>
      </w:r>
    </w:p>
    <w:p>
      <w:pPr>
        <w:pStyle w:val="TextBody"/>
        <w:bidi w:val="0"/>
        <w:spacing w:before="120" w:after="0"/>
        <w:jc w:val="left"/>
        <w:rPr>
          <w:rFonts w:ascii="Times New Roman" w:hAnsi="Times New Roman"/>
          <w:sz w:val="20"/>
        </w:rPr>
      </w:pPr>
      <w:r>
        <w:rPr>
          <w:rFonts w:ascii="Times New Roman" w:hAnsi="Times New Roman"/>
          <w:sz w:val="20"/>
        </w:rPr>
        <w:t xml:space="preserve">While our current shareholders waived their preferential subscription rights with respect to certain offerings at a shareholders’ general meeting held on May 21, 2026, in the future our shareholders will have preferential subscription rights. Under French law, shareholders have preferential rights to subscribe for cash issues of new ordinary shares or other securities giving rights to acquire additional ordinary shares on a pro rata basis. Holders of our securities in the United States (which may be in the form of ordinary shares or ADSs) may not be able to exercise preferential subscription rights for their securities unless a registration statement under the Securities Act is effective with respect to such rights or an exemption from the registration requirements imposed by the Securities Act is available. We may, from time to time, issue new ordinary shares or other securities giving rights to acquire additional ordinary shares (such as warrants) at a time when no registration statement is in effect and no Securities Act exemption is available. If so, holders of our securities in the United States will be unable to exercise any preferential subscription rights and their interests will be diluted. We are under no obligation to file any registration statement in connection with any issuance of new ordinary shares or other securities. We intend to evaluate at the time of any rights offering the costs and potential liabilities associated with registering the rights, as well as the indirect benefits to us of enabling the exercise by holders of ADSs in the United States of the subscription rights, and any other factors we consider appropriate at the time, and then to make a decision as to whether to register the rights. We cannot assure you that we will file a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For holders of our ordinary shares in the form of ADSs, the depositary may make these rights or other distributions available to ADS holders. If the depositary does not make the rights available to ADS holders and determines that it is impractical to sell the rights, it may allow these rights to lapse. In that case the holders will receive no value for them. The section of this prospectus titled “Description of American Depositary Shares” explains in detail the depositary’s responsibility in connection with a rights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rom86113_10"/>
      <w:bookmarkEnd w:id="12"/>
      <w:r>
        <w:rPr>
          <w:rFonts w:ascii="Times New Roman" w:hAnsi="Times New Roman"/>
          <w:b/>
          <w:sz w:val="20"/>
        </w:rPr>
        <w:t xml:space="preserve">DESCRIPTION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Citibank, N.A. (“Citibank”) is the depositary for the ADSs representing our ordinary shares.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Europe plc, located at 1 North Wall Quay, Dublin 1 Ireland. </w:t>
      </w:r>
    </w:p>
    <w:p>
      <w:pPr>
        <w:pStyle w:val="TextBody"/>
        <w:bidi w:val="0"/>
        <w:spacing w:before="240" w:after="0"/>
        <w:jc w:val="left"/>
        <w:rPr>
          <w:rFonts w:ascii="Times New Roman" w:hAnsi="Times New Roman"/>
          <w:sz w:val="20"/>
        </w:rPr>
      </w:pPr>
      <w:r>
        <w:rPr>
          <w:rFonts w:ascii="Times New Roman" w:hAnsi="Times New Roman"/>
          <w:sz w:val="20"/>
        </w:rPr>
        <w:t xml:space="preserve">We have appointed Citibank as depositary pursuant to a deposit agreement. The form of the deposit agreement is on file with the SEC under cover of a registration statement on Form F-6. You may obtain a copy of the deposit agreement from the SEC’s website (www.sec.gov). Please refer to registration number 333-274780 when retrieving such copy. The portions of this summary description that are italicized describe matters that may be relevant to the ownership of ADSs but that may not be contained in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Each ADS represents the right to receive, and to exercise the beneficial ownership interests in, one ordinary share that is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shares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France, which may be different from the laws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 </w:t>
      </w:r>
    </w:p>
    <w:p>
      <w:pPr>
        <w:pStyle w:val="TextBody"/>
        <w:bidi w:val="0"/>
        <w:spacing w:before="240" w:after="0"/>
        <w:jc w:val="left"/>
        <w:rPr>
          <w:rFonts w:ascii="Times New Roman" w:hAnsi="Times New Roman"/>
          <w:sz w:val="20"/>
        </w:rPr>
      </w:pPr>
      <w:r>
        <w:rPr>
          <w:rFonts w:ascii="Times New Roman" w:hAnsi="Times New Roman"/>
          <w:sz w:val="20"/>
        </w:rPr>
        <w:t xml:space="preserve">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manner in which you own the ADSs (e.g., in a brokerage account vs. as registered holder, or as holder of certificated vs. uncertificated ADSs) may affect your rights and obligations, and the manner in which, and extent to which, the depositary’s services are made available to you.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Distributions </w:t>
      </w:r>
    </w:p>
    <w:p>
      <w:pPr>
        <w:pStyle w:val="TextBody"/>
        <w:bidi w:val="0"/>
        <w:spacing w:before="120" w:after="0"/>
        <w:jc w:val="left"/>
        <w:rPr>
          <w:rFonts w:ascii="Times New Roman" w:hAnsi="Times New Roman"/>
          <w:sz w:val="20"/>
        </w:rPr>
      </w:pPr>
      <w:r>
        <w:rPr>
          <w:rFonts w:ascii="Times New Roman" w:hAnsi="Times New Roman"/>
          <w:sz w:val="20"/>
        </w:rPr>
        <w:t xml:space="preserve">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of Cash </w:t>
      </w:r>
    </w:p>
    <w:p>
      <w:pPr>
        <w:pStyle w:val="TextBody"/>
        <w:bidi w:val="0"/>
        <w:spacing w:before="120" w:after="0"/>
        <w:jc w:val="left"/>
        <w:rPr>
          <w:rFonts w:ascii="Times New Roman" w:hAnsi="Times New Roman"/>
          <w:sz w:val="20"/>
        </w:rPr>
      </w:pPr>
      <w:r>
        <w:rPr>
          <w:rFonts w:ascii="Times New Roman" w:hAnsi="Times New Roman"/>
          <w:sz w:val="20"/>
        </w:rPr>
        <w:t xml:space="preserve">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France.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of Shares </w:t>
      </w:r>
    </w:p>
    <w:p>
      <w:pPr>
        <w:pStyle w:val="TextBody"/>
        <w:bidi w:val="0"/>
        <w:spacing w:before="120" w:after="0"/>
        <w:jc w:val="left"/>
        <w:rPr>
          <w:rFonts w:ascii="Times New Roman" w:hAnsi="Times New Roman"/>
          <w:sz w:val="20"/>
        </w:rPr>
      </w:pPr>
      <w:r>
        <w:rPr>
          <w:rFonts w:ascii="Times New Roman" w:hAnsi="Times New Roman"/>
          <w:sz w:val="20"/>
        </w:rPr>
        <w:t xml:space="preserve">Whenever we make a free distribution of ordinary shares for the securities on deposit with the custodian, we will deposit the applicable number of ordinary shares with the custodian. Upon receipt of confirmation of such deposit, the depositary will </w:t>
      </w:r>
      <w:r>
        <w:rPr>
          <w:rFonts w:ascii="Times New Roman" w:hAnsi="Times New Roman"/>
          <w:sz w:val="20"/>
          <w:u w:val="single"/>
        </w:rPr>
        <w:t>either</w:t>
      </w:r>
      <w:r>
        <w:rPr>
          <w:rFonts w:ascii="Times New Roman" w:hAnsi="Times New Roman"/>
          <w:sz w:val="20"/>
        </w:rPr>
        <w:t xml:space="preserve"> distribute to holders new ADSs representing the ordinary shares deposited </w:t>
      </w:r>
      <w:r>
        <w:rPr>
          <w:rFonts w:ascii="Times New Roman" w:hAnsi="Times New Roman"/>
          <w:sz w:val="20"/>
          <w:u w:val="single"/>
        </w:rPr>
        <w:t>or</w:t>
      </w:r>
      <w:r>
        <w:rPr>
          <w:rFonts w:ascii="Times New Roman" w:hAnsi="Times New Roman"/>
          <w:sz w:val="20"/>
        </w:rPr>
        <w:t xml:space="preserve">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 </w:t>
      </w:r>
    </w:p>
    <w:p>
      <w:pPr>
        <w:pStyle w:val="TextBody"/>
        <w:bidi w:val="0"/>
        <w:spacing w:before="240" w:after="0"/>
        <w:jc w:val="left"/>
        <w:rPr>
          <w:rFonts w:ascii="Times New Roman" w:hAnsi="Times New Roman"/>
          <w:sz w:val="20"/>
        </w:rPr>
      </w:pPr>
      <w:r>
        <w:rPr>
          <w:rFonts w:ascii="Times New Roman" w:hAnsi="Times New Roman"/>
          <w:sz w:val="20"/>
        </w:rPr>
        <w:t>No such distribution of new ADSs will be made if it would violate a law (</w:t>
      </w:r>
      <w:r>
        <w:rPr>
          <w:rFonts w:ascii="Times New Roman" w:hAnsi="Times New Roman"/>
          <w:i/>
          <w:sz w:val="20"/>
        </w:rPr>
        <w:t>e.g.</w:t>
      </w:r>
      <w:r>
        <w:rPr>
          <w:rFonts w:ascii="Times New Roman" w:hAnsi="Times New Roman"/>
          <w:sz w:val="20"/>
        </w:rPr>
        <w:t xml:space="preserve">,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of Rights </w:t>
      </w:r>
    </w:p>
    <w:p>
      <w:pPr>
        <w:pStyle w:val="TextBody"/>
        <w:bidi w:val="0"/>
        <w:spacing w:before="120" w:after="0"/>
        <w:jc w:val="left"/>
        <w:rPr>
          <w:rFonts w:ascii="Times New Roman" w:hAnsi="Times New Roman"/>
          <w:sz w:val="20"/>
        </w:rPr>
      </w:pPr>
      <w:r>
        <w:rPr>
          <w:rFonts w:ascii="Times New Roman" w:hAnsi="Times New Roman"/>
          <w:sz w:val="20"/>
        </w:rPr>
        <w:t xml:space="preserve">Whenever we intend to distribute rights to subscribe for additional ordinary shares, we will give prior notice to the depositary and we will assist the depositary in determining whether it is lawful and reasonably practicable to distribute rights to subscribe for additional ADSs to holders.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ordinary shares other than in the form of ADSs.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w:t>
      </w:r>
      <w:r>
        <w:rPr>
          <w:rFonts w:ascii="Times New Roman" w:hAnsi="Times New Roman"/>
          <w:i/>
          <w:sz w:val="20"/>
        </w:rPr>
        <w:t>not</w:t>
      </w:r>
      <w:r>
        <w:rPr>
          <w:rFonts w:ascii="Times New Roman" w:hAnsi="Times New Roman"/>
          <w:sz w:val="20"/>
        </w:rPr>
        <w:t xml:space="preserve"> distribute the rights to you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timely request that the rights be distributed to you or we request that the rights not be distributed to you;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deliver satisfactory documents to the depositary;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reasonably practicable to distribute the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 </w:t>
      </w:r>
    </w:p>
    <w:p>
      <w:pPr>
        <w:pStyle w:val="TextBody"/>
        <w:bidi w:val="0"/>
        <w:spacing w:before="360" w:after="0"/>
        <w:jc w:val="left"/>
        <w:rPr>
          <w:rFonts w:ascii="Times New Roman" w:hAnsi="Times New Roman"/>
          <w:b/>
          <w:i/>
          <w:sz w:val="20"/>
        </w:rPr>
      </w:pPr>
      <w:r>
        <w:rPr>
          <w:rFonts w:ascii="Times New Roman" w:hAnsi="Times New Roman"/>
          <w:b/>
          <w:i/>
          <w:sz w:val="20"/>
        </w:rPr>
        <w:t xml:space="preserve">Elective Distributions </w:t>
      </w:r>
    </w:p>
    <w:p>
      <w:pPr>
        <w:pStyle w:val="TextBody"/>
        <w:bidi w:val="0"/>
        <w:spacing w:before="120" w:after="0"/>
        <w:jc w:val="left"/>
        <w:rPr>
          <w:rFonts w:ascii="Times New Roman" w:hAnsi="Times New Roman"/>
          <w:sz w:val="20"/>
        </w:rPr>
      </w:pPr>
      <w:r>
        <w:rPr>
          <w:rFonts w:ascii="Times New Roman" w:hAnsi="Times New Roman"/>
          <w:sz w:val="20"/>
        </w:rPr>
        <w:t xml:space="preserve">Whenever we intend to distribute a dividend payable at the election of shareholders either in cash or in additional shares, we will give prior notice thereof to the depositary and will indicate whether we wish the elective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to be made available to you. In such case, we will assist the depositary in determining whether such distribution is lawful and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the election is not made available to you, you will receive either cash or additional ADSs, depending on what a shareholder in France would receive upon failing to make an election, as more fully described in the deposit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Whenever we intend to distribute property other than cash, ordinary shares or rights to subscribe for additional ordinary shares, we will notify the depositary in advance and will indicate whether we wish such distribution to be made to you. If so, we will assist the depositary in determining whether such distribution to holders is lawful and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If it is reasonably practicable to distribute such property to you and if we provide to the depositary all of the documentation contemplated in the deposit agreement, the depositary will distribute the property to the holders in a manner it deems practicable.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will be made net of fees, expenses, taxes and governmental charges payable by holders under the terms of the deposit agreement. In order to pay such taxes and governmental charges, the depositary may sell all or a portion of the property received.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w:t>
      </w:r>
      <w:r>
        <w:rPr>
          <w:rFonts w:ascii="Times New Roman" w:hAnsi="Times New Roman"/>
          <w:i/>
          <w:sz w:val="20"/>
        </w:rPr>
        <w:t>not</w:t>
      </w:r>
      <w:r>
        <w:rPr>
          <w:rFonts w:ascii="Times New Roman" w:hAnsi="Times New Roman"/>
          <w:sz w:val="20"/>
        </w:rPr>
        <w:t xml:space="preserve"> distribute the property to you and will sell the property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request that the property be distributed to you or if we request that the property not be distributed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deliver satisfactory documents to the depositary;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determines that all or a portion of the distribution to you is not reasonably practicable.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proceeds of such a sale will be distributed to holders as in the case of a cash distribution.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 </w:t>
      </w:r>
    </w:p>
    <w:p>
      <w:pPr>
        <w:pStyle w:val="TextBody"/>
        <w:bidi w:val="0"/>
        <w:spacing w:before="240" w:after="0"/>
        <w:jc w:val="left"/>
        <w:rPr>
          <w:rFonts w:ascii="Times New Roman" w:hAnsi="Times New Roman"/>
          <w:sz w:val="20"/>
        </w:rPr>
      </w:pPr>
      <w:r>
        <w:rPr>
          <w:rFonts w:ascii="Times New Roman" w:hAnsi="Times New Roman"/>
          <w:sz w:val="20"/>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Times New Roman" w:hAnsi="Times New Roman"/>
          <w:i/>
          <w:sz w:val="20"/>
        </w:rPr>
        <w:t>pro rata</w:t>
      </w:r>
      <w:r>
        <w:rPr>
          <w:rFonts w:ascii="Times New Roman" w:hAnsi="Times New Roman"/>
          <w:sz w:val="20"/>
        </w:rPr>
        <w:t xml:space="preserve"> basis, as the depositary may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Changes Affecting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our assets. </w:t>
      </w:r>
    </w:p>
    <w:p>
      <w:pPr>
        <w:pStyle w:val="TextBody"/>
        <w:bidi w:val="0"/>
        <w:spacing w:before="240" w:after="0"/>
        <w:jc w:val="left"/>
        <w:rPr>
          <w:rFonts w:ascii="Times New Roman" w:hAnsi="Times New Roman"/>
          <w:sz w:val="20"/>
        </w:rPr>
      </w:pPr>
      <w:r>
        <w:rPr>
          <w:rFonts w:ascii="Times New Roman" w:hAnsi="Times New Roman"/>
          <w:sz w:val="20"/>
        </w:rPr>
        <w:t xml:space="preserve">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ADSs upon Deposit of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an offering of ordinary shares pursuant to this prospectus, the ordinary shares being offered pursuant to the prospectus will be deposited by us with the custodian. Upon receipt of confirmation of such deposit, the depositary will issue ADSs pursuant to our instruction.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French legal considerations applicable at the time of deposit.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ADSs may be delayed until the depositary or the custodian receives confirmation that all required approvals have been given and that the ordinary shares have been duly transferred to the custodian. The depositary will only issue ADSs in whole numbers. </w:t>
      </w:r>
    </w:p>
    <w:p>
      <w:pPr>
        <w:pStyle w:val="TextBody"/>
        <w:bidi w:val="0"/>
        <w:spacing w:before="240" w:after="0"/>
        <w:jc w:val="left"/>
        <w:rPr>
          <w:rFonts w:ascii="Times New Roman" w:hAnsi="Times New Roman"/>
          <w:sz w:val="20"/>
        </w:rPr>
      </w:pPr>
      <w:r>
        <w:rPr>
          <w:rFonts w:ascii="Times New Roman" w:hAnsi="Times New Roman"/>
          <w:sz w:val="20"/>
        </w:rPr>
        <w:t xml:space="preserve">When you make a deposit of ordinary shares, you will be responsible for transferring good and valid title to the depositary. As such, you will be deemed to represent and warrant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ordinary shares are duly authorized, validly issued, fully paid, non-assessable and legally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preemptive (and similar) rights, if any, with respect to such ordinary shares have been validly waived or exercised.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duly authorized to deposit the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ordinary shares presented for deposit are free and clear of any lien, encumbrance, security interest, charge, mortgage or adverse claim, and are not, and the ADSs issuable upon such deposit will not be, “restricted securities” (as defined in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ordinary shares presented for deposit have not been stripped of any rights or entitlements.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 representations or warranties are incorrect in any way, we and the depositary may, at your cost and expense, take any and all actions necessary to correct the consequences of the misrepresentations.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Combination, and Split Up of ADRs </w:t>
      </w:r>
    </w:p>
    <w:p>
      <w:pPr>
        <w:pStyle w:val="TextBody"/>
        <w:bidi w:val="0"/>
        <w:spacing w:before="120" w:after="0"/>
        <w:jc w:val="left"/>
        <w:rPr>
          <w:rFonts w:ascii="Times New Roman" w:hAnsi="Times New Roman"/>
          <w:sz w:val="20"/>
        </w:rPr>
      </w:pPr>
      <w:r>
        <w:rPr>
          <w:rFonts w:ascii="Times New Roman" w:hAnsi="Times New Roman"/>
          <w:sz w:val="20"/>
        </w:rPr>
        <w:t xml:space="preserve">As an ADR holder, you will be entitled to transfer, combine or split up your ADRs and the ADSs evidenced thereby. For transfers of ADRs, you will have to surrender the ADRs to be transferred to the depositary and also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ensure that the surrendered ADR is properly endorsed or otherwise in proper form for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such proof of identity and genuineness of signatures as the depositary deems appropriate;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any transfer stamps required by the State of New York or the United States;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all applicable fees, charges, expenses, taxes and other government charges payable by ADR holders pursuant to the terms of the deposit agreement, upon the transfer of ADRs.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Ordinary Shares Upon Cancellation of ADSs </w:t>
      </w:r>
    </w:p>
    <w:p>
      <w:pPr>
        <w:pStyle w:val="TextBody"/>
        <w:bidi w:val="0"/>
        <w:spacing w:before="120" w:after="0"/>
        <w:jc w:val="left"/>
        <w:rPr>
          <w:rFonts w:ascii="Times New Roman" w:hAnsi="Times New Roman"/>
          <w:sz w:val="20"/>
        </w:rPr>
      </w:pPr>
      <w:r>
        <w:rPr>
          <w:rFonts w:ascii="Times New Roman" w:hAnsi="Times New Roman"/>
          <w:sz w:val="20"/>
        </w:rPr>
        <w:t xml:space="preserve">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French legal considerations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 </w:t>
      </w:r>
    </w:p>
    <w:p>
      <w:pPr>
        <w:pStyle w:val="TextBody"/>
        <w:bidi w:val="0"/>
        <w:spacing w:before="240" w:after="0"/>
        <w:jc w:val="left"/>
        <w:rPr>
          <w:rFonts w:ascii="Times New Roman" w:hAnsi="Times New Roman"/>
          <w:sz w:val="20"/>
        </w:rPr>
      </w:pPr>
      <w:r>
        <w:rPr>
          <w:rFonts w:ascii="Times New Roman" w:hAnsi="Times New Roman"/>
          <w:sz w:val="20"/>
        </w:rPr>
        <w:t xml:space="preserve">You will have the right to withdraw the securities represented by your ADSs at any time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Temporary delays that may arise because (i) the transfer books for the ordinary shares or ADSs are closed, or (ii) ordinary shares are immobilized on account of a shareholders’ meeting or a payment of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to pay fees, taxes and similar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imposed because of laws or regulations applicable to ADSs or the withdrawal of securities on deposit.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deposit agreement may not be modified to impair your right to withdraw the securities represented by your ADSs except to comply with mandatory provisions of law.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As a holder, you generally have the right under the deposit agreement to instruct the depositary to exercise the voting rights for the ordinary shares represented by your ADSs. The voting rights of holders of ordinary shares are described in the sections of this prospectus entitled “Description of Share Capital” and “Limitations Affecting Shareholders of a French Company.” </w:t>
      </w:r>
    </w:p>
    <w:p>
      <w:pPr>
        <w:pStyle w:val="TextBody"/>
        <w:bidi w:val="0"/>
        <w:spacing w:before="240" w:after="0"/>
        <w:jc w:val="left"/>
        <w:rPr>
          <w:rFonts w:ascii="Times New Roman" w:hAnsi="Times New Roman"/>
          <w:sz w:val="20"/>
        </w:rPr>
      </w:pPr>
      <w:r>
        <w:rPr>
          <w:rFonts w:ascii="Times New Roman" w:hAnsi="Times New Roman"/>
          <w:sz w:val="20"/>
        </w:rPr>
        <w:t xml:space="preserve">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timely receives voting instructions from a holder of ADSs, it will endeavor to vote the securities (in person or by proxy) represented by the holder’s ADSs in accordance with such voting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Charges </w:t>
      </w:r>
    </w:p>
    <w:p>
      <w:pPr>
        <w:pStyle w:val="TextBody"/>
        <w:bidi w:val="0"/>
        <w:spacing w:before="120" w:after="0"/>
        <w:jc w:val="left"/>
        <w:rPr>
          <w:rFonts w:ascii="Times New Roman" w:hAnsi="Times New Roman"/>
          <w:sz w:val="20"/>
        </w:rPr>
      </w:pPr>
      <w:r>
        <w:rPr>
          <w:rFonts w:ascii="Times New Roman" w:hAnsi="Times New Roman"/>
          <w:sz w:val="20"/>
        </w:rPr>
        <w:t xml:space="preserve">As an ADS holder, you will be required to pay the following fees under the terms of the deposit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Service</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Fees</w:t>
            </w:r>
          </w:p>
        </w:tc>
      </w:tr>
      <w:tr>
        <w:trPr/>
        <w:tc>
          <w:tcPr>
            <w:tcW w:w="5204" w:type="dxa"/>
            <w:tcBorders/>
          </w:tcPr>
          <w:p>
            <w:pPr>
              <w:pStyle w:val="TableContents"/>
              <w:bidi w:val="0"/>
              <w:spacing w:before="0" w:after="283"/>
              <w:jc w:val="left"/>
              <w:rPr/>
            </w:pPr>
            <w:r>
              <w:rPr/>
              <w:t>Issuance of ADSs (e.g., an issuance of ADS upon a deposit of ordinary shares, upon a change in the ADS(s)-to-ordinary share ratio, or for any other reason), excluding ADS issuances as a result of distributions of ordinary shares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issued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Cancellation of ADSs (e.g., a cancellation of ADSs for delivery of deposited property, upon a change in the ADS(s)-to ordinary share ratio, or for any other reason)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cancelled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Distribution of cash dividends or other cash distributions (e.g., upon a sale of rights and other entitlements)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held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Distribution of ADSs pursuant to (i) share dividends or other free share distributions, or (ii) exercise of rights to purchase additional ADSs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held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Distribution of securities other than ADSs or rights to purchase additional ADSs (e.g., upon a spin-off)</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held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ADS Services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held on the applicable record date(s) established by the depositary</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 xml:space="preserve">Registration of ADS transfers (e.g., upon a registration of the transfer of registered ownership of ADSs, upon a transfer of ADSs into DTC and </w:t>
            </w:r>
            <w:r>
              <w:rPr>
                <w:i/>
              </w:rPr>
              <w:t>vice versa</w:t>
            </w:r>
            <w:r>
              <w:rPr/>
              <w:t>, or for any other reason)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(or fraction thereof) transferred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i/>
              </w:rPr>
              <w:t>vice versa</w:t>
            </w:r>
            <w:r>
              <w:rPr/>
              <w: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U.S. 5¢ per ADS (or fraction thereof) converted</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an ADS holder, you will also be responsible to pay certain charges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taxes (including applicable interest and penalties) and other governmental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cable, telex and facsimile transmission and delivery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fees, expenses, spreads, taxes and other charges of the depositary and/or service providers (which may be a division, branch or affiliate of the depositary) in the conversion of foreign currency;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reasonable and customary out-of-pocket expenses incurred by the depositary in connection with compliance with exchange control regulations and other regulatory requirements applicable to ordinary shares, ADSs and ADRs;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fees, charges, costs and expenses incurred by the depositary, the custodian, or any nominee in connection with the ADR program.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an offering of ADSs pursuant to this prospectus.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We may agree with the depositary to modify the deposit agreement at any time without your consent. We undertake to give holders of ADSs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 </w:t>
      </w:r>
    </w:p>
    <w:p>
      <w:pPr>
        <w:pStyle w:val="TextBody"/>
        <w:bidi w:val="0"/>
        <w:spacing w:before="240" w:after="0"/>
        <w:jc w:val="left"/>
        <w:rPr>
          <w:rFonts w:ascii="Times New Roman" w:hAnsi="Times New Roman"/>
          <w:sz w:val="20"/>
        </w:rPr>
      </w:pPr>
      <w:r>
        <w:rPr>
          <w:rFonts w:ascii="Times New Roman" w:hAnsi="Times New Roman"/>
          <w:sz w:val="20"/>
        </w:rPr>
        <w:t xml:space="preserve">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 </w:t>
      </w:r>
    </w:p>
    <w:p>
      <w:pPr>
        <w:pStyle w:val="TextBody"/>
        <w:bidi w:val="0"/>
        <w:spacing w:before="240" w:after="0"/>
        <w:jc w:val="left"/>
        <w:rPr>
          <w:rFonts w:ascii="Times New Roman" w:hAnsi="Times New Roman"/>
          <w:sz w:val="20"/>
        </w:rPr>
      </w:pPr>
      <w:r>
        <w:rPr>
          <w:rFonts w:ascii="Times New Roman" w:hAnsi="Times New Roman"/>
          <w:sz w:val="20"/>
        </w:rPr>
        <w:t xml:space="preserve">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termination of the deposit agreement, the depositary may make available to owners of ADSs a means to withdraw the ordinary shares represented by ADSs and to direct the depositary of such ordinary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w:t>
      </w:r>
    </w:p>
    <w:p>
      <w:pPr>
        <w:pStyle w:val="TextBody"/>
        <w:bidi w:val="0"/>
        <w:spacing w:before="360" w:after="0"/>
        <w:jc w:val="left"/>
        <w:rPr>
          <w:rFonts w:ascii="Times New Roman" w:hAnsi="Times New Roman"/>
          <w:b/>
          <w:sz w:val="20"/>
        </w:rPr>
      </w:pPr>
      <w:r>
        <w:rPr>
          <w:rFonts w:ascii="Times New Roman" w:hAnsi="Times New Roman"/>
          <w:b/>
          <w:sz w:val="20"/>
        </w:rPr>
        <w:t xml:space="preserve">Books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maintain in New York facilities to record and process the issuance, cancellation, combination, split-up and transfer of ADSs. These facilities may be closed from time to time, to the extent not prohibited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Transmission of Notices, Reports and Proxy Soliciting Material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also provide to you copies of those communications or otherwise make those communications available to you if we ask it to.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Obligations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limits our obligations and the depositary’s obligations to you. Please note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are obligated only to take the actions specifically stated in the deposit agreement without negligence or bad faith.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disclaims any liability for any failure to carry out voting instructions, for any manner in which a vote is cast or for the effect of any vote, provided it acts in good faith and in accordance with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disclaims any liability for any failure to accurately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or other deposited property, for the credit-worthiness of any third party, for allowing any rights to lapse under the terms of the deposit agreement, for the timeliness of any of our notices or for our failure to give notice or for any act or omission of or information provided by DTC or any DTC participant.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shall not be liable for acts or omissions of any successor depositary in connection with any matter arising wholly after the resignation or removal of the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will not be obligated to perform any act that is inconsistent with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our by-laws, or any provision of or governing the securities on deposit, or by reason of any act of God or war or other circumstances beyond 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disclaim any liability by reason of any exercise of, or failure to exercise, any discretion provided for in the deposit agreement or in our by-laws or in any provisions of or governing the securities on deposit.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also disclaim liability for the inability by a holder or beneficial holder to benefit from any distribution, offering, right or other benefit that is made available to holders of ordinary shares but is not, under the terms of the deposit agreement, made available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may rely without any liability upon any written notice, request or other document believed to be genuine and to have been signed or presented by the proper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depositary also disclaim liability for any consequential or punitive damages for any breach of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disclaimer of any Securities Act liability is intended by any provision of the deposit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Nothing in the deposit agreement gives rise to a partnership or joint venture, or establishes a fiduciary relationship, among us, the depositary and you as ADS holder. </w:t>
      </w:r>
    </w:p>
    <w:p>
      <w:pPr>
        <w:pStyle w:val="TextBody"/>
        <w:bidi w:val="0"/>
        <w:spacing w:before="240" w:after="0"/>
        <w:jc w:val="left"/>
        <w:rPr>
          <w:rFonts w:ascii="Times New Roman" w:hAnsi="Times New Roman"/>
          <w:sz w:val="20"/>
        </w:rPr>
      </w:pPr>
      <w:r>
        <w:rPr>
          <w:rFonts w:ascii="Times New Roman" w:hAnsi="Times New Roman"/>
          <w:sz w:val="20"/>
        </w:rPr>
        <w:t xml:space="preserve">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 </w:t>
      </w:r>
    </w:p>
    <w:p>
      <w:pPr>
        <w:pStyle w:val="TextBody"/>
        <w:bidi w:val="0"/>
        <w:spacing w:before="240" w:after="0"/>
        <w:jc w:val="left"/>
        <w:rPr>
          <w:rFonts w:ascii="Times New Roman" w:hAnsi="Times New Roman"/>
          <w:i/>
          <w:sz w:val="20"/>
        </w:rPr>
      </w:pPr>
      <w:r>
        <w:rPr>
          <w:rFonts w:ascii="Times New Roman" w:hAnsi="Times New Roman"/>
          <w:i/>
          <w:sz w:val="20"/>
        </w:rPr>
        <w:t xml:space="preserve">As the above limitations relate to our obligations and the depositary’s obligations to you under the deposit agreement, we believe that, as a matter of construction of the clause, such limitations would likely to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 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Taxes </w:t>
      </w:r>
    </w:p>
    <w:p>
      <w:pPr>
        <w:pStyle w:val="TextBody"/>
        <w:bidi w:val="0"/>
        <w:spacing w:before="120" w:after="0"/>
        <w:jc w:val="left"/>
        <w:rPr>
          <w:rFonts w:ascii="Times New Roman" w:hAnsi="Times New Roman"/>
          <w:sz w:val="20"/>
        </w:rPr>
      </w:pPr>
      <w:r>
        <w:rPr>
          <w:rFonts w:ascii="Times New Roman" w:hAnsi="Times New Roman"/>
          <w:sz w:val="20"/>
        </w:rPr>
        <w:t xml:space="preserve">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 </w:t>
      </w:r>
    </w:p>
    <w:p>
      <w:pPr>
        <w:pStyle w:val="TextBody"/>
        <w:bidi w:val="0"/>
        <w:spacing w:before="360" w:after="0"/>
        <w:jc w:val="left"/>
        <w:rPr>
          <w:rFonts w:ascii="Times New Roman" w:hAnsi="Times New Roman"/>
          <w:b/>
          <w:sz w:val="20"/>
        </w:rPr>
      </w:pPr>
      <w:r>
        <w:rPr>
          <w:rFonts w:ascii="Times New Roman" w:hAnsi="Times New Roman"/>
          <w:b/>
          <w:sz w:val="20"/>
        </w:rPr>
        <w:t xml:space="preserve">Foreign Currency Conversion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If the conversion of foreign currency is not practical or lawful, or if any required approvals are denied or not obtainable at a reasonable cost or within a reasonable period, the depositary may take the following actions in its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 the foreign currency to the extent practical and lawful and distribute the U.S. dollars to the holders for whom the conversion and distribution is lawful and practical.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Distribute the foreign currency to holders for whom the distribution is lawful and practical.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the foreign currency (without liability for interest) for the applicable holders.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Governing Law/Waiver of Jury Trial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the ADRs and the ADSs will be interpreted in accordance with the laws of the State of New York. The rights of holders of ordinary shares (including ordinary shares represented by ADSs) are governed by the laws of France. </w:t>
      </w:r>
    </w:p>
    <w:p>
      <w:pPr>
        <w:pStyle w:val="TextBody"/>
        <w:bidi w:val="0"/>
        <w:spacing w:before="240" w:after="0"/>
        <w:jc w:val="left"/>
        <w:rPr>
          <w:rFonts w:ascii="Times New Roman" w:hAnsi="Times New Roman"/>
          <w:sz w:val="20"/>
        </w:rPr>
      </w:pPr>
      <w:r>
        <w:rPr>
          <w:rFonts w:ascii="Times New Roman" w:hAnsi="Times New Roman"/>
          <w:sz w:val="20"/>
        </w:rPr>
        <w:t xml:space="preserve">As an owner of ADSs, you irrevocably agree that any legal action arising out of the Deposit Agreement, the ADSs or the ADRs involving us or the Depositary may only be instituted in a state or federal court in the city of New York and irrevocably waive any objection to the laying of venue in, and irrevocably submit to the exclusive jurisdiction of, such courts in any such legal action. </w:t>
      </w:r>
    </w:p>
    <w:p>
      <w:pPr>
        <w:pStyle w:val="TextBody"/>
        <w:bidi w:val="0"/>
        <w:spacing w:before="240" w:after="0"/>
        <w:jc w:val="left"/>
        <w:rPr>
          <w:rFonts w:ascii="Times New Roman" w:hAnsi="Times New Roman"/>
          <w:b/>
          <w:sz w:val="20"/>
        </w:rPr>
      </w:pPr>
      <w:r>
        <w:rPr>
          <w:rFonts w:ascii="Times New Roman" w:hAnsi="Times New Roman"/>
          <w:b/>
          <w:sz w:val="20"/>
        </w:rPr>
        <w:t xml:space="preserve">AS A PARTY TO THE DEPOSIT AGREEMENT, YOU IRREVOCABLY WAIVE, TO THE FULLEST EXTENT PERMITTED BY APPLICABLE LAW, YOUR RIGHT TO TRIAL BY JURY IN ANY LEGAL PROCEEDING ARISING OUT OF THE DEPOSIT AGREEMENT OR THE ADRs AGAINST US AND/OR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w:t>
      </w:r>
      <w:r>
        <w:rPr>
          <w:rFonts w:ascii="Times New Roman" w:hAnsi="Times New Roman"/>
          <w:i/>
          <w:sz w:val="20"/>
        </w:rPr>
        <w:t>If we or the depositary opposed a jury trial demand based on the waiver, the court would determine whether the waiver was enforceable</w:t>
      </w:r>
      <w:r>
        <w:rPr>
          <w:rFonts w:ascii="Times New Roman" w:hAnsi="Times New Roman"/>
          <w:sz w:val="20"/>
        </w:rPr>
        <w:t xml:space="preserve"> </w:t>
      </w:r>
      <w:r>
        <w:rPr>
          <w:rFonts w:ascii="Times New Roman" w:hAnsi="Times New Roman"/>
          <w:i/>
          <w:sz w:val="20"/>
        </w:rPr>
        <w:t>in the</w:t>
      </w:r>
      <w:r>
        <w:rPr>
          <w:rFonts w:ascii="Times New Roman" w:hAnsi="Times New Roman"/>
          <w:sz w:val="20"/>
        </w:rPr>
        <w:t xml:space="preserve"> </w:t>
      </w:r>
      <w:r>
        <w:rPr>
          <w:rFonts w:ascii="Times New Roman" w:hAnsi="Times New Roman"/>
          <w:i/>
          <w:sz w:val="20"/>
        </w:rPr>
        <w:t>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rom86113_11"/>
      <w:bookmarkEnd w:id="13"/>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Warrants (</w:t>
      </w:r>
      <w:r>
        <w:rPr>
          <w:rFonts w:ascii="Times New Roman" w:hAnsi="Times New Roman"/>
          <w:i/>
          <w:sz w:val="20"/>
        </w:rPr>
        <w:t>bons de souscription d’actions)</w:t>
      </w:r>
      <w:r>
        <w:rPr>
          <w:rFonts w:ascii="Times New Roman" w:hAnsi="Times New Roman"/>
          <w:sz w:val="20"/>
        </w:rPr>
        <w:t xml:space="preserve"> may be offered separately or together with ordinary shares or ADSs. Each series of warrants will be issued under any separate warrant agreement to be entered into between us and one or more purchasers of such warrants. The applicable prospectus supplement will include details of the warrant agreements and terms and conditions covering the warrants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each issue or series of warrants will be described in the related prospectus supplement. If warrants for the purchase of ordinary shares or ADSs are offered, the description will include,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warrants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 in which the warrants are denominated;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ordinary shares or ADSs that may be purchased upon exercise of each warrant and the price at which and currency or currencies in which that amount of ordinary shares or ADSs may be purchased upon exercise of each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or after which the warrants and the related ordinary shares or ADSs will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minimum or maximum amount, if any, of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subject to redemption or call, and, if so, the terms of such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conditions and rights (or limitations on such rights)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reserve the right to set forth in a prospectus supplement or applicable free writing prospectus specific terms of the warrants that are not within the options and parameters set forth in this prospectus. In addition, to the extent that any particular terms and conditions of the warrants described in a prospectus supplement or applicable free writing prospectus differ from any of the terms described in this prospectus, the description of such terms and conditions set forth in this prospectus shall be deemed to have been superseded or supplemented by the description of such differing terms and conditions set forth in such prospectus supplement or applicable free writing prospectus with respect to such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rom86113_12"/>
      <w:bookmarkEnd w:id="14"/>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in certain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and, if requested, provided the trustee indemnity or security satisfactory to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(it being understood that the trustee shall have no obligation to determine whether any action is prejudicial to the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and, if requested, provided to the trustee indemnity or security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and the trustee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and, if requested, provided security and indemnity satisfactory to the trustee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abandoned property law, 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except to the extent that the Trust Indenture Act of 1939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rom86113_13"/>
      <w:bookmarkEnd w:id="15"/>
      <w:r>
        <w:rPr>
          <w:rFonts w:ascii="Times New Roman" w:hAnsi="Times New Roman"/>
          <w:b/>
          <w:sz w:val="20"/>
        </w:rPr>
        <w:t xml:space="preserve">TAXATION </w:t>
      </w:r>
    </w:p>
    <w:p>
      <w:pPr>
        <w:pStyle w:val="TextBody"/>
        <w:bidi w:val="0"/>
        <w:spacing w:before="240" w:after="0"/>
        <w:jc w:val="left"/>
        <w:rPr>
          <w:rFonts w:ascii="Times New Roman" w:hAnsi="Times New Roman"/>
          <w:sz w:val="20"/>
        </w:rPr>
      </w:pPr>
      <w:r>
        <w:rPr>
          <w:rFonts w:ascii="Times New Roman" w:hAnsi="Times New Roman"/>
          <w:sz w:val="20"/>
        </w:rPr>
        <w:t xml:space="preserve">The material French and U.S. federal income tax consequences relating to the purchase, ownership, conversion and, as applicable, disposition of any of the securities offered by this prospectus will be set forth in the prospectus supplement pertaining to those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rom86113_14"/>
      <w:bookmarkEnd w:id="1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our ordinary shares, including ordinary shares represented by the ADSs, and certain other matters governed by French law will be passed on for us by Orrick, Herrington &amp; Sutcliffe (Europe) LLP, Paris, France. Unless otherwise indicated in any prospectus supplement, Cooley LLP, New York, New York, will be representing us in regards to certain matters governed by U.S. law in connection with any offering. Additional legal matters may be passed upon for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17" w:name="rom86113_15"/>
      <w:bookmarkEnd w:id="1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incorporated in this prospectus by reference to our Annual Report on Form 20-F for the year ended December 31, 2025 have been so incorporated in reliance on the report of PricewaterhouseCoopers Audit, an independent registered public accounting firm, given 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offices of PricewaterhouseCoopers Audit are located at 63, rue de Villiers, 92208 Neuilly-sur-Seine, France.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rom86113_16"/>
      <w:bookmarkEnd w:id="18"/>
      <w:r>
        <w:rPr>
          <w:rFonts w:ascii="Times New Roman" w:hAnsi="Times New Roman"/>
          <w:b/>
          <w:sz w:val="20"/>
        </w:rPr>
        <w:t xml:space="preserve">ENFORCEMENT OF CIVIL LIABILITIES </w:t>
      </w:r>
    </w:p>
    <w:p>
      <w:pPr>
        <w:pStyle w:val="TextBody"/>
        <w:bidi w:val="0"/>
        <w:spacing w:before="240" w:after="0"/>
        <w:jc w:val="left"/>
        <w:rPr>
          <w:rFonts w:ascii="Times New Roman" w:hAnsi="Times New Roman"/>
          <w:sz w:val="20"/>
        </w:rPr>
      </w:pPr>
      <w:r>
        <w:rPr>
          <w:rFonts w:ascii="Times New Roman" w:hAnsi="Times New Roman"/>
          <w:sz w:val="20"/>
        </w:rPr>
        <w:t xml:space="preserve">We are a </w:t>
      </w:r>
      <w:r>
        <w:rPr>
          <w:rFonts w:ascii="Times New Roman" w:hAnsi="Times New Roman"/>
          <w:i/>
          <w:sz w:val="20"/>
        </w:rPr>
        <w:t>société anonyme</w:t>
      </w:r>
      <w:r>
        <w:rPr>
          <w:rFonts w:ascii="Times New Roman" w:hAnsi="Times New Roman"/>
          <w:sz w:val="20"/>
        </w:rPr>
        <w:t xml:space="preserve">, organized under the laws of France. The majority of our directors and officers are residents of countries other than the United States, and the majority of our assets are located outside of the United States. We have appointed an agent for service of process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Accordingly, U.S. investors may find it difficult and may be unable: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obtain jurisdiction over us or our non-U.S. resident officers and directors in U.S. courts in actions predicated on the civil liability provisions of the U.S. federal securities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enforce judgments obtained in such actions against us or our non-U.S. resident officers and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bring an original action in a French court to enforce liabilities based upon the U.S. federal securities laws against us or our officers or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enforce against us or our officers or directors in non-U.S. courts, including French courts, judgments of U.S. courts predicated upon the civil liability provisions of the U.S. federal securities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actions in the United States under U.S. federal securities laws could be affected under certain circumstances by French Law No. 68-678 of July 26, 1968 (relating to the communication of documents and information of an economic, commercial, industrial, financial or technical nature to foreign authorities or persons), as amended by French Law No. 80-538 of July 16, 1980, and French Ordinance No. 2000-916 of September 19, 2000, and as further specified by Decree No. 2022-707 of February 18, 2022 and Order of March 7, 2022, which may preclude or restrict the obtaining of evidence in France or from French persons in connection with those actions. As a result of the above regulations, the U.S. authorities would have to comply with applicable international treaties or agreements and laws and regulations in force (such as the 1970 Hague Convention on the Taking of Evidence Abroad). </w:t>
      </w:r>
    </w:p>
    <w:p>
      <w:pPr>
        <w:pStyle w:val="TextBody"/>
        <w:bidi w:val="0"/>
        <w:spacing w:before="240" w:after="0"/>
        <w:jc w:val="left"/>
        <w:rPr>
          <w:rFonts w:ascii="Times New Roman" w:hAnsi="Times New Roman"/>
          <w:sz w:val="20"/>
        </w:rPr>
      </w:pPr>
      <w:r>
        <w:rPr>
          <w:rFonts w:ascii="Times New Roman" w:hAnsi="Times New Roman"/>
          <w:sz w:val="20"/>
        </w:rPr>
        <w:t xml:space="preserve">Similarly, French data protection rules (Law No. 78-17 of January 6, 1978 on data processing, data files and individual liberties, as modified) and the General Data Protection Regulation (i.e., Regulation (EU) 2016/679 of the European Parliament and of the Council of April 27, 2016) can limit under certain circumstances the possibility of obtaining information in France or from French persons in connection with a U.S. action. </w:t>
      </w:r>
    </w:p>
    <w:p>
      <w:pPr>
        <w:pStyle w:val="TextBody"/>
        <w:bidi w:val="0"/>
        <w:spacing w:before="240" w:after="0"/>
        <w:jc w:val="left"/>
        <w:rPr>
          <w:rFonts w:ascii="Times New Roman" w:hAnsi="Times New Roman"/>
          <w:sz w:val="20"/>
        </w:rPr>
      </w:pPr>
      <w:r>
        <w:rPr>
          <w:rFonts w:ascii="Times New Roman" w:hAnsi="Times New Roman"/>
          <w:sz w:val="20"/>
        </w:rPr>
        <w:t>Nevertheless, a final judgment for the payment of money rendered by any federal or state court in the United States based on civil liability, whether or not predicated solely upon the U.S. federal securities laws, would be recognized and be enforceable in France provided that a French judge considers that this judgment meets the requirements under the French rules of international private law concerning the recognition and the enforcement of foreign judgments and is capable of being immediately enforced in the United States. A French court is therefore likely to grant the enforcement of a foreign judgment without a review of the substantive matters thereby adjudicated, only if: (1) the United States federal or state court has jurisdiction and the dispute is clearly connected to the territory of the court which rendered the judgment (2) the judgment is not tainted by fraud, (3) the judgment complies with French substantive and procedural rules of international public policy (</w:t>
      </w:r>
      <w:r>
        <w:rPr>
          <w:rFonts w:ascii="Times New Roman" w:hAnsi="Times New Roman"/>
          <w:i/>
          <w:sz w:val="20"/>
        </w:rPr>
        <w:t>ordre public international</w:t>
      </w:r>
      <w:r>
        <w:rPr>
          <w:rFonts w:ascii="Times New Roman" w:hAnsi="Times New Roman"/>
          <w:sz w:val="20"/>
        </w:rPr>
        <w:t>), including principles of due process (</w:t>
      </w:r>
      <w:r>
        <w:rPr>
          <w:rFonts w:ascii="Times New Roman" w:hAnsi="Times New Roman"/>
          <w:i/>
          <w:sz w:val="20"/>
        </w:rPr>
        <w:t>principe du contradictoire</w:t>
      </w:r>
      <w:r>
        <w:rPr>
          <w:rFonts w:ascii="Times New Roman" w:hAnsi="Times New Roman"/>
          <w:sz w:val="20"/>
        </w:rPr>
        <w:t>) and notably the right to a fair trial, and (4) the judgment is not irreconcilable with an earlier judgment rendered or recognized by a French court in the same or related matter. The French court may require all relevant supporting documents to be translated into the French language by a “sworn translator” (</w:t>
      </w:r>
      <w:r>
        <w:rPr>
          <w:rFonts w:ascii="Times New Roman" w:hAnsi="Times New Roman"/>
          <w:i/>
          <w:sz w:val="20"/>
        </w:rPr>
        <w:t>traducteur assermenté</w:t>
      </w:r>
      <w:r>
        <w:rPr>
          <w:rFonts w:ascii="Times New Roman" w:hAnsi="Times New Roman"/>
          <w:sz w:val="20"/>
        </w:rPr>
        <w:t xml:space="preserve">) as a condition to their admissibility into evidence or for purposes of enforcement. The decision granting exequatur is subject to appeal, with the appeal court decision also being rendered on the basis of the above-mentioned criteria. </w:t>
      </w:r>
    </w:p>
    <w:p>
      <w:pPr>
        <w:pStyle w:val="TextBody"/>
        <w:bidi w:val="0"/>
        <w:spacing w:before="240" w:after="0"/>
        <w:jc w:val="left"/>
        <w:rPr>
          <w:rFonts w:ascii="Times New Roman" w:hAnsi="Times New Roman"/>
          <w:sz w:val="20"/>
        </w:rPr>
      </w:pPr>
      <w:r>
        <w:rPr>
          <w:rFonts w:ascii="Times New Roman" w:hAnsi="Times New Roman"/>
          <w:sz w:val="20"/>
        </w:rPr>
        <w:t xml:space="preserve">In addition, French law guarantees full compensation for the harm suffered but is limited to the actual damages, so that the victim does not suffer or benefit from the situation. Such system excludes damages such as, but not limited to, punitive and exemplary damages. Therefore, there is some uncertainty as to whether a foreign judgment awarding punitive and exemplary damages well above actual damages would be granted enforcement in France.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the enforcement, by U.S. investors, of any judgments obtained in U.S. courts in civil and commercial matters, including judgments under the U.S. federal securities law against us or members of our Board, officers or certain experts named herein who are residents of France or countries other than the United States would be subject to the above conditions. </w:t>
      </w:r>
    </w:p>
    <w:p>
      <w:pPr>
        <w:pStyle w:val="TextBody"/>
        <w:bidi w:val="0"/>
        <w:spacing w:before="240" w:after="0"/>
        <w:jc w:val="left"/>
        <w:rPr>
          <w:rFonts w:ascii="Times New Roman" w:hAnsi="Times New Roman"/>
          <w:sz w:val="20"/>
        </w:rPr>
      </w:pPr>
      <w:r>
        <w:rPr>
          <w:rFonts w:ascii="Times New Roman" w:hAnsi="Times New Roman"/>
          <w:sz w:val="20"/>
        </w:rPr>
        <w:t xml:space="preserve">Finally, if an original action is brought in France, French courts may refuse to apply foreign law designated by the applicable French rules of conflict (including the law chosen by the parties to govern their contract) if the application of such law is deemed to contravene French international public policy or in case of overriding mandatory rules (as determined on a case by case basis by French courts) or, where all other elements relevant to the situation at the time of the choice are located in a country other than the country whose law has been chosen, the choice of the parties shall not prejudice the application of provisions of the law of that other country which cannot be derogated from by agreement. Furthermore, in an action brought in France on the basis of U.S. federal or state securities laws, French courts may not have the requisite power to grant all the remedies sought.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there may be doubt as to whether a French court would impose civil liability on us, the members of our Board, our officers or certain experts named herein in an original action predicated solely upon the U.S. federal securities laws brought in a court of competent jurisdiction in France against us or such members, officers or experts,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86113_17"/>
      <w:bookmarkEnd w:id="1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reporting requirements of the Exchange Act that are applicable to a foreign private issuer. Under the Exchange Act, we file annual reports on Form 20-F and other information with the SEC. We also furnish to the SEC under cover of Form 6-K material information required to be made public in France, filed with and made public by any stock exchange on which we are listed or distributed by us to our shareholders. As a foreign private issuer, we are exempt from, among other things, the rules under the Exchange Act prescribing the furnishing and content of proxy statements, and our officers and directors and our principal shareholders are exempt from the short-swing profit recovery provisions contained in Section 16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 web site that contains reports and information statements and other information about issuers, such as us, who file electronically with the SEC. The address of that website is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on Form F-3 that we filed with the SEC and do not contain all of the information in the registration statement. The full registration statement may be obtained from the SEC or us, as provided below. Forms of the documents establishing the terms of the offered securities are or may be filed as exhibits to the registration statement of which this prospectus forms a part.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www.abivax.com through which you can access our SEC filings. The information set forth on our website is not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rom86113_18"/>
      <w:bookmarkEnd w:id="20"/>
      <w:r>
        <w:rPr>
          <w:rFonts w:ascii="Times New Roman" w:hAnsi="Times New Roman"/>
          <w:b/>
          <w:sz w:val="20"/>
        </w:rPr>
        <w:t xml:space="preserve">INCORPORATION OF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F-3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20-F for the fiscal year ended December 31, 2025, filed with the SEC on </w:t>
            </w:r>
            <w:hyperlink r:id="rId3">
              <w:r>
                <w:rPr>
                  <w:rStyle w:val="InternetLink"/>
                  <w:rFonts w:ascii="Times New Roman" w:hAnsi="Times New Roman"/>
                  <w:sz w:val="20"/>
                </w:rPr>
                <w:t>March 23,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Reports on Form 6-K filed with the SEC on </w:t>
            </w:r>
            <w:hyperlink r:id="rId4">
              <w:r>
                <w:rPr>
                  <w:rStyle w:val="InternetLink"/>
                  <w:rFonts w:ascii="Times New Roman" w:hAnsi="Times New Roman"/>
                  <w:sz w:val="20"/>
                </w:rPr>
                <w:t>February 23, 2026</w:t>
              </w:r>
            </w:hyperlink>
            <w:r>
              <w:rPr>
                <w:rFonts w:ascii="Times New Roman" w:hAnsi="Times New Roman"/>
                <w:sz w:val="20"/>
              </w:rPr>
              <w:t xml:space="preserve">, </w:t>
            </w:r>
            <w:hyperlink r:id="rId5">
              <w:r>
                <w:rPr>
                  <w:rStyle w:val="InternetLink"/>
                  <w:rFonts w:ascii="Times New Roman" w:hAnsi="Times New Roman"/>
                  <w:sz w:val="20"/>
                </w:rPr>
                <w:t>April 20, 2026</w:t>
              </w:r>
            </w:hyperlink>
            <w:r>
              <w:rPr>
                <w:rFonts w:ascii="Times New Roman" w:hAnsi="Times New Roman"/>
                <w:sz w:val="20"/>
              </w:rPr>
              <w:t xml:space="preserve">, </w:t>
            </w:r>
            <w:hyperlink r:id="rId6">
              <w:r>
                <w:rPr>
                  <w:rStyle w:val="InternetLink"/>
                  <w:rFonts w:ascii="Times New Roman" w:hAnsi="Times New Roman"/>
                  <w:sz w:val="20"/>
                </w:rPr>
                <w:t>May  7, 2026</w:t>
              </w:r>
            </w:hyperlink>
            <w:r>
              <w:rPr>
                <w:rFonts w:ascii="Times New Roman" w:hAnsi="Times New Roman"/>
                <w:sz w:val="20"/>
              </w:rPr>
              <w:t xml:space="preserve">, </w:t>
            </w:r>
            <w:hyperlink r:id="rId7">
              <w:r>
                <w:rPr>
                  <w:rStyle w:val="InternetLink"/>
                  <w:rFonts w:ascii="Times New Roman" w:hAnsi="Times New Roman"/>
                  <w:sz w:val="20"/>
                </w:rPr>
                <w:t>May  20, 2026</w:t>
              </w:r>
            </w:hyperlink>
            <w:r>
              <w:rPr>
                <w:rFonts w:ascii="Times New Roman" w:hAnsi="Times New Roman"/>
                <w:sz w:val="20"/>
              </w:rPr>
              <w:t xml:space="preserve">, </w:t>
            </w:r>
            <w:hyperlink r:id="rId8">
              <w:r>
                <w:rPr>
                  <w:rStyle w:val="InternetLink"/>
                  <w:rFonts w:ascii="Times New Roman" w:hAnsi="Times New Roman"/>
                  <w:sz w:val="20"/>
                </w:rPr>
                <w:t>May  22, 2026</w:t>
              </w:r>
            </w:hyperlink>
            <w:r>
              <w:rPr>
                <w:rFonts w:ascii="Times New Roman" w:hAnsi="Times New Roman"/>
                <w:sz w:val="20"/>
              </w:rPr>
              <w:t xml:space="preserve">, </w:t>
            </w:r>
            <w:hyperlink r:id="rId9">
              <w:r>
                <w:rPr>
                  <w:rStyle w:val="InternetLink"/>
                  <w:rFonts w:ascii="Times New Roman" w:hAnsi="Times New Roman"/>
                  <w:sz w:val="20"/>
                </w:rPr>
                <w:t>June 2, 2026</w:t>
              </w:r>
            </w:hyperlink>
            <w:r>
              <w:rPr>
                <w:rFonts w:ascii="Times New Roman" w:hAnsi="Times New Roman"/>
                <w:sz w:val="20"/>
              </w:rPr>
              <w:t xml:space="preserve"> and </w:t>
            </w:r>
            <w:hyperlink r:id="rId10">
              <w:r>
                <w:rPr>
                  <w:rStyle w:val="InternetLink"/>
                  <w:rFonts w:ascii="Times New Roman" w:hAnsi="Times New Roman"/>
                  <w:sz w:val="20"/>
                </w:rPr>
                <w:t>June 29, 2026</w:t>
              </w:r>
            </w:hyperlink>
            <w:r>
              <w:rPr>
                <w:rFonts w:ascii="Times New Roman" w:hAnsi="Times New Roman"/>
                <w:sz w:val="20"/>
              </w:rPr>
              <w:t xml:space="preserve">, solely to the extent the information in such reports has been incorporated by reference into the registration statement of which this prospectus forms a part;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ADSs representing our ordinary shares contained in our Registration Statement on Form 8-A filed with the SEC on </w:t>
            </w:r>
            <w:hyperlink r:id="rId11">
              <w:r>
                <w:rPr>
                  <w:rStyle w:val="InternetLink"/>
                  <w:rFonts w:ascii="Times New Roman" w:hAnsi="Times New Roman"/>
                  <w:sz w:val="20"/>
                </w:rPr>
                <w:t>October 18, 2023</w:t>
              </w:r>
            </w:hyperlink>
            <w:r>
              <w:rPr>
                <w:rFonts w:ascii="Times New Roman" w:hAnsi="Times New Roman"/>
                <w:sz w:val="20"/>
              </w:rPr>
              <w:t xml:space="preserve">, including any amendments or reports filed for the purpose of updating such description, including Exhibit 2.3 to our Annual Report on Form 20-F for the fiscal year ended December  31, 2025, filed with the SEC on </w:t>
            </w:r>
            <w:hyperlink r:id="rId12">
              <w:r>
                <w:rPr>
                  <w:rStyle w:val="InternetLink"/>
                  <w:rFonts w:ascii="Times New Roman" w:hAnsi="Times New Roman"/>
                  <w:sz w:val="20"/>
                </w:rPr>
                <w:t>March 23,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also incorporating by reference all subsequent Annual Reports on Form 20-F that we file with the SEC and certain reports on Form 6-K that we furnish to the SEC after the date of this prospectus (if they state that they are incorporated by reference into this prospectus) prior to the termination of the offering of securities under this prospectus. In all cases, you should rely on the later information over different information included in this prospectus or any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 </w:t>
      </w:r>
    </w:p>
    <w:p>
      <w:pPr>
        <w:pStyle w:val="TextBody"/>
        <w:bidi w:val="0"/>
        <w:spacing w:before="240" w:after="0"/>
        <w:jc w:val="center"/>
        <w:rPr>
          <w:rFonts w:ascii="Times New Roman" w:hAnsi="Times New Roman"/>
          <w:b/>
          <w:sz w:val="20"/>
        </w:rPr>
      </w:pPr>
      <w:r>
        <w:rPr>
          <w:rFonts w:ascii="Times New Roman" w:hAnsi="Times New Roman"/>
          <w:b/>
          <w:sz w:val="20"/>
        </w:rPr>
        <w:t xml:space="preserve">Abivax SA </w:t>
      </w:r>
    </w:p>
    <w:p>
      <w:pPr>
        <w:pStyle w:val="TextBody"/>
        <w:bidi w:val="0"/>
        <w:spacing w:before="0" w:after="0"/>
        <w:jc w:val="center"/>
        <w:rPr>
          <w:rFonts w:ascii="Times New Roman" w:hAnsi="Times New Roman"/>
          <w:sz w:val="20"/>
        </w:rPr>
      </w:pPr>
      <w:r>
        <w:rPr>
          <w:rFonts w:ascii="Times New Roman" w:hAnsi="Times New Roman"/>
          <w:sz w:val="20"/>
        </w:rPr>
        <w:t xml:space="preserve">7-11 boulevard Haussmann </w:t>
      </w:r>
    </w:p>
    <w:p>
      <w:pPr>
        <w:pStyle w:val="TextBody"/>
        <w:bidi w:val="0"/>
        <w:spacing w:before="0" w:after="0"/>
        <w:jc w:val="center"/>
        <w:rPr>
          <w:rFonts w:ascii="Times New Roman" w:hAnsi="Times New Roman"/>
          <w:sz w:val="20"/>
        </w:rPr>
      </w:pPr>
      <w:r>
        <w:rPr>
          <w:rFonts w:ascii="Times New Roman" w:hAnsi="Times New Roman"/>
          <w:sz w:val="20"/>
        </w:rPr>
        <w:t xml:space="preserve">75009 Paris </w:t>
      </w:r>
    </w:p>
    <w:p>
      <w:pPr>
        <w:pStyle w:val="TextBody"/>
        <w:bidi w:val="0"/>
        <w:spacing w:before="0" w:after="0"/>
        <w:jc w:val="center"/>
        <w:rPr>
          <w:rFonts w:ascii="Times New Roman" w:hAnsi="Times New Roman"/>
          <w:sz w:val="20"/>
        </w:rPr>
      </w:pPr>
      <w:r>
        <w:rPr>
          <w:rFonts w:ascii="Times New Roman" w:hAnsi="Times New Roman"/>
          <w:sz w:val="20"/>
        </w:rPr>
        <w:t xml:space="preserve">France </w:t>
      </w:r>
    </w:p>
    <w:p>
      <w:pPr>
        <w:pStyle w:val="TextBody"/>
        <w:bidi w:val="0"/>
        <w:spacing w:before="0" w:after="0"/>
        <w:jc w:val="center"/>
        <w:rPr>
          <w:rFonts w:ascii="Times New Roman" w:hAnsi="Times New Roman"/>
          <w:sz w:val="20"/>
        </w:rPr>
      </w:pPr>
      <w:r>
        <w:rPr>
          <w:rFonts w:ascii="Times New Roman" w:hAnsi="Times New Roman"/>
          <w:sz w:val="20"/>
        </w:rPr>
        <w:t xml:space="preserve">+33 (0) 1 53 83 09 63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these documents on our website, </w:t>
      </w:r>
      <w:r>
        <w:rPr>
          <w:rFonts w:ascii="Times New Roman" w:hAnsi="Times New Roman"/>
          <w:i/>
          <w:sz w:val="20"/>
        </w:rPr>
        <w:t>www.abivax.com</w:t>
      </w:r>
      <w:r>
        <w:rPr>
          <w:rFonts w:ascii="Times New Roman" w:hAnsi="Times New Roman"/>
          <w:sz w:val="20"/>
        </w:rPr>
        <w:t xml:space="preserve">. The information contained on, or that can be accessed through, our website is not a part of this prospectus. We have included our website address in this prospectus solely as an inactive textual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rom86113_19"/>
      <w:bookmarkEnd w:id="21"/>
      <w:r>
        <w:rPr>
          <w:rFonts w:ascii="Times New Roman" w:hAnsi="Times New Roman"/>
          <w:b/>
          <w:sz w:val="20"/>
        </w:rPr>
        <w:t xml:space="preserve">EXPENSES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fees and expenses payable by the registrant, other than underwriting discounts and commissions, in connection with the issuance and distribution of the securities being registered hereby. All amounts set forth below are estimates. All of such expenses are being borne by the registrant.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35"/>
        <w:gridCol w:w="628"/>
        <w:gridCol w:w="244"/>
        <w:gridCol w:w="376"/>
        <w:gridCol w:w="156"/>
      </w:tblGrid>
      <w:tr>
        <w:trPr/>
        <w:tc>
          <w:tcPr>
            <w:tcW w:w="5535" w:type="dxa"/>
            <w:tcBorders/>
            <w:vAlign w:val="center"/>
          </w:tcPr>
          <w:p>
            <w:pPr>
              <w:pStyle w:val="TableContents"/>
              <w:bidi w:val="0"/>
              <w:spacing w:before="0" w:after="283"/>
              <w:jc w:val="left"/>
              <w:rPr>
                <w:sz w:val="4"/>
                <w:szCs w:val="4"/>
              </w:rPr>
            </w:pPr>
            <w:r>
              <w:rPr>
                <w:sz w:val="4"/>
                <w:szCs w:val="4"/>
              </w:rPr>
            </w:r>
          </w:p>
        </w:tc>
        <w:tc>
          <w:tcPr>
            <w:tcW w:w="628"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35"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w:t>
              <w:br/>
              <w:t>dollar</w:t>
            </w:r>
          </w:p>
        </w:tc>
        <w:tc>
          <w:tcPr>
            <w:tcW w:w="156" w:type="dxa"/>
            <w:tcBorders/>
            <w:vAlign w:val="bottom"/>
          </w:tcPr>
          <w:p>
            <w:pPr>
              <w:pStyle w:val="TableContents"/>
              <w:bidi w:val="0"/>
              <w:spacing w:before="0" w:after="283"/>
              <w:jc w:val="left"/>
              <w:rPr/>
            </w:pPr>
            <w:r>
              <w:rPr/>
              <w:t> </w:t>
            </w:r>
          </w:p>
        </w:tc>
      </w:tr>
      <w:tr>
        <w:trPr/>
        <w:tc>
          <w:tcPr>
            <w:tcW w:w="5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628"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376" w:type="dxa"/>
            <w:tcBorders/>
            <w:shd w:fill="CCEEFF" w:val="clear"/>
            <w:vAlign w:val="bottom"/>
          </w:tcPr>
          <w:p>
            <w:pPr>
              <w:pStyle w:val="TableContents"/>
              <w:bidi w:val="0"/>
              <w:spacing w:before="0" w:after="283"/>
              <w:jc w:val="right"/>
              <w:rPr/>
            </w:pPr>
            <w:r>
              <w:rPr/>
              <w:t>(1</w:t>
            </w:r>
          </w:p>
        </w:tc>
        <w:tc>
          <w:tcPr>
            <w:tcW w:w="156" w:type="dxa"/>
            <w:tcBorders/>
            <w:shd w:fill="CCEEFF" w:val="clear"/>
            <w:vAlign w:val="bottom"/>
          </w:tcPr>
          <w:p>
            <w:pPr>
              <w:pStyle w:val="TableContents"/>
              <w:bidi w:val="0"/>
              <w:spacing w:before="0" w:after="283"/>
              <w:jc w:val="left"/>
              <w:rPr/>
            </w:pPr>
            <w:r>
              <w:rPr/>
              <w:t>) </w:t>
            </w:r>
          </w:p>
        </w:tc>
      </w:tr>
      <w:tr>
        <w:trPr/>
        <w:tc>
          <w:tcPr>
            <w:tcW w:w="5535"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628"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376" w:type="dxa"/>
            <w:tcBorders/>
            <w:vAlign w:val="bottom"/>
          </w:tcPr>
          <w:p>
            <w:pPr>
              <w:pStyle w:val="TableContents"/>
              <w:bidi w:val="0"/>
              <w:spacing w:before="0" w:after="283"/>
              <w:jc w:val="right"/>
              <w:rPr/>
            </w:pPr>
            <w:r>
              <w:rPr/>
              <w:t>(1</w:t>
            </w:r>
          </w:p>
        </w:tc>
        <w:tc>
          <w:tcPr>
            <w:tcW w:w="156" w:type="dxa"/>
            <w:tcBorders/>
            <w:vAlign w:val="bottom"/>
          </w:tcPr>
          <w:p>
            <w:pPr>
              <w:pStyle w:val="TableContents"/>
              <w:bidi w:val="0"/>
              <w:spacing w:before="0" w:after="283"/>
              <w:jc w:val="left"/>
              <w:rPr/>
            </w:pPr>
            <w:r>
              <w:rPr/>
              <w:t>) </w:t>
            </w:r>
          </w:p>
        </w:tc>
      </w:tr>
      <w:tr>
        <w:trPr/>
        <w:tc>
          <w:tcPr>
            <w:tcW w:w="5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628"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right"/>
              <w:rPr/>
            </w:pPr>
            <w:r>
              <w:rPr/>
              <w:t>(2</w:t>
            </w:r>
          </w:p>
        </w:tc>
        <w:tc>
          <w:tcPr>
            <w:tcW w:w="156" w:type="dxa"/>
            <w:tcBorders/>
            <w:shd w:fill="CCEEFF" w:val="clear"/>
            <w:vAlign w:val="bottom"/>
          </w:tcPr>
          <w:p>
            <w:pPr>
              <w:pStyle w:val="TableContents"/>
              <w:bidi w:val="0"/>
              <w:spacing w:before="0" w:after="283"/>
              <w:jc w:val="left"/>
              <w:rPr/>
            </w:pPr>
            <w:r>
              <w:rPr/>
              <w:t>) </w:t>
            </w:r>
          </w:p>
        </w:tc>
      </w:tr>
      <w:tr>
        <w:trPr/>
        <w:tc>
          <w:tcPr>
            <w:tcW w:w="5535"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628"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right"/>
              <w:rPr/>
            </w:pPr>
            <w:r>
              <w:rPr/>
              <w:t>(2</w:t>
            </w:r>
          </w:p>
        </w:tc>
        <w:tc>
          <w:tcPr>
            <w:tcW w:w="156" w:type="dxa"/>
            <w:tcBorders/>
            <w:vAlign w:val="bottom"/>
          </w:tcPr>
          <w:p>
            <w:pPr>
              <w:pStyle w:val="TableContents"/>
              <w:bidi w:val="0"/>
              <w:spacing w:before="0" w:after="283"/>
              <w:jc w:val="left"/>
              <w:rPr/>
            </w:pPr>
            <w:r>
              <w:rPr/>
              <w:t>) </w:t>
            </w:r>
          </w:p>
        </w:tc>
      </w:tr>
      <w:tr>
        <w:trPr/>
        <w:tc>
          <w:tcPr>
            <w:tcW w:w="5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628"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right"/>
              <w:rPr/>
            </w:pPr>
            <w:r>
              <w:rPr/>
              <w:t>(2</w:t>
            </w:r>
          </w:p>
        </w:tc>
        <w:tc>
          <w:tcPr>
            <w:tcW w:w="156" w:type="dxa"/>
            <w:tcBorders/>
            <w:shd w:fill="CCEEFF" w:val="clear"/>
            <w:vAlign w:val="bottom"/>
          </w:tcPr>
          <w:p>
            <w:pPr>
              <w:pStyle w:val="TableContents"/>
              <w:bidi w:val="0"/>
              <w:spacing w:before="0" w:after="283"/>
              <w:jc w:val="left"/>
              <w:rPr/>
            </w:pPr>
            <w:r>
              <w:rPr/>
              <w:t>) </w:t>
            </w:r>
          </w:p>
        </w:tc>
      </w:tr>
      <w:tr>
        <w:trPr/>
        <w:tc>
          <w:tcPr>
            <w:tcW w:w="5535"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628"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right"/>
              <w:rPr/>
            </w:pPr>
            <w:r>
              <w:rPr/>
              <w:t>(2</w:t>
            </w:r>
          </w:p>
        </w:tc>
        <w:tc>
          <w:tcPr>
            <w:tcW w:w="156" w:type="dxa"/>
            <w:tcBorders/>
            <w:vAlign w:val="bottom"/>
          </w:tcPr>
          <w:p>
            <w:pPr>
              <w:pStyle w:val="TableContents"/>
              <w:bidi w:val="0"/>
              <w:spacing w:before="0" w:after="283"/>
              <w:jc w:val="left"/>
              <w:rPr/>
            </w:pPr>
            <w:r>
              <w:rPr/>
              <w:t>) </w:t>
            </w:r>
          </w:p>
        </w:tc>
      </w:tr>
      <w:tr>
        <w:trPr/>
        <w:tc>
          <w:tcPr>
            <w:tcW w:w="55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28"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376" w:type="dxa"/>
            <w:tcBorders/>
            <w:shd w:fill="CCEEFF" w:val="clear"/>
            <w:vAlign w:val="bottom"/>
          </w:tcPr>
          <w:p>
            <w:pPr>
              <w:pStyle w:val="TableContents"/>
              <w:bidi w:val="0"/>
              <w:spacing w:before="0" w:after="283"/>
              <w:jc w:val="right"/>
              <w:rPr/>
            </w:pPr>
            <w:r>
              <w:rPr/>
              <w:t>(2</w:t>
            </w:r>
          </w:p>
        </w:tc>
        <w:tc>
          <w:tcPr>
            <w:tcW w:w="15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registration statement relates to the registration of securities having an indeterminate maximum aggregate amount. Payment of the registration fee has been deferred and will be calculated and paid in accordance with Rule 456(b) and Rule 457(r) under the Securities Act.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22145" cy="292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1922145" cy="292100"/>
                    </a:xfrm>
                    <a:prstGeom prst="rect">
                      <a:avLst/>
                    </a:prstGeom>
                  </pic:spPr>
                </pic:pic>
              </a:graphicData>
            </a:graphic>
          </wp:inline>
        </w:drawing>
      </w:r>
      <w:r>
        <w:rPr/>
        <w:t xml:space="preserve"> </w:t>
      </w:r>
    </w:p>
    <w:p>
      <w:pPr>
        <w:pStyle w:val="TextBody"/>
        <w:bidi w:val="0"/>
        <w:spacing w:before="3000" w:after="0"/>
        <w:jc w:val="center"/>
        <w:rPr>
          <w:rFonts w:ascii="Times New Roman" w:hAnsi="Times New Roman"/>
          <w:b/>
          <w:sz w:val="28"/>
        </w:rPr>
      </w:pPr>
      <w:r>
        <w:rPr>
          <w:rFonts w:ascii="Times New Roman" w:hAnsi="Times New Roman"/>
          <w:b/>
          <w:sz w:val="28"/>
        </w:rPr>
        <w:t xml:space="preserve">Ordinary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American Depositary Shares representing Ordinary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to Purchase Ordinary Shares or American 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8.</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Under French law, provisions of by-laws that limit the liability of directors are prohibited. However, French law allows </w:t>
      </w:r>
      <w:r>
        <w:rPr>
          <w:rFonts w:ascii="Times New Roman" w:hAnsi="Times New Roman"/>
          <w:i/>
          <w:sz w:val="20"/>
        </w:rPr>
        <w:t>société anonyme</w:t>
      </w:r>
      <w:r>
        <w:rPr>
          <w:rFonts w:ascii="Times New Roman" w:hAnsi="Times New Roman"/>
          <w:sz w:val="20"/>
        </w:rPr>
        <w:t xml:space="preserve"> to contract for and maintain liability insurance against civil liabilities incurred by any of their directors and officers involved in a third-party action, provided that they acted in good faith and within their capacities as directors or officers of the company. Criminal liability cannot be indemnified under French law, whether directly by the company or through liability insurance. We maintain liability insurance for our directors and officers, including insurance against liability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Certain of our non-employee directors may, through their relationships with their employers or partnerships, be insured and/or indemnified against certain liabilities in their capacity as members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 any underwriting agreement we enter into in connection with the sale of ordinary shares, ADSs or warrants being registered hereby, the underwriters will agree to indemnify, under certain conditions, us, our directors and officers and persons who control us within the meaning of the Securities Act against certain liabilities.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9.</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filed with this registration statement or are incorporated herein by reference.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1"/>
        <w:gridCol w:w="100"/>
        <w:gridCol w:w="3258"/>
        <w:gridCol w:w="154"/>
        <w:gridCol w:w="222"/>
        <w:gridCol w:w="760"/>
        <w:gridCol w:w="60"/>
        <w:gridCol w:w="154"/>
        <w:gridCol w:w="86"/>
        <w:gridCol w:w="1339"/>
        <w:gridCol w:w="60"/>
        <w:gridCol w:w="153"/>
        <w:gridCol w:w="60"/>
        <w:gridCol w:w="1638"/>
        <w:gridCol w:w="60"/>
        <w:gridCol w:w="154"/>
        <w:gridCol w:w="60"/>
        <w:gridCol w:w="918"/>
        <w:gridCol w:w="68"/>
      </w:tblGrid>
      <w:tr>
        <w:trPr/>
        <w:tc>
          <w:tcPr>
            <w:tcW w:w="90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901"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100" w:type="dxa"/>
            <w:tcBorders/>
            <w:vAlign w:val="bottom"/>
          </w:tcPr>
          <w:p>
            <w:pPr>
              <w:pStyle w:val="TableContents"/>
              <w:bidi w:val="0"/>
              <w:spacing w:before="0" w:after="283"/>
              <w:jc w:val="left"/>
              <w:rPr/>
            </w:pPr>
            <w:r>
              <w:rPr/>
              <w:t> </w:t>
            </w:r>
          </w:p>
        </w:tc>
        <w:tc>
          <w:tcPr>
            <w:tcW w:w="325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c>
          <w:tcPr>
            <w:tcW w:w="154" w:type="dxa"/>
            <w:tcBorders/>
            <w:vAlign w:val="bottom"/>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Incorporated</w:t>
              <w:br/>
              <w:t>by Reference</w:t>
              <w:br/>
              <w:t>herein from</w:t>
              <w:br/>
              <w:t>Form or</w:t>
              <w:br/>
              <w:t>Schedule</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 File/</w:t>
              <w:br/>
              <w:t>Reg. Number</w:t>
            </w:r>
          </w:p>
        </w:tc>
        <w:tc>
          <w:tcPr>
            <w:tcW w:w="68" w:type="dxa"/>
            <w:tcBorders/>
            <w:vAlign w:val="bottom"/>
          </w:tcPr>
          <w:p>
            <w:pPr>
              <w:pStyle w:val="TableContents"/>
              <w:bidi w:val="0"/>
              <w:spacing w:before="0" w:after="283"/>
              <w:jc w:val="left"/>
              <w:rPr/>
            </w:pPr>
            <w:r>
              <w:rPr/>
              <w:t> </w:t>
            </w:r>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639" w:type="dxa"/>
            <w:gridSpan w:val="4"/>
            <w:tcBorders/>
            <w:vAlign w:val="center"/>
          </w:tcPr>
          <w:p>
            <w:pPr>
              <w:pStyle w:val="TableContents"/>
              <w:bidi w:val="0"/>
              <w:spacing w:before="0" w:after="283"/>
              <w:jc w:val="left"/>
              <w:rPr>
                <w:sz w:val="4"/>
                <w:szCs w:val="4"/>
              </w:rPr>
            </w:pPr>
            <w:r>
              <w:rPr>
                <w:sz w:val="4"/>
                <w:szCs w:val="4"/>
              </w:rPr>
            </w:r>
          </w:p>
        </w:tc>
        <w:tc>
          <w:tcPr>
            <w:tcW w:w="1911"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r>
              <w:rPr/>
              <w:t>1.1*</w:t>
            </w:r>
          </w:p>
        </w:tc>
        <w:tc>
          <w:tcPr>
            <w:tcW w:w="100" w:type="dxa"/>
            <w:tcBorders/>
            <w:shd w:fill="CCEEFF" w:val="clear"/>
            <w:vAlign w:val="bottom"/>
          </w:tcPr>
          <w:p>
            <w:pPr>
              <w:pStyle w:val="TableContents"/>
              <w:bidi w:val="0"/>
              <w:spacing w:before="0" w:after="283"/>
              <w:jc w:val="left"/>
              <w:rPr/>
            </w:pPr>
            <w:r>
              <w:rPr/>
              <w:t> </w:t>
            </w:r>
          </w:p>
        </w:tc>
        <w:tc>
          <w:tcPr>
            <w:tcW w:w="3258" w:type="dxa"/>
            <w:tcBorders/>
            <w:shd w:fill="CCEEFF" w:val="clear"/>
          </w:tcPr>
          <w:p>
            <w:pPr>
              <w:pStyle w:val="TableContents"/>
              <w:bidi w:val="0"/>
              <w:spacing w:before="0" w:after="283"/>
              <w:jc w:val="left"/>
              <w:rPr/>
            </w:pPr>
            <w:r>
              <w:rPr/>
              <w:t>Form of Underwriting Agreement.</w:t>
            </w:r>
          </w:p>
        </w:tc>
        <w:tc>
          <w:tcPr>
            <w:tcW w:w="15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33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639" w:type="dxa"/>
            <w:gridSpan w:val="4"/>
            <w:tcBorders/>
            <w:vAlign w:val="center"/>
          </w:tcPr>
          <w:p>
            <w:pPr>
              <w:pStyle w:val="TableContents"/>
              <w:bidi w:val="0"/>
              <w:spacing w:before="0" w:after="283"/>
              <w:jc w:val="left"/>
              <w:rPr>
                <w:sz w:val="4"/>
                <w:szCs w:val="4"/>
              </w:rPr>
            </w:pPr>
            <w:r>
              <w:rPr>
                <w:sz w:val="4"/>
                <w:szCs w:val="4"/>
              </w:rPr>
            </w:r>
          </w:p>
        </w:tc>
        <w:tc>
          <w:tcPr>
            <w:tcW w:w="1911"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r>
              <w:rPr/>
              <w:t>3.1</w:t>
            </w:r>
          </w:p>
        </w:tc>
        <w:tc>
          <w:tcPr>
            <w:tcW w:w="10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hyperlink w:anchor="d86113dex31.htm">
              <w:r>
                <w:rPr>
                  <w:rStyle w:val="InternetLink"/>
                </w:rPr>
                <w:t>By-laws (</w:t>
              </w:r>
            </w:hyperlink>
            <w:hyperlink w:anchor="d86113dex31.htm">
              <w:r>
                <w:rPr>
                  <w:rStyle w:val="InternetLink"/>
                  <w:i/>
                </w:rPr>
                <w:t>statuts</w:t>
              </w:r>
            </w:hyperlink>
            <w:hyperlink w:anchor="d86113dex31.htm">
              <w:r>
                <w:rPr>
                  <w:rStyle w:val="InternetLink"/>
                </w:rPr>
                <w:t xml:space="preserve">) of the registrant (English translation). </w:t>
              </w:r>
            </w:hyperlink>
          </w:p>
        </w:tc>
        <w:tc>
          <w:tcPr>
            <w:tcW w:w="15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X</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3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6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639" w:type="dxa"/>
            <w:gridSpan w:val="4"/>
            <w:tcBorders/>
            <w:vAlign w:val="center"/>
          </w:tcPr>
          <w:p>
            <w:pPr>
              <w:pStyle w:val="TableContents"/>
              <w:bidi w:val="0"/>
              <w:spacing w:before="0" w:after="283"/>
              <w:jc w:val="left"/>
              <w:rPr>
                <w:sz w:val="4"/>
                <w:szCs w:val="4"/>
              </w:rPr>
            </w:pPr>
            <w:r>
              <w:rPr>
                <w:sz w:val="4"/>
                <w:szCs w:val="4"/>
              </w:rPr>
            </w:r>
          </w:p>
        </w:tc>
        <w:tc>
          <w:tcPr>
            <w:tcW w:w="1911"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r>
              <w:rPr/>
              <w:t>4.1</w:t>
            </w:r>
          </w:p>
        </w:tc>
        <w:tc>
          <w:tcPr>
            <w:tcW w:w="100" w:type="dxa"/>
            <w:tcBorders/>
            <w:shd w:fill="CCEEFF" w:val="clear"/>
            <w:vAlign w:val="bottom"/>
          </w:tcPr>
          <w:p>
            <w:pPr>
              <w:pStyle w:val="TableContents"/>
              <w:bidi w:val="0"/>
              <w:spacing w:before="0" w:after="283"/>
              <w:jc w:val="left"/>
              <w:rPr/>
            </w:pPr>
            <w:r>
              <w:rPr/>
              <w:t> </w:t>
            </w:r>
          </w:p>
        </w:tc>
        <w:tc>
          <w:tcPr>
            <w:tcW w:w="3258" w:type="dxa"/>
            <w:tcBorders/>
            <w:shd w:fill="CCEEFF" w:val="clear"/>
          </w:tcPr>
          <w:p>
            <w:pPr>
              <w:pStyle w:val="TableContents"/>
              <w:bidi w:val="0"/>
              <w:spacing w:before="0" w:after="283"/>
              <w:jc w:val="left"/>
              <w:rPr/>
            </w:pPr>
            <w:hyperlink r:id="rId14">
              <w:r>
                <w:rPr>
                  <w:rStyle w:val="InternetLink"/>
                </w:rPr>
                <w:t xml:space="preserve">Form of Deposit Agreement. </w:t>
              </w:r>
            </w:hyperlink>
          </w:p>
        </w:tc>
        <w:tc>
          <w:tcPr>
            <w:tcW w:w="15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jc w:val="center"/>
              <w:rPr/>
            </w:pPr>
            <w:r>
              <w:rPr/>
              <w:t>F-6</w:t>
            </w:r>
          </w:p>
          <w:p>
            <w:pPr>
              <w:pStyle w:val="TableContents"/>
              <w:bidi w:val="0"/>
              <w:spacing w:before="0" w:after="20"/>
              <w:jc w:val="center"/>
              <w:rPr>
                <w:rFonts w:ascii="Times New Roman" w:hAnsi="Times New Roman"/>
                <w:sz w:val="20"/>
              </w:rPr>
            </w:pPr>
            <w:r>
              <w:rPr>
                <w:rFonts w:ascii="Times New Roman" w:hAnsi="Times New Roman"/>
                <w:sz w:val="20"/>
              </w:rPr>
              <w:t>(Exhibit (a))</w:t>
            </w:r>
          </w:p>
        </w:tc>
        <w:tc>
          <w:tcPr>
            <w:tcW w:w="60"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8" w:type="dxa"/>
            <w:tcBorders/>
            <w:shd w:fill="CCEEFF" w:val="clear"/>
            <w:vAlign w:val="bottom"/>
          </w:tcPr>
          <w:p>
            <w:pPr>
              <w:pStyle w:val="TableContents"/>
              <w:bidi w:val="0"/>
              <w:spacing w:before="0" w:after="283"/>
              <w:jc w:val="right"/>
              <w:rPr/>
            </w:pPr>
            <w:r>
              <w:rPr/>
              <w:t>October 3, 2023</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333-274845</w:t>
            </w:r>
          </w:p>
        </w:tc>
        <w:tc>
          <w:tcPr>
            <w:tcW w:w="68" w:type="dxa"/>
            <w:tcBorders/>
            <w:shd w:fill="CCEEFF" w:val="clear"/>
            <w:vAlign w:val="bottom"/>
          </w:tcPr>
          <w:p>
            <w:pPr>
              <w:pStyle w:val="TableContents"/>
              <w:bidi w:val="0"/>
              <w:spacing w:before="0" w:after="283"/>
              <w:jc w:val="left"/>
              <w:rPr/>
            </w:pPr>
            <w:r>
              <w:rPr/>
              <w:t> </w:t>
            </w:r>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639" w:type="dxa"/>
            <w:gridSpan w:val="4"/>
            <w:tcBorders/>
            <w:vAlign w:val="center"/>
          </w:tcPr>
          <w:p>
            <w:pPr>
              <w:pStyle w:val="TableContents"/>
              <w:bidi w:val="0"/>
              <w:spacing w:before="0" w:after="283"/>
              <w:jc w:val="left"/>
              <w:rPr>
                <w:sz w:val="4"/>
                <w:szCs w:val="4"/>
              </w:rPr>
            </w:pPr>
            <w:r>
              <w:rPr>
                <w:sz w:val="4"/>
                <w:szCs w:val="4"/>
              </w:rPr>
            </w:r>
          </w:p>
        </w:tc>
        <w:tc>
          <w:tcPr>
            <w:tcW w:w="1911"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r>
              <w:rPr/>
              <w:t>4.2</w:t>
            </w:r>
          </w:p>
        </w:tc>
        <w:tc>
          <w:tcPr>
            <w:tcW w:w="10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hyperlink r:id="rId15">
              <w:r>
                <w:rPr>
                  <w:rStyle w:val="InternetLink"/>
                </w:rPr>
                <w:t xml:space="preserve">Form of American Depositary Receipt (included in Exhibit 4.1). </w:t>
              </w:r>
            </w:hyperlink>
          </w:p>
        </w:tc>
        <w:tc>
          <w:tcPr>
            <w:tcW w:w="15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jc w:val="center"/>
              <w:rPr/>
            </w:pPr>
            <w:r>
              <w:rPr/>
              <w:t>F-6</w:t>
            </w:r>
          </w:p>
          <w:p>
            <w:pPr>
              <w:pStyle w:val="TableContents"/>
              <w:bidi w:val="0"/>
              <w:spacing w:before="0" w:after="20"/>
              <w:jc w:val="center"/>
              <w:rPr>
                <w:rFonts w:ascii="Times New Roman" w:hAnsi="Times New Roman"/>
                <w:sz w:val="20"/>
              </w:rPr>
            </w:pPr>
            <w:r>
              <w:rPr>
                <w:rFonts w:ascii="Times New Roman" w:hAnsi="Times New Roman"/>
                <w:sz w:val="20"/>
              </w:rPr>
              <w:t>(Exhibit (a))</w:t>
            </w:r>
          </w:p>
        </w:tc>
        <w:tc>
          <w:tcPr>
            <w:tcW w:w="60" w:type="dxa"/>
            <w:tcBorders/>
            <w:vAlign w:val="bottom"/>
          </w:tcPr>
          <w:p>
            <w:pPr>
              <w:pStyle w:val="TableContents"/>
              <w:bidi w:val="0"/>
              <w:jc w:val="left"/>
              <w:rPr/>
            </w:pPr>
            <w:r>
              <w:rPr/>
              <w:t> </w:t>
            </w:r>
          </w:p>
          <w:p>
            <w:pPr>
              <w:pStyle w:val="TableContents"/>
              <w:bidi w:val="0"/>
              <w:spacing w:before="0" w:after="20"/>
              <w:jc w:val="left"/>
              <w:rPr/>
            </w:pPr>
            <w:r>
              <w:rPr/>
              <w:t> </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8" w:type="dxa"/>
            <w:tcBorders/>
            <w:vAlign w:val="bottom"/>
          </w:tcPr>
          <w:p>
            <w:pPr>
              <w:pStyle w:val="TableContents"/>
              <w:bidi w:val="0"/>
              <w:spacing w:before="0" w:after="283"/>
              <w:jc w:val="right"/>
              <w:rPr/>
            </w:pPr>
            <w:r>
              <w:rPr/>
              <w:t>October 3, 2023</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333-274845</w:t>
            </w:r>
          </w:p>
        </w:tc>
        <w:tc>
          <w:tcPr>
            <w:tcW w:w="68" w:type="dxa"/>
            <w:tcBorders/>
            <w:vAlign w:val="bottom"/>
          </w:tcPr>
          <w:p>
            <w:pPr>
              <w:pStyle w:val="TableContents"/>
              <w:bidi w:val="0"/>
              <w:spacing w:before="0" w:after="283"/>
              <w:jc w:val="left"/>
              <w:rPr/>
            </w:pPr>
            <w:r>
              <w:rPr/>
              <w:t> </w:t>
            </w:r>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639" w:type="dxa"/>
            <w:gridSpan w:val="4"/>
            <w:tcBorders/>
            <w:vAlign w:val="center"/>
          </w:tcPr>
          <w:p>
            <w:pPr>
              <w:pStyle w:val="TableContents"/>
              <w:bidi w:val="0"/>
              <w:spacing w:before="0" w:after="283"/>
              <w:jc w:val="left"/>
              <w:rPr>
                <w:sz w:val="4"/>
                <w:szCs w:val="4"/>
              </w:rPr>
            </w:pPr>
            <w:r>
              <w:rPr>
                <w:sz w:val="4"/>
                <w:szCs w:val="4"/>
              </w:rPr>
            </w:r>
          </w:p>
        </w:tc>
        <w:tc>
          <w:tcPr>
            <w:tcW w:w="1911"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r>
              <w:rPr/>
              <w:t>4.3*</w:t>
            </w:r>
          </w:p>
        </w:tc>
        <w:tc>
          <w:tcPr>
            <w:tcW w:w="100" w:type="dxa"/>
            <w:tcBorders/>
            <w:shd w:fill="CCEEFF" w:val="clear"/>
            <w:vAlign w:val="bottom"/>
          </w:tcPr>
          <w:p>
            <w:pPr>
              <w:pStyle w:val="TableContents"/>
              <w:bidi w:val="0"/>
              <w:spacing w:before="0" w:after="283"/>
              <w:jc w:val="left"/>
              <w:rPr/>
            </w:pPr>
            <w:r>
              <w:rPr/>
              <w:t> </w:t>
            </w:r>
          </w:p>
        </w:tc>
        <w:tc>
          <w:tcPr>
            <w:tcW w:w="3258" w:type="dxa"/>
            <w:tcBorders/>
            <w:shd w:fill="CCEEFF" w:val="clear"/>
          </w:tcPr>
          <w:p>
            <w:pPr>
              <w:pStyle w:val="TableContents"/>
              <w:bidi w:val="0"/>
              <w:spacing w:before="0" w:after="283"/>
              <w:jc w:val="left"/>
              <w:rPr/>
            </w:pPr>
            <w:r>
              <w:rPr/>
              <w:t>Form of Warrant.</w:t>
            </w:r>
          </w:p>
        </w:tc>
        <w:tc>
          <w:tcPr>
            <w:tcW w:w="15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33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639" w:type="dxa"/>
            <w:gridSpan w:val="4"/>
            <w:tcBorders/>
            <w:vAlign w:val="center"/>
          </w:tcPr>
          <w:p>
            <w:pPr>
              <w:pStyle w:val="TableContents"/>
              <w:bidi w:val="0"/>
              <w:spacing w:before="0" w:after="283"/>
              <w:jc w:val="left"/>
              <w:rPr>
                <w:sz w:val="4"/>
                <w:szCs w:val="4"/>
              </w:rPr>
            </w:pPr>
            <w:r>
              <w:rPr>
                <w:sz w:val="4"/>
                <w:szCs w:val="4"/>
              </w:rPr>
            </w:r>
          </w:p>
        </w:tc>
        <w:tc>
          <w:tcPr>
            <w:tcW w:w="1911"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r>
              <w:rPr/>
              <w:t>4.4</w:t>
            </w:r>
          </w:p>
        </w:tc>
        <w:tc>
          <w:tcPr>
            <w:tcW w:w="10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hyperlink w:anchor="d86113dex44.htm">
              <w:r>
                <w:rPr>
                  <w:rStyle w:val="InternetLink"/>
                </w:rPr>
                <w:t xml:space="preserve">Form of Senior Subordinated Shelf Indenture. </w:t>
              </w:r>
            </w:hyperlink>
          </w:p>
        </w:tc>
        <w:tc>
          <w:tcPr>
            <w:tcW w:w="15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X</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3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6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639" w:type="dxa"/>
            <w:gridSpan w:val="4"/>
            <w:tcBorders/>
            <w:vAlign w:val="center"/>
          </w:tcPr>
          <w:p>
            <w:pPr>
              <w:pStyle w:val="TableContents"/>
              <w:bidi w:val="0"/>
              <w:spacing w:before="0" w:after="283"/>
              <w:jc w:val="left"/>
              <w:rPr>
                <w:sz w:val="4"/>
                <w:szCs w:val="4"/>
              </w:rPr>
            </w:pPr>
            <w:r>
              <w:rPr>
                <w:sz w:val="4"/>
                <w:szCs w:val="4"/>
              </w:rPr>
            </w:r>
          </w:p>
        </w:tc>
        <w:tc>
          <w:tcPr>
            <w:tcW w:w="1911"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r>
              <w:rPr/>
              <w:t>5.1</w:t>
            </w:r>
          </w:p>
        </w:tc>
        <w:tc>
          <w:tcPr>
            <w:tcW w:w="100" w:type="dxa"/>
            <w:tcBorders/>
            <w:shd w:fill="CCEEFF" w:val="clear"/>
            <w:vAlign w:val="bottom"/>
          </w:tcPr>
          <w:p>
            <w:pPr>
              <w:pStyle w:val="TableContents"/>
              <w:bidi w:val="0"/>
              <w:spacing w:before="0" w:after="283"/>
              <w:jc w:val="left"/>
              <w:rPr/>
            </w:pPr>
            <w:r>
              <w:rPr/>
              <w:t> </w:t>
            </w:r>
          </w:p>
        </w:tc>
        <w:tc>
          <w:tcPr>
            <w:tcW w:w="3258" w:type="dxa"/>
            <w:tcBorders/>
            <w:shd w:fill="CCEEFF" w:val="clear"/>
          </w:tcPr>
          <w:p>
            <w:pPr>
              <w:pStyle w:val="TableContents"/>
              <w:bidi w:val="0"/>
              <w:spacing w:before="0" w:after="283"/>
              <w:jc w:val="left"/>
              <w:rPr/>
            </w:pPr>
            <w:hyperlink w:anchor="d86113dex51.htm">
              <w:r>
                <w:rPr>
                  <w:rStyle w:val="InternetLink"/>
                </w:rPr>
                <w:t xml:space="preserve">Opinion of Orrick, Herrington &amp; Sutcliffe (Europe) LLP. </w:t>
              </w:r>
            </w:hyperlink>
          </w:p>
        </w:tc>
        <w:tc>
          <w:tcPr>
            <w:tcW w:w="15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X</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33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639" w:type="dxa"/>
            <w:gridSpan w:val="4"/>
            <w:tcBorders/>
            <w:vAlign w:val="center"/>
          </w:tcPr>
          <w:p>
            <w:pPr>
              <w:pStyle w:val="TableContents"/>
              <w:bidi w:val="0"/>
              <w:spacing w:before="0" w:after="283"/>
              <w:jc w:val="left"/>
              <w:rPr>
                <w:sz w:val="4"/>
                <w:szCs w:val="4"/>
              </w:rPr>
            </w:pPr>
            <w:r>
              <w:rPr>
                <w:sz w:val="4"/>
                <w:szCs w:val="4"/>
              </w:rPr>
            </w:r>
          </w:p>
        </w:tc>
        <w:tc>
          <w:tcPr>
            <w:tcW w:w="1911"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r>
              <w:rPr/>
              <w:t>5.2</w:t>
            </w:r>
          </w:p>
        </w:tc>
        <w:tc>
          <w:tcPr>
            <w:tcW w:w="10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hyperlink w:anchor="d86113dex52.htm">
              <w:r>
                <w:rPr>
                  <w:rStyle w:val="InternetLink"/>
                </w:rPr>
                <w:t xml:space="preserve">Opinion of Cooley LLP. </w:t>
              </w:r>
            </w:hyperlink>
          </w:p>
        </w:tc>
        <w:tc>
          <w:tcPr>
            <w:tcW w:w="15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X</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3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6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639" w:type="dxa"/>
            <w:gridSpan w:val="4"/>
            <w:tcBorders/>
            <w:vAlign w:val="center"/>
          </w:tcPr>
          <w:p>
            <w:pPr>
              <w:pStyle w:val="TableContents"/>
              <w:bidi w:val="0"/>
              <w:spacing w:before="0" w:after="283"/>
              <w:jc w:val="left"/>
              <w:rPr>
                <w:sz w:val="4"/>
                <w:szCs w:val="4"/>
              </w:rPr>
            </w:pPr>
            <w:r>
              <w:rPr>
                <w:sz w:val="4"/>
                <w:szCs w:val="4"/>
              </w:rPr>
            </w:r>
          </w:p>
        </w:tc>
        <w:tc>
          <w:tcPr>
            <w:tcW w:w="1911"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23.1</w:t>
            </w:r>
          </w:p>
        </w:tc>
        <w:tc>
          <w:tcPr>
            <w:tcW w:w="100" w:type="dxa"/>
            <w:tcBorders/>
            <w:shd w:fill="CCEEFF" w:val="clear"/>
            <w:vAlign w:val="bottom"/>
          </w:tcPr>
          <w:p>
            <w:pPr>
              <w:pStyle w:val="TableContents"/>
              <w:bidi w:val="0"/>
              <w:spacing w:before="0" w:after="283"/>
              <w:jc w:val="left"/>
              <w:rPr/>
            </w:pPr>
            <w:r>
              <w:rPr/>
              <w:t> </w:t>
            </w:r>
          </w:p>
        </w:tc>
        <w:tc>
          <w:tcPr>
            <w:tcW w:w="3258" w:type="dxa"/>
            <w:tcBorders/>
            <w:shd w:fill="CCEEFF" w:val="clear"/>
          </w:tcPr>
          <w:p>
            <w:pPr>
              <w:pStyle w:val="TableContents"/>
              <w:bidi w:val="0"/>
              <w:spacing w:before="0" w:after="283"/>
              <w:jc w:val="left"/>
              <w:rPr/>
            </w:pPr>
            <w:hyperlink w:anchor="d86113dex231.htm">
              <w:r>
                <w:rPr>
                  <w:rStyle w:val="InternetLink"/>
                </w:rPr>
                <w:t xml:space="preserve">Consent of PricewaterhouseCoopers Audit. </w:t>
              </w:r>
            </w:hyperlink>
          </w:p>
        </w:tc>
        <w:tc>
          <w:tcPr>
            <w:tcW w:w="15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X</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33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639" w:type="dxa"/>
            <w:gridSpan w:val="4"/>
            <w:tcBorders/>
            <w:vAlign w:val="center"/>
          </w:tcPr>
          <w:p>
            <w:pPr>
              <w:pStyle w:val="TableContents"/>
              <w:bidi w:val="0"/>
              <w:spacing w:before="0" w:after="283"/>
              <w:jc w:val="left"/>
              <w:rPr>
                <w:sz w:val="4"/>
                <w:szCs w:val="4"/>
              </w:rPr>
            </w:pPr>
            <w:r>
              <w:rPr>
                <w:sz w:val="4"/>
                <w:szCs w:val="4"/>
              </w:rPr>
            </w:r>
          </w:p>
        </w:tc>
        <w:tc>
          <w:tcPr>
            <w:tcW w:w="1911"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23.2</w:t>
            </w:r>
          </w:p>
        </w:tc>
        <w:tc>
          <w:tcPr>
            <w:tcW w:w="10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hyperlink w:anchor="d86113dex51.htm">
              <w:r>
                <w:rPr>
                  <w:rStyle w:val="InternetLink"/>
                </w:rPr>
                <w:t xml:space="preserve">Consent of Orrick, Herrington &amp; Sutcliffe (Europe) LLP (included in Exhibit 5.1). </w:t>
              </w:r>
            </w:hyperlink>
          </w:p>
        </w:tc>
        <w:tc>
          <w:tcPr>
            <w:tcW w:w="15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X</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3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6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639" w:type="dxa"/>
            <w:gridSpan w:val="4"/>
            <w:tcBorders/>
            <w:vAlign w:val="center"/>
          </w:tcPr>
          <w:p>
            <w:pPr>
              <w:pStyle w:val="TableContents"/>
              <w:bidi w:val="0"/>
              <w:spacing w:before="0" w:after="283"/>
              <w:jc w:val="left"/>
              <w:rPr>
                <w:sz w:val="4"/>
                <w:szCs w:val="4"/>
              </w:rPr>
            </w:pPr>
            <w:r>
              <w:rPr>
                <w:sz w:val="4"/>
                <w:szCs w:val="4"/>
              </w:rPr>
            </w:r>
          </w:p>
        </w:tc>
        <w:tc>
          <w:tcPr>
            <w:tcW w:w="1911"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24.1</w:t>
            </w:r>
          </w:p>
        </w:tc>
        <w:tc>
          <w:tcPr>
            <w:tcW w:w="100" w:type="dxa"/>
            <w:tcBorders/>
            <w:shd w:fill="CCEEFF" w:val="clear"/>
            <w:vAlign w:val="bottom"/>
          </w:tcPr>
          <w:p>
            <w:pPr>
              <w:pStyle w:val="TableContents"/>
              <w:bidi w:val="0"/>
              <w:spacing w:before="0" w:after="283"/>
              <w:jc w:val="left"/>
              <w:rPr/>
            </w:pPr>
            <w:r>
              <w:rPr/>
              <w:t> </w:t>
            </w:r>
          </w:p>
        </w:tc>
        <w:tc>
          <w:tcPr>
            <w:tcW w:w="3258" w:type="dxa"/>
            <w:tcBorders/>
            <w:shd w:fill="CCEEFF" w:val="clear"/>
          </w:tcPr>
          <w:p>
            <w:pPr>
              <w:pStyle w:val="TableContents"/>
              <w:bidi w:val="0"/>
              <w:spacing w:before="0" w:after="283"/>
              <w:jc w:val="left"/>
              <w:rPr/>
            </w:pPr>
            <w:hyperlink r:id="rId16">
              <w:r>
                <w:rPr>
                  <w:rStyle w:val="InternetLink"/>
                </w:rPr>
                <w:t xml:space="preserve">Powers of Attorney (included on the signature page of the registration statement on Form F-3 filed July 23, 2025). </w:t>
              </w:r>
            </w:hyperlink>
          </w:p>
        </w:tc>
        <w:tc>
          <w:tcPr>
            <w:tcW w:w="15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center"/>
              <w:rPr/>
            </w:pPr>
            <w:r>
              <w:rPr/>
              <w:t>F-3</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8" w:type="dxa"/>
            <w:tcBorders/>
            <w:shd w:fill="CCEEFF" w:val="clear"/>
            <w:vAlign w:val="bottom"/>
          </w:tcPr>
          <w:p>
            <w:pPr>
              <w:pStyle w:val="TableContents"/>
              <w:bidi w:val="0"/>
              <w:spacing w:before="0" w:after="283"/>
              <w:jc w:val="right"/>
              <w:rPr/>
            </w:pPr>
            <w:r>
              <w:rPr/>
              <w:t>July 23, 2025</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333-288884</w:t>
            </w:r>
          </w:p>
        </w:tc>
        <w:tc>
          <w:tcPr>
            <w:tcW w:w="68" w:type="dxa"/>
            <w:tcBorders/>
            <w:shd w:fill="CCEEFF" w:val="clear"/>
            <w:vAlign w:val="bottom"/>
          </w:tcPr>
          <w:p>
            <w:pPr>
              <w:pStyle w:val="TableContents"/>
              <w:bidi w:val="0"/>
              <w:spacing w:before="0" w:after="283"/>
              <w:jc w:val="left"/>
              <w:rPr/>
            </w:pPr>
            <w:r>
              <w:rPr/>
              <w:t> </w:t>
            </w:r>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639" w:type="dxa"/>
            <w:gridSpan w:val="4"/>
            <w:tcBorders/>
            <w:vAlign w:val="center"/>
          </w:tcPr>
          <w:p>
            <w:pPr>
              <w:pStyle w:val="TableContents"/>
              <w:bidi w:val="0"/>
              <w:spacing w:before="0" w:after="283"/>
              <w:jc w:val="left"/>
              <w:rPr>
                <w:sz w:val="4"/>
                <w:szCs w:val="4"/>
              </w:rPr>
            </w:pPr>
            <w:r>
              <w:rPr>
                <w:sz w:val="4"/>
                <w:szCs w:val="4"/>
              </w:rPr>
            </w:r>
          </w:p>
        </w:tc>
        <w:tc>
          <w:tcPr>
            <w:tcW w:w="1911"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25.1</w:t>
            </w:r>
          </w:p>
        </w:tc>
        <w:tc>
          <w:tcPr>
            <w:tcW w:w="10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hyperlink w:anchor="d86113dex251.htm">
              <w:r>
                <w:rPr>
                  <w:rStyle w:val="InternetLink"/>
                </w:rPr>
                <w:t xml:space="preserve">Statement of Eligibility of Trustee on Form T-1 under the Trust Indenture Act of 1939, as amended. </w:t>
              </w:r>
            </w:hyperlink>
          </w:p>
        </w:tc>
        <w:tc>
          <w:tcPr>
            <w:tcW w:w="15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X</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3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6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639" w:type="dxa"/>
            <w:gridSpan w:val="4"/>
            <w:tcBorders/>
            <w:vAlign w:val="center"/>
          </w:tcPr>
          <w:p>
            <w:pPr>
              <w:pStyle w:val="TableContents"/>
              <w:bidi w:val="0"/>
              <w:spacing w:before="0" w:after="283"/>
              <w:jc w:val="left"/>
              <w:rPr>
                <w:sz w:val="4"/>
                <w:szCs w:val="4"/>
              </w:rPr>
            </w:pPr>
            <w:r>
              <w:rPr>
                <w:sz w:val="4"/>
                <w:szCs w:val="4"/>
              </w:rPr>
            </w:r>
          </w:p>
        </w:tc>
        <w:tc>
          <w:tcPr>
            <w:tcW w:w="1911"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107</w:t>
            </w:r>
          </w:p>
        </w:tc>
        <w:tc>
          <w:tcPr>
            <w:tcW w:w="100" w:type="dxa"/>
            <w:tcBorders/>
            <w:shd w:fill="CCEEFF" w:val="clear"/>
            <w:vAlign w:val="bottom"/>
          </w:tcPr>
          <w:p>
            <w:pPr>
              <w:pStyle w:val="TableContents"/>
              <w:bidi w:val="0"/>
              <w:spacing w:before="0" w:after="283"/>
              <w:jc w:val="left"/>
              <w:rPr/>
            </w:pPr>
            <w:r>
              <w:rPr/>
              <w:t> </w:t>
            </w:r>
          </w:p>
        </w:tc>
        <w:tc>
          <w:tcPr>
            <w:tcW w:w="3258" w:type="dxa"/>
            <w:tcBorders/>
            <w:shd w:fill="CCEEFF" w:val="clear"/>
          </w:tcPr>
          <w:p>
            <w:pPr>
              <w:pStyle w:val="TableContents"/>
              <w:bidi w:val="0"/>
              <w:spacing w:before="0" w:after="283"/>
              <w:jc w:val="left"/>
              <w:rPr/>
            </w:pPr>
            <w:hyperlink w:anchor="d86113dexfilingfees.htm">
              <w:r>
                <w:rPr>
                  <w:rStyle w:val="InternetLink"/>
                </w:rPr>
                <w:t xml:space="preserve">Calculation of Filing Fee Tables. </w:t>
              </w:r>
            </w:hyperlink>
          </w:p>
        </w:tc>
        <w:tc>
          <w:tcPr>
            <w:tcW w:w="15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X</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33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subsequently filed, if applicable, by an amendment to this registration statement or as an exhibit to a report pursuant to Section 13(a) or 15(d) of the Securities Exchange Act of 1934, including any Report on Form 6-K,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10.</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24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 To include any prospectus required by Section 10(a)(3) of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of this section do not apply if the registration statement is on Form F-3 and information required to be included in a post-effective amendment by those paragraphs is contained in reports filed with or furnished to the SEC by the registrant pursuant to section 13 or section 15(d) of the Securities Exchange Act of 1934, as amended (the “Exchange Act”), that are incorporated by reference in the registration statement, or is contained in a form of prospectus filed pursuant to Rule 424(b) that is a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the Form F-3.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 That, for the purpose of determining liability under the Securities Act to any purchaser: </w:t>
      </w:r>
    </w:p>
    <w:p>
      <w:pPr>
        <w:pStyle w:val="TextBody"/>
        <w:bidi w:val="0"/>
        <w:spacing w:before="24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(6) That, for the purpose of determining liability of the registrant under the Securities Act to any purchaser in the initial distribution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24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24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24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24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F-3 and has duly caused this post-effective amendment to the Registration Statement to be signed on its behalf by the undersigned, thereunto duly authorized, in Paris, France on June 30,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2"/>
        <w:gridCol w:w="60"/>
        <w:gridCol w:w="3400"/>
      </w:tblGrid>
      <w:tr>
        <w:trPr/>
        <w:tc>
          <w:tcPr>
            <w:tcW w:w="62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Abivax SA</w:t>
            </w:r>
          </w:p>
        </w:tc>
      </w:tr>
      <w:tr>
        <w:trPr>
          <w:trHeight w:val="240" w:hRule="atLeast"/>
        </w:trPr>
        <w:tc>
          <w:tcPr>
            <w:tcW w:w="622" w:type="dxa"/>
            <w:tcBorders/>
            <w:vAlign w:val="center"/>
          </w:tcPr>
          <w:p>
            <w:pPr>
              <w:pStyle w:val="TableContents"/>
              <w:bidi w:val="0"/>
              <w:spacing w:before="0" w:after="283"/>
              <w:jc w:val="left"/>
              <w:rPr>
                <w:sz w:val="4"/>
                <w:szCs w:val="4"/>
              </w:rPr>
            </w:pPr>
            <w:r>
              <w:rPr>
                <w:sz w:val="4"/>
                <w:szCs w:val="4"/>
              </w:rPr>
            </w:r>
          </w:p>
        </w:tc>
        <w:tc>
          <w:tcPr>
            <w:tcW w:w="3460" w:type="dxa"/>
            <w:gridSpan w:val="2"/>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0"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Marc de Garidel</w:t>
            </w:r>
          </w:p>
        </w:tc>
      </w:tr>
      <w:tr>
        <w:trPr/>
        <w:tc>
          <w:tcPr>
            <w:tcW w:w="62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Marc de Garidel</w:t>
            </w:r>
          </w:p>
        </w:tc>
      </w:tr>
      <w:tr>
        <w:trPr/>
        <w:tc>
          <w:tcPr>
            <w:tcW w:w="62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AND SIGNATURES </w:t>
      </w:r>
    </w:p>
    <w:p>
      <w:pPr>
        <w:pStyle w:val="TextBody"/>
        <w:bidi w:val="0"/>
        <w:spacing w:before="240" w:after="0"/>
        <w:jc w:val="left"/>
        <w:rPr>
          <w:rFonts w:ascii="Times New Roman" w:hAnsi="Times New Roman"/>
          <w:sz w:val="20"/>
        </w:rPr>
      </w:pPr>
      <w:r>
        <w:rPr>
          <w:rFonts w:ascii="Times New Roman" w:hAnsi="Times New Roman"/>
          <w:sz w:val="20"/>
        </w:rPr>
        <w:t xml:space="preserve">We, the undersigned directors, officers and/or authorized representative of Abivax SA, hereby severally constitute and appoint Marc de Garidel and Didier Blondel, and each of them singly, our true and lawful attorneys with full power to any of them, and to each of them singly, to sign for us and in our names in the capacities indicated below the Registration Statement on Form F-3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all such things in our name and on our behalf in our capacities as members of the board of directors to enable Abivax SA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post-effective amendment to the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85"/>
        <w:gridCol w:w="121"/>
        <w:gridCol w:w="3614"/>
        <w:gridCol w:w="194"/>
        <w:gridCol w:w="1891"/>
      </w:tblGrid>
      <w:tr>
        <w:trPr/>
        <w:tc>
          <w:tcPr>
            <w:tcW w:w="438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614"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43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1" w:type="dxa"/>
            <w:tcBorders/>
            <w:vAlign w:val="bottom"/>
          </w:tcPr>
          <w:p>
            <w:pPr>
              <w:pStyle w:val="TableContents"/>
              <w:bidi w:val="0"/>
              <w:spacing w:before="0" w:after="283"/>
              <w:jc w:val="left"/>
              <w:rPr/>
            </w:pPr>
            <w:r>
              <w:rPr/>
              <w:t>  </w:t>
            </w:r>
          </w:p>
        </w:tc>
        <w:tc>
          <w:tcPr>
            <w:tcW w:w="36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94" w:type="dxa"/>
            <w:tcBorders/>
            <w:vAlign w:val="bottom"/>
          </w:tcPr>
          <w:p>
            <w:pPr>
              <w:pStyle w:val="TableContents"/>
              <w:bidi w:val="0"/>
              <w:spacing w:before="0" w:after="283"/>
              <w:jc w:val="left"/>
              <w:rPr/>
            </w:pPr>
            <w:r>
              <w:rPr/>
              <w:t> </w:t>
            </w:r>
          </w:p>
        </w:tc>
        <w:tc>
          <w:tcPr>
            <w:tcW w:w="189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385" w:type="dxa"/>
            <w:tcBorders/>
            <w:vAlign w:val="center"/>
          </w:tcPr>
          <w:p>
            <w:pPr>
              <w:pStyle w:val="TableContents"/>
              <w:bidi w:val="0"/>
              <w:spacing w:before="0" w:after="283"/>
              <w:jc w:val="left"/>
              <w:rPr>
                <w:sz w:val="4"/>
                <w:szCs w:val="4"/>
              </w:rPr>
            </w:pPr>
            <w:r>
              <w:rPr>
                <w:sz w:val="4"/>
                <w:szCs w:val="4"/>
              </w:rPr>
            </w:r>
          </w:p>
        </w:tc>
        <w:tc>
          <w:tcPr>
            <w:tcW w:w="3735" w:type="dxa"/>
            <w:gridSpan w:val="2"/>
            <w:tcBorders/>
            <w:vAlign w:val="center"/>
          </w:tcPr>
          <w:p>
            <w:pPr>
              <w:pStyle w:val="TableContents"/>
              <w:bidi w:val="0"/>
              <w:spacing w:before="0" w:after="283"/>
              <w:jc w:val="left"/>
              <w:rPr>
                <w:sz w:val="4"/>
                <w:szCs w:val="4"/>
              </w:rPr>
            </w:pPr>
            <w:r>
              <w:rPr>
                <w:sz w:val="4"/>
                <w:szCs w:val="4"/>
              </w:rPr>
            </w:r>
          </w:p>
        </w:tc>
        <w:tc>
          <w:tcPr>
            <w:tcW w:w="2085" w:type="dxa"/>
            <w:gridSpan w:val="2"/>
            <w:tcBorders/>
            <w:vAlign w:val="center"/>
          </w:tcPr>
          <w:p>
            <w:pPr>
              <w:pStyle w:val="TableContents"/>
              <w:bidi w:val="0"/>
              <w:spacing w:before="0" w:after="283"/>
              <w:jc w:val="left"/>
              <w:rPr>
                <w:sz w:val="4"/>
                <w:szCs w:val="4"/>
              </w:rPr>
            </w:pPr>
            <w:r>
              <w:rPr>
                <w:sz w:val="4"/>
                <w:szCs w:val="4"/>
              </w:rPr>
            </w:r>
          </w:p>
        </w:tc>
      </w:tr>
      <w:tr>
        <w:trPr/>
        <w:tc>
          <w:tcPr>
            <w:tcW w:w="438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Marc de Garidel</w:t>
            </w:r>
          </w:p>
          <w:p>
            <w:pPr>
              <w:pStyle w:val="TableContents"/>
              <w:bidi w:val="0"/>
              <w:spacing w:before="0" w:after="20"/>
              <w:jc w:val="center"/>
              <w:rPr>
                <w:rFonts w:ascii="Times New Roman" w:hAnsi="Times New Roman"/>
                <w:sz w:val="20"/>
              </w:rPr>
            </w:pPr>
            <w:r>
              <w:rPr>
                <w:rFonts w:ascii="Times New Roman" w:hAnsi="Times New Roman"/>
                <w:sz w:val="20"/>
              </w:rPr>
              <w:t>Marc de Garidel</w:t>
            </w:r>
          </w:p>
        </w:tc>
        <w:tc>
          <w:tcPr>
            <w:tcW w:w="121" w:type="dxa"/>
            <w:tcBorders/>
            <w:vAlign w:val="bottom"/>
          </w:tcPr>
          <w:p>
            <w:pPr>
              <w:pStyle w:val="TableContents"/>
              <w:bidi w:val="0"/>
              <w:spacing w:before="0" w:after="283"/>
              <w:jc w:val="left"/>
              <w:rPr/>
            </w:pPr>
            <w:r>
              <w:rPr/>
              <w:t>  </w:t>
            </w:r>
          </w:p>
        </w:tc>
        <w:tc>
          <w:tcPr>
            <w:tcW w:w="3614"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194" w:type="dxa"/>
            <w:tcBorders/>
            <w:vAlign w:val="bottom"/>
          </w:tcPr>
          <w:p>
            <w:pPr>
              <w:pStyle w:val="TableContents"/>
              <w:bidi w:val="0"/>
              <w:spacing w:before="0" w:after="283"/>
              <w:jc w:val="left"/>
              <w:rPr/>
            </w:pPr>
            <w:r>
              <w:rPr/>
              <w:t> </w:t>
            </w:r>
          </w:p>
        </w:tc>
        <w:tc>
          <w:tcPr>
            <w:tcW w:w="1891" w:type="dxa"/>
            <w:tcBorders/>
          </w:tcPr>
          <w:p>
            <w:pPr>
              <w:pStyle w:val="TableContents"/>
              <w:bidi w:val="0"/>
              <w:spacing w:before="0" w:after="283"/>
              <w:jc w:val="center"/>
              <w:rPr/>
            </w:pPr>
            <w:r>
              <w:rPr/>
              <w:t>June 30, 2026</w:t>
            </w:r>
          </w:p>
        </w:tc>
      </w:tr>
      <w:tr>
        <w:trPr>
          <w:trHeight w:val="240" w:hRule="atLeast"/>
        </w:trPr>
        <w:tc>
          <w:tcPr>
            <w:tcW w:w="4385" w:type="dxa"/>
            <w:tcBorders/>
            <w:vAlign w:val="center"/>
          </w:tcPr>
          <w:p>
            <w:pPr>
              <w:pStyle w:val="TableContents"/>
              <w:bidi w:val="0"/>
              <w:spacing w:before="0" w:after="283"/>
              <w:jc w:val="left"/>
              <w:rPr>
                <w:sz w:val="4"/>
                <w:szCs w:val="4"/>
              </w:rPr>
            </w:pPr>
            <w:r>
              <w:rPr>
                <w:sz w:val="4"/>
                <w:szCs w:val="4"/>
              </w:rPr>
            </w:r>
          </w:p>
        </w:tc>
        <w:tc>
          <w:tcPr>
            <w:tcW w:w="3735" w:type="dxa"/>
            <w:gridSpan w:val="2"/>
            <w:tcBorders/>
            <w:vAlign w:val="center"/>
          </w:tcPr>
          <w:p>
            <w:pPr>
              <w:pStyle w:val="TableContents"/>
              <w:bidi w:val="0"/>
              <w:spacing w:before="0" w:after="283"/>
              <w:jc w:val="left"/>
              <w:rPr>
                <w:sz w:val="4"/>
                <w:szCs w:val="4"/>
              </w:rPr>
            </w:pPr>
            <w:r>
              <w:rPr>
                <w:sz w:val="4"/>
                <w:szCs w:val="4"/>
              </w:rPr>
            </w:r>
          </w:p>
        </w:tc>
        <w:tc>
          <w:tcPr>
            <w:tcW w:w="2085" w:type="dxa"/>
            <w:gridSpan w:val="2"/>
            <w:tcBorders/>
            <w:vAlign w:val="center"/>
          </w:tcPr>
          <w:p>
            <w:pPr>
              <w:pStyle w:val="TableContents"/>
              <w:bidi w:val="0"/>
              <w:spacing w:before="0" w:after="283"/>
              <w:jc w:val="left"/>
              <w:rPr>
                <w:sz w:val="4"/>
                <w:szCs w:val="4"/>
              </w:rPr>
            </w:pPr>
            <w:r>
              <w:rPr>
                <w:sz w:val="4"/>
                <w:szCs w:val="4"/>
              </w:rPr>
            </w:r>
          </w:p>
        </w:tc>
      </w:tr>
      <w:tr>
        <w:trPr/>
        <w:tc>
          <w:tcPr>
            <w:tcW w:w="438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Didier Blondel</w:t>
            </w:r>
          </w:p>
          <w:p>
            <w:pPr>
              <w:pStyle w:val="TableContents"/>
              <w:bidi w:val="0"/>
              <w:spacing w:before="0" w:after="20"/>
              <w:jc w:val="center"/>
              <w:rPr>
                <w:rFonts w:ascii="Times New Roman" w:hAnsi="Times New Roman"/>
                <w:sz w:val="20"/>
              </w:rPr>
            </w:pPr>
            <w:r>
              <w:rPr>
                <w:rFonts w:ascii="Times New Roman" w:hAnsi="Times New Roman"/>
                <w:sz w:val="20"/>
              </w:rPr>
              <w:t>Didier Blondel</w:t>
            </w:r>
          </w:p>
        </w:tc>
        <w:tc>
          <w:tcPr>
            <w:tcW w:w="121" w:type="dxa"/>
            <w:tcBorders/>
            <w:vAlign w:val="bottom"/>
          </w:tcPr>
          <w:p>
            <w:pPr>
              <w:pStyle w:val="TableContents"/>
              <w:bidi w:val="0"/>
              <w:spacing w:before="0" w:after="283"/>
              <w:jc w:val="left"/>
              <w:rPr/>
            </w:pPr>
            <w:r>
              <w:rPr/>
              <w:t>  </w:t>
            </w:r>
          </w:p>
        </w:tc>
        <w:tc>
          <w:tcPr>
            <w:tcW w:w="3614"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 and Board Secretary</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Financial Officer and Principal</w:t>
            </w:r>
            <w:r>
              <w:rPr>
                <w:rFonts w:ascii="Times New Roman" w:hAnsi="Times New Roman"/>
                <w:sz w:val="20"/>
              </w:rPr>
              <w:t> </w:t>
            </w:r>
            <w:r>
              <w:rPr>
                <w:rFonts w:ascii="Times New Roman" w:hAnsi="Times New Roman"/>
                <w:i/>
                <w:sz w:val="20"/>
              </w:rPr>
              <w:t>Accounting Officer</w:t>
            </w:r>
            <w:r>
              <w:rPr>
                <w:rFonts w:ascii="Times New Roman" w:hAnsi="Times New Roman"/>
                <w:sz w:val="20"/>
              </w:rPr>
              <w:t>)</w:t>
            </w:r>
          </w:p>
        </w:tc>
        <w:tc>
          <w:tcPr>
            <w:tcW w:w="194" w:type="dxa"/>
            <w:tcBorders/>
            <w:vAlign w:val="bottom"/>
          </w:tcPr>
          <w:p>
            <w:pPr>
              <w:pStyle w:val="TableContents"/>
              <w:bidi w:val="0"/>
              <w:spacing w:before="0" w:after="283"/>
              <w:jc w:val="left"/>
              <w:rPr/>
            </w:pPr>
            <w:r>
              <w:rPr/>
              <w:t> </w:t>
            </w:r>
          </w:p>
        </w:tc>
        <w:tc>
          <w:tcPr>
            <w:tcW w:w="1891" w:type="dxa"/>
            <w:tcBorders/>
          </w:tcPr>
          <w:p>
            <w:pPr>
              <w:pStyle w:val="TableContents"/>
              <w:bidi w:val="0"/>
              <w:spacing w:before="0" w:after="283"/>
              <w:jc w:val="center"/>
              <w:rPr/>
            </w:pPr>
            <w:r>
              <w:rPr/>
              <w:t>June 30, 2026</w:t>
            </w:r>
          </w:p>
        </w:tc>
      </w:tr>
      <w:tr>
        <w:trPr>
          <w:trHeight w:val="240" w:hRule="atLeast"/>
        </w:trPr>
        <w:tc>
          <w:tcPr>
            <w:tcW w:w="4385" w:type="dxa"/>
            <w:tcBorders/>
            <w:vAlign w:val="center"/>
          </w:tcPr>
          <w:p>
            <w:pPr>
              <w:pStyle w:val="TableContents"/>
              <w:bidi w:val="0"/>
              <w:spacing w:before="0" w:after="283"/>
              <w:jc w:val="left"/>
              <w:rPr>
                <w:sz w:val="4"/>
                <w:szCs w:val="4"/>
              </w:rPr>
            </w:pPr>
            <w:r>
              <w:rPr>
                <w:sz w:val="4"/>
                <w:szCs w:val="4"/>
              </w:rPr>
            </w:r>
          </w:p>
        </w:tc>
        <w:tc>
          <w:tcPr>
            <w:tcW w:w="3735" w:type="dxa"/>
            <w:gridSpan w:val="2"/>
            <w:tcBorders/>
            <w:vAlign w:val="center"/>
          </w:tcPr>
          <w:p>
            <w:pPr>
              <w:pStyle w:val="TableContents"/>
              <w:bidi w:val="0"/>
              <w:spacing w:before="0" w:after="283"/>
              <w:jc w:val="left"/>
              <w:rPr>
                <w:sz w:val="4"/>
                <w:szCs w:val="4"/>
              </w:rPr>
            </w:pPr>
            <w:r>
              <w:rPr>
                <w:sz w:val="4"/>
                <w:szCs w:val="4"/>
              </w:rPr>
            </w:r>
          </w:p>
        </w:tc>
        <w:tc>
          <w:tcPr>
            <w:tcW w:w="2085" w:type="dxa"/>
            <w:gridSpan w:val="2"/>
            <w:tcBorders/>
            <w:vAlign w:val="center"/>
          </w:tcPr>
          <w:p>
            <w:pPr>
              <w:pStyle w:val="TableContents"/>
              <w:bidi w:val="0"/>
              <w:spacing w:before="0" w:after="283"/>
              <w:jc w:val="left"/>
              <w:rPr>
                <w:sz w:val="4"/>
                <w:szCs w:val="4"/>
              </w:rPr>
            </w:pPr>
            <w:r>
              <w:rPr>
                <w:sz w:val="4"/>
                <w:szCs w:val="4"/>
              </w:rPr>
            </w:r>
          </w:p>
        </w:tc>
      </w:tr>
      <w:tr>
        <w:trPr/>
        <w:tc>
          <w:tcPr>
            <w:tcW w:w="438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Sylvie Grégoire</w:t>
            </w:r>
          </w:p>
        </w:tc>
        <w:tc>
          <w:tcPr>
            <w:tcW w:w="121" w:type="dxa"/>
            <w:tcBorders/>
            <w:vAlign w:val="bottom"/>
          </w:tcPr>
          <w:p>
            <w:pPr>
              <w:pStyle w:val="TableContents"/>
              <w:bidi w:val="0"/>
              <w:spacing w:before="0" w:after="283"/>
              <w:jc w:val="left"/>
              <w:rPr/>
            </w:pPr>
            <w:r>
              <w:rPr/>
              <w:t>  </w:t>
            </w:r>
          </w:p>
        </w:tc>
        <w:tc>
          <w:tcPr>
            <w:tcW w:w="3614" w:type="dxa"/>
            <w:tcBorders/>
          </w:tcPr>
          <w:p>
            <w:pPr>
              <w:pStyle w:val="TableContents"/>
              <w:bidi w:val="0"/>
              <w:spacing w:before="0" w:after="0"/>
              <w:jc w:val="center"/>
              <w:rPr>
                <w:rFonts w:ascii="Times New Roman" w:hAnsi="Times New Roman"/>
                <w:sz w:val="20"/>
              </w:rPr>
            </w:pPr>
            <w:r>
              <w:rPr>
                <w:rFonts w:ascii="Times New Roman" w:hAnsi="Times New Roman"/>
                <w:sz w:val="20"/>
              </w:rPr>
              <w:t>Chair of the Board</w:t>
            </w:r>
          </w:p>
        </w:tc>
        <w:tc>
          <w:tcPr>
            <w:tcW w:w="194" w:type="dxa"/>
            <w:tcBorders/>
            <w:vAlign w:val="bottom"/>
          </w:tcPr>
          <w:p>
            <w:pPr>
              <w:pStyle w:val="TableContents"/>
              <w:bidi w:val="0"/>
              <w:spacing w:before="0" w:after="283"/>
              <w:jc w:val="left"/>
              <w:rPr/>
            </w:pPr>
            <w:r>
              <w:rPr/>
              <w:t> </w:t>
            </w:r>
          </w:p>
        </w:tc>
        <w:tc>
          <w:tcPr>
            <w:tcW w:w="1891" w:type="dxa"/>
            <w:tcBorders/>
          </w:tcPr>
          <w:p>
            <w:pPr>
              <w:pStyle w:val="TableContents"/>
              <w:bidi w:val="0"/>
              <w:spacing w:before="0" w:after="283"/>
              <w:jc w:val="center"/>
              <w:rPr/>
            </w:pPr>
            <w:r>
              <w:rPr/>
              <w:t>June 30, 2026</w:t>
            </w:r>
          </w:p>
        </w:tc>
      </w:tr>
      <w:tr>
        <w:trPr>
          <w:trHeight w:val="240" w:hRule="atLeast"/>
        </w:trPr>
        <w:tc>
          <w:tcPr>
            <w:tcW w:w="4385" w:type="dxa"/>
            <w:tcBorders/>
            <w:vAlign w:val="center"/>
          </w:tcPr>
          <w:p>
            <w:pPr>
              <w:pStyle w:val="TableContents"/>
              <w:bidi w:val="0"/>
              <w:spacing w:before="0" w:after="283"/>
              <w:jc w:val="left"/>
              <w:rPr>
                <w:sz w:val="4"/>
                <w:szCs w:val="4"/>
              </w:rPr>
            </w:pPr>
            <w:r>
              <w:rPr>
                <w:sz w:val="4"/>
                <w:szCs w:val="4"/>
              </w:rPr>
            </w:r>
          </w:p>
        </w:tc>
        <w:tc>
          <w:tcPr>
            <w:tcW w:w="3735" w:type="dxa"/>
            <w:gridSpan w:val="2"/>
            <w:tcBorders/>
            <w:vAlign w:val="center"/>
          </w:tcPr>
          <w:p>
            <w:pPr>
              <w:pStyle w:val="TableContents"/>
              <w:bidi w:val="0"/>
              <w:spacing w:before="0" w:after="283"/>
              <w:jc w:val="left"/>
              <w:rPr>
                <w:sz w:val="4"/>
                <w:szCs w:val="4"/>
              </w:rPr>
            </w:pPr>
            <w:r>
              <w:rPr>
                <w:sz w:val="4"/>
                <w:szCs w:val="4"/>
              </w:rPr>
            </w:r>
          </w:p>
        </w:tc>
        <w:tc>
          <w:tcPr>
            <w:tcW w:w="2085" w:type="dxa"/>
            <w:gridSpan w:val="2"/>
            <w:tcBorders/>
            <w:vAlign w:val="center"/>
          </w:tcPr>
          <w:p>
            <w:pPr>
              <w:pStyle w:val="TableContents"/>
              <w:bidi w:val="0"/>
              <w:spacing w:before="0" w:after="283"/>
              <w:jc w:val="left"/>
              <w:rPr>
                <w:sz w:val="4"/>
                <w:szCs w:val="4"/>
              </w:rPr>
            </w:pPr>
            <w:r>
              <w:rPr>
                <w:sz w:val="4"/>
                <w:szCs w:val="4"/>
              </w:rPr>
            </w:r>
          </w:p>
        </w:tc>
      </w:tr>
      <w:tr>
        <w:trPr/>
        <w:tc>
          <w:tcPr>
            <w:tcW w:w="438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Corinna zur Bonsen-Thomas</w:t>
            </w:r>
          </w:p>
        </w:tc>
        <w:tc>
          <w:tcPr>
            <w:tcW w:w="121" w:type="dxa"/>
            <w:tcBorders/>
            <w:vAlign w:val="bottom"/>
          </w:tcPr>
          <w:p>
            <w:pPr>
              <w:pStyle w:val="TableContents"/>
              <w:bidi w:val="0"/>
              <w:spacing w:before="0" w:after="283"/>
              <w:jc w:val="left"/>
              <w:rPr/>
            </w:pPr>
            <w:r>
              <w:rPr/>
              <w:t>  </w:t>
            </w:r>
          </w:p>
        </w:tc>
        <w:tc>
          <w:tcPr>
            <w:tcW w:w="3614"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94" w:type="dxa"/>
            <w:tcBorders/>
            <w:vAlign w:val="bottom"/>
          </w:tcPr>
          <w:p>
            <w:pPr>
              <w:pStyle w:val="TableContents"/>
              <w:bidi w:val="0"/>
              <w:spacing w:before="0" w:after="283"/>
              <w:jc w:val="left"/>
              <w:rPr/>
            </w:pPr>
            <w:r>
              <w:rPr/>
              <w:t> </w:t>
            </w:r>
          </w:p>
        </w:tc>
        <w:tc>
          <w:tcPr>
            <w:tcW w:w="1891" w:type="dxa"/>
            <w:tcBorders/>
          </w:tcPr>
          <w:p>
            <w:pPr>
              <w:pStyle w:val="TableContents"/>
              <w:bidi w:val="0"/>
              <w:spacing w:before="0" w:after="283"/>
              <w:jc w:val="center"/>
              <w:rPr/>
            </w:pPr>
            <w:r>
              <w:rPr/>
              <w:t>June 30, 2026</w:t>
            </w:r>
          </w:p>
        </w:tc>
      </w:tr>
      <w:tr>
        <w:trPr>
          <w:trHeight w:val="240" w:hRule="atLeast"/>
        </w:trPr>
        <w:tc>
          <w:tcPr>
            <w:tcW w:w="4385" w:type="dxa"/>
            <w:tcBorders/>
            <w:vAlign w:val="center"/>
          </w:tcPr>
          <w:p>
            <w:pPr>
              <w:pStyle w:val="TableContents"/>
              <w:bidi w:val="0"/>
              <w:spacing w:before="0" w:after="283"/>
              <w:jc w:val="left"/>
              <w:rPr>
                <w:sz w:val="4"/>
                <w:szCs w:val="4"/>
              </w:rPr>
            </w:pPr>
            <w:r>
              <w:rPr>
                <w:sz w:val="4"/>
                <w:szCs w:val="4"/>
              </w:rPr>
            </w:r>
          </w:p>
        </w:tc>
        <w:tc>
          <w:tcPr>
            <w:tcW w:w="3735" w:type="dxa"/>
            <w:gridSpan w:val="2"/>
            <w:tcBorders/>
            <w:vAlign w:val="center"/>
          </w:tcPr>
          <w:p>
            <w:pPr>
              <w:pStyle w:val="TableContents"/>
              <w:bidi w:val="0"/>
              <w:spacing w:before="0" w:after="283"/>
              <w:jc w:val="left"/>
              <w:rPr>
                <w:sz w:val="4"/>
                <w:szCs w:val="4"/>
              </w:rPr>
            </w:pPr>
            <w:r>
              <w:rPr>
                <w:sz w:val="4"/>
                <w:szCs w:val="4"/>
              </w:rPr>
            </w:r>
          </w:p>
        </w:tc>
        <w:tc>
          <w:tcPr>
            <w:tcW w:w="2085" w:type="dxa"/>
            <w:gridSpan w:val="2"/>
            <w:tcBorders/>
            <w:vAlign w:val="center"/>
          </w:tcPr>
          <w:p>
            <w:pPr>
              <w:pStyle w:val="TableContents"/>
              <w:bidi w:val="0"/>
              <w:spacing w:before="0" w:after="283"/>
              <w:jc w:val="left"/>
              <w:rPr>
                <w:sz w:val="4"/>
                <w:szCs w:val="4"/>
              </w:rPr>
            </w:pPr>
            <w:r>
              <w:rPr>
                <w:sz w:val="4"/>
                <w:szCs w:val="4"/>
              </w:rPr>
            </w:r>
          </w:p>
        </w:tc>
      </w:tr>
      <w:tr>
        <w:trPr/>
        <w:tc>
          <w:tcPr>
            <w:tcW w:w="438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June Lee</w:t>
            </w:r>
          </w:p>
        </w:tc>
        <w:tc>
          <w:tcPr>
            <w:tcW w:w="121" w:type="dxa"/>
            <w:tcBorders/>
            <w:vAlign w:val="bottom"/>
          </w:tcPr>
          <w:p>
            <w:pPr>
              <w:pStyle w:val="TableContents"/>
              <w:bidi w:val="0"/>
              <w:spacing w:before="0" w:after="283"/>
              <w:jc w:val="left"/>
              <w:rPr/>
            </w:pPr>
            <w:r>
              <w:rPr/>
              <w:t>  </w:t>
            </w:r>
          </w:p>
        </w:tc>
        <w:tc>
          <w:tcPr>
            <w:tcW w:w="3614"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94" w:type="dxa"/>
            <w:tcBorders/>
            <w:vAlign w:val="bottom"/>
          </w:tcPr>
          <w:p>
            <w:pPr>
              <w:pStyle w:val="TableContents"/>
              <w:bidi w:val="0"/>
              <w:spacing w:before="0" w:after="283"/>
              <w:jc w:val="left"/>
              <w:rPr/>
            </w:pPr>
            <w:r>
              <w:rPr/>
              <w:t> </w:t>
            </w:r>
          </w:p>
        </w:tc>
        <w:tc>
          <w:tcPr>
            <w:tcW w:w="1891" w:type="dxa"/>
            <w:tcBorders/>
          </w:tcPr>
          <w:p>
            <w:pPr>
              <w:pStyle w:val="TableContents"/>
              <w:bidi w:val="0"/>
              <w:spacing w:before="0" w:after="283"/>
              <w:jc w:val="center"/>
              <w:rPr/>
            </w:pPr>
            <w:r>
              <w:rPr/>
              <w:t>June 30, 2026</w:t>
            </w:r>
          </w:p>
        </w:tc>
      </w:tr>
      <w:tr>
        <w:trPr>
          <w:trHeight w:val="240" w:hRule="atLeast"/>
        </w:trPr>
        <w:tc>
          <w:tcPr>
            <w:tcW w:w="4385" w:type="dxa"/>
            <w:tcBorders/>
            <w:vAlign w:val="center"/>
          </w:tcPr>
          <w:p>
            <w:pPr>
              <w:pStyle w:val="TableContents"/>
              <w:bidi w:val="0"/>
              <w:spacing w:before="0" w:after="283"/>
              <w:jc w:val="left"/>
              <w:rPr>
                <w:sz w:val="4"/>
                <w:szCs w:val="4"/>
              </w:rPr>
            </w:pPr>
            <w:r>
              <w:rPr>
                <w:sz w:val="4"/>
                <w:szCs w:val="4"/>
              </w:rPr>
            </w:r>
          </w:p>
        </w:tc>
        <w:tc>
          <w:tcPr>
            <w:tcW w:w="3735" w:type="dxa"/>
            <w:gridSpan w:val="2"/>
            <w:tcBorders/>
            <w:vAlign w:val="center"/>
          </w:tcPr>
          <w:p>
            <w:pPr>
              <w:pStyle w:val="TableContents"/>
              <w:bidi w:val="0"/>
              <w:spacing w:before="0" w:after="283"/>
              <w:jc w:val="left"/>
              <w:rPr>
                <w:sz w:val="4"/>
                <w:szCs w:val="4"/>
              </w:rPr>
            </w:pPr>
            <w:r>
              <w:rPr>
                <w:sz w:val="4"/>
                <w:szCs w:val="4"/>
              </w:rPr>
            </w:r>
          </w:p>
        </w:tc>
        <w:tc>
          <w:tcPr>
            <w:tcW w:w="2085" w:type="dxa"/>
            <w:gridSpan w:val="2"/>
            <w:tcBorders/>
            <w:vAlign w:val="center"/>
          </w:tcPr>
          <w:p>
            <w:pPr>
              <w:pStyle w:val="TableContents"/>
              <w:bidi w:val="0"/>
              <w:spacing w:before="0" w:after="283"/>
              <w:jc w:val="left"/>
              <w:rPr>
                <w:sz w:val="4"/>
                <w:szCs w:val="4"/>
              </w:rPr>
            </w:pPr>
            <w:r>
              <w:rPr>
                <w:sz w:val="4"/>
                <w:szCs w:val="4"/>
              </w:rPr>
            </w:r>
          </w:p>
        </w:tc>
      </w:tr>
      <w:tr>
        <w:trPr/>
        <w:tc>
          <w:tcPr>
            <w:tcW w:w="438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Troy Ignelzi</w:t>
            </w:r>
          </w:p>
        </w:tc>
        <w:tc>
          <w:tcPr>
            <w:tcW w:w="121" w:type="dxa"/>
            <w:tcBorders/>
            <w:vAlign w:val="bottom"/>
          </w:tcPr>
          <w:p>
            <w:pPr>
              <w:pStyle w:val="TableContents"/>
              <w:bidi w:val="0"/>
              <w:spacing w:before="0" w:after="283"/>
              <w:jc w:val="left"/>
              <w:rPr/>
            </w:pPr>
            <w:r>
              <w:rPr/>
              <w:t>  </w:t>
            </w:r>
          </w:p>
        </w:tc>
        <w:tc>
          <w:tcPr>
            <w:tcW w:w="3614"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94" w:type="dxa"/>
            <w:tcBorders/>
            <w:vAlign w:val="bottom"/>
          </w:tcPr>
          <w:p>
            <w:pPr>
              <w:pStyle w:val="TableContents"/>
              <w:bidi w:val="0"/>
              <w:spacing w:before="0" w:after="283"/>
              <w:jc w:val="left"/>
              <w:rPr/>
            </w:pPr>
            <w:r>
              <w:rPr/>
              <w:t> </w:t>
            </w:r>
          </w:p>
        </w:tc>
        <w:tc>
          <w:tcPr>
            <w:tcW w:w="1891" w:type="dxa"/>
            <w:tcBorders/>
          </w:tcPr>
          <w:p>
            <w:pPr>
              <w:pStyle w:val="TableContents"/>
              <w:bidi w:val="0"/>
              <w:spacing w:before="0" w:after="283"/>
              <w:jc w:val="center"/>
              <w:rPr/>
            </w:pPr>
            <w:r>
              <w:rPr/>
              <w:t>June 30,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471"/>
        <w:gridCol w:w="123"/>
        <w:gridCol w:w="3475"/>
        <w:gridCol w:w="203"/>
        <w:gridCol w:w="1933"/>
      </w:tblGrid>
      <w:tr>
        <w:trPr/>
        <w:tc>
          <w:tcPr>
            <w:tcW w:w="447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47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r>
      <w:tr>
        <w:trPr/>
        <w:tc>
          <w:tcPr>
            <w:tcW w:w="447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Camilla Soenderby</w:t>
            </w:r>
          </w:p>
        </w:tc>
        <w:tc>
          <w:tcPr>
            <w:tcW w:w="123" w:type="dxa"/>
            <w:tcBorders/>
            <w:vAlign w:val="bottom"/>
          </w:tcPr>
          <w:p>
            <w:pPr>
              <w:pStyle w:val="TableContents"/>
              <w:bidi w:val="0"/>
              <w:spacing w:before="0" w:after="283"/>
              <w:jc w:val="left"/>
              <w:rPr/>
            </w:pPr>
            <w:r>
              <w:rPr/>
              <w:t>  </w:t>
            </w:r>
          </w:p>
        </w:tc>
        <w:tc>
          <w:tcPr>
            <w:tcW w:w="3475"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1933" w:type="dxa"/>
            <w:tcBorders/>
          </w:tcPr>
          <w:p>
            <w:pPr>
              <w:pStyle w:val="TableContents"/>
              <w:bidi w:val="0"/>
              <w:spacing w:before="0" w:after="283"/>
              <w:jc w:val="center"/>
              <w:rPr/>
            </w:pPr>
            <w:r>
              <w:rPr/>
              <w:t>June 30, 2026</w:t>
            </w:r>
          </w:p>
        </w:tc>
      </w:tr>
      <w:tr>
        <w:trPr>
          <w:trHeight w:val="240" w:hRule="atLeast"/>
        </w:trPr>
        <w:tc>
          <w:tcPr>
            <w:tcW w:w="4471" w:type="dxa"/>
            <w:tcBorders/>
            <w:vAlign w:val="center"/>
          </w:tcPr>
          <w:p>
            <w:pPr>
              <w:pStyle w:val="TableContents"/>
              <w:bidi w:val="0"/>
              <w:spacing w:before="0" w:after="283"/>
              <w:jc w:val="left"/>
              <w:rPr>
                <w:sz w:val="4"/>
                <w:szCs w:val="4"/>
              </w:rPr>
            </w:pPr>
            <w:r>
              <w:rPr>
                <w:sz w:val="4"/>
                <w:szCs w:val="4"/>
              </w:rPr>
            </w:r>
          </w:p>
        </w:tc>
        <w:tc>
          <w:tcPr>
            <w:tcW w:w="3598" w:type="dxa"/>
            <w:gridSpan w:val="2"/>
            <w:tcBorders/>
            <w:vAlign w:val="center"/>
          </w:tcPr>
          <w:p>
            <w:pPr>
              <w:pStyle w:val="TableContents"/>
              <w:bidi w:val="0"/>
              <w:spacing w:before="0" w:after="283"/>
              <w:jc w:val="left"/>
              <w:rPr>
                <w:sz w:val="4"/>
                <w:szCs w:val="4"/>
              </w:rPr>
            </w:pPr>
            <w:r>
              <w:rPr>
                <w:sz w:val="4"/>
                <w:szCs w:val="4"/>
              </w:rPr>
            </w:r>
          </w:p>
        </w:tc>
        <w:tc>
          <w:tcPr>
            <w:tcW w:w="2136" w:type="dxa"/>
            <w:gridSpan w:val="2"/>
            <w:tcBorders/>
            <w:vAlign w:val="center"/>
          </w:tcPr>
          <w:p>
            <w:pPr>
              <w:pStyle w:val="TableContents"/>
              <w:bidi w:val="0"/>
              <w:spacing w:before="0" w:after="283"/>
              <w:jc w:val="left"/>
              <w:rPr>
                <w:sz w:val="4"/>
                <w:szCs w:val="4"/>
              </w:rPr>
            </w:pPr>
            <w:r>
              <w:rPr>
                <w:sz w:val="4"/>
                <w:szCs w:val="4"/>
              </w:rPr>
            </w:r>
          </w:p>
        </w:tc>
      </w:tr>
      <w:tr>
        <w:trPr/>
        <w:tc>
          <w:tcPr>
            <w:tcW w:w="447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Dominik Höchli</w:t>
            </w:r>
          </w:p>
        </w:tc>
        <w:tc>
          <w:tcPr>
            <w:tcW w:w="123" w:type="dxa"/>
            <w:tcBorders/>
            <w:vAlign w:val="bottom"/>
          </w:tcPr>
          <w:p>
            <w:pPr>
              <w:pStyle w:val="TableContents"/>
              <w:bidi w:val="0"/>
              <w:spacing w:before="0" w:after="283"/>
              <w:jc w:val="left"/>
              <w:rPr/>
            </w:pPr>
            <w:r>
              <w:rPr/>
              <w:t>  </w:t>
            </w:r>
          </w:p>
        </w:tc>
        <w:tc>
          <w:tcPr>
            <w:tcW w:w="3475"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1933" w:type="dxa"/>
            <w:tcBorders/>
          </w:tcPr>
          <w:p>
            <w:pPr>
              <w:pStyle w:val="TableContents"/>
              <w:bidi w:val="0"/>
              <w:spacing w:before="0" w:after="283"/>
              <w:jc w:val="center"/>
              <w:rPr/>
            </w:pPr>
            <w:r>
              <w:rPr/>
              <w:t>June 30, 2026</w:t>
            </w:r>
          </w:p>
        </w:tc>
      </w:tr>
    </w:tbl>
    <w:tbl>
      <w:tblPr>
        <w:tblW w:w="2000" w:type="pct"/>
        <w:jc w:val="left"/>
        <w:tblInd w:w="0" w:type="dxa"/>
        <w:tblLayout w:type="fixed"/>
        <w:tblCellMar>
          <w:top w:w="0" w:type="dxa"/>
          <w:left w:w="0" w:type="dxa"/>
          <w:bottom w:w="0" w:type="dxa"/>
          <w:right w:w="0" w:type="dxa"/>
        </w:tblCellMar>
      </w:tblPr>
      <w:tblGrid>
        <w:gridCol w:w="518"/>
        <w:gridCol w:w="60"/>
        <w:gridCol w:w="3504"/>
      </w:tblGrid>
      <w:tr>
        <w:trPr/>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0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18" w:type="dxa"/>
            <w:tcBorders/>
            <w:vAlign w:val="center"/>
          </w:tcPr>
          <w:p>
            <w:pPr>
              <w:pStyle w:val="TableContents"/>
              <w:bidi w:val="0"/>
              <w:spacing w:before="0" w:after="283"/>
              <w:jc w:val="left"/>
              <w:rPr>
                <w:sz w:val="4"/>
                <w:szCs w:val="4"/>
              </w:rPr>
            </w:pPr>
            <w:r>
              <w:rPr>
                <w:sz w:val="4"/>
                <w:szCs w:val="4"/>
              </w:rPr>
            </w:r>
          </w:p>
        </w:tc>
        <w:tc>
          <w:tcPr>
            <w:tcW w:w="3564"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04" w:type="dxa"/>
            <w:tcBorders>
              <w:bottom w:val="single" w:sz="2" w:space="0" w:color="000000"/>
            </w:tcBorders>
            <w:tcMar>
              <w:bottom w:w="28" w:type="dxa"/>
            </w:tcMar>
          </w:tcPr>
          <w:p>
            <w:pPr>
              <w:pStyle w:val="TableContents"/>
              <w:bidi w:val="0"/>
              <w:spacing w:before="0" w:after="283"/>
              <w:jc w:val="left"/>
              <w:rPr/>
            </w:pPr>
            <w:r>
              <w:rPr/>
              <w:t>/s/ Marc de Garidel</w:t>
            </w:r>
          </w:p>
        </w:tc>
      </w:tr>
      <w:tr>
        <w:trPr/>
        <w:tc>
          <w:tcPr>
            <w:tcW w:w="5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4"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Marc de Garidel</w:t>
            </w:r>
          </w:p>
          <w:p>
            <w:pPr>
              <w:pStyle w:val="TableContents"/>
              <w:bidi w:val="0"/>
              <w:spacing w:before="0" w:after="20"/>
              <w:jc w:val="left"/>
              <w:rPr>
                <w:rFonts w:ascii="Times New Roman" w:hAnsi="Times New Roman"/>
                <w:i/>
                <w:sz w:val="20"/>
              </w:rPr>
            </w:pPr>
            <w:r>
              <w:rPr>
                <w:rFonts w:ascii="Times New Roman" w:hAnsi="Times New Roman"/>
                <w:i/>
                <w:sz w:val="20"/>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 OF AUTHORIZED U.S.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Securities Act of 1933, as amended, the undersigned, the duly authorized representative in the United States of Abivax SA, has signed this post-effective amendment to the registration statement on June 30,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de Garidel</w:t>
            </w:r>
          </w:p>
        </w:tc>
      </w:tr>
      <w:tr>
        <w:trPr/>
        <w:tc>
          <w:tcPr>
            <w:tcW w:w="4082" w:type="dxa"/>
            <w:tcBorders/>
            <w:vAlign w:val="bottom"/>
          </w:tcPr>
          <w:p>
            <w:pPr>
              <w:pStyle w:val="TableContents"/>
              <w:bidi w:val="0"/>
              <w:spacing w:before="0" w:after="283"/>
              <w:jc w:val="left"/>
              <w:rPr/>
            </w:pPr>
            <w:r>
              <w:rPr/>
              <w:t>Name: Marc de Garidel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22" w:name="d86113dex31.htm"/>
      <w:bookmarkStart w:id="23" w:name="ksd86113dex31"/>
      <w:bookmarkEnd w:id="22"/>
      <w:bookmarkEnd w:id="23"/>
      <w:r>
        <w:rPr>
          <w:rFonts w:ascii="Times New Roman" w:hAnsi="Times New Roman"/>
          <w:b/>
          <w:sz w:val="20"/>
        </w:rPr>
        <w:t xml:space="preserve">Exhibit 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ABIVAX </w:t>
      </w:r>
    </w:p>
    <w:p>
      <w:pPr>
        <w:pStyle w:val="TextBody"/>
        <w:bidi w:val="0"/>
        <w:spacing w:before="240" w:after="0"/>
        <w:jc w:val="center"/>
        <w:rPr>
          <w:rFonts w:ascii="Times New Roman" w:hAnsi="Times New Roman"/>
          <w:sz w:val="20"/>
        </w:rPr>
      </w:pPr>
      <w:r>
        <w:rPr>
          <w:rFonts w:ascii="Times New Roman" w:hAnsi="Times New Roman"/>
          <w:sz w:val="20"/>
        </w:rPr>
        <w:t xml:space="preserve">A French </w:t>
      </w:r>
      <w:r>
        <w:rPr>
          <w:rFonts w:ascii="Times New Roman" w:hAnsi="Times New Roman"/>
          <w:i/>
          <w:sz w:val="20"/>
        </w:rPr>
        <w:t>Société Anonyme</w:t>
      </w:r>
      <w:r>
        <w:rPr>
          <w:rFonts w:ascii="Times New Roman" w:hAnsi="Times New Roman"/>
          <w:sz w:val="20"/>
        </w:rPr>
        <w:t xml:space="preserve"> (limited company) with share capital of 798,006.69 </w:t>
      </w:r>
    </w:p>
    <w:p>
      <w:pPr>
        <w:pStyle w:val="TextBody"/>
        <w:bidi w:val="0"/>
        <w:spacing w:before="0" w:after="0"/>
        <w:jc w:val="center"/>
        <w:rPr>
          <w:rFonts w:ascii="Times New Roman" w:hAnsi="Times New Roman"/>
          <w:sz w:val="20"/>
        </w:rPr>
      </w:pPr>
      <w:r>
        <w:rPr>
          <w:rFonts w:ascii="Times New Roman" w:hAnsi="Times New Roman"/>
          <w:sz w:val="20"/>
        </w:rPr>
        <w:t xml:space="preserve">Registered office: 7-11 Boulevard Haussmann </w:t>
      </w:r>
    </w:p>
    <w:p>
      <w:pPr>
        <w:pStyle w:val="TextBody"/>
        <w:bidi w:val="0"/>
        <w:spacing w:before="0" w:after="0"/>
        <w:jc w:val="center"/>
        <w:rPr>
          <w:rFonts w:ascii="Times New Roman" w:hAnsi="Times New Roman"/>
          <w:sz w:val="20"/>
        </w:rPr>
      </w:pPr>
      <w:r>
        <w:rPr>
          <w:rFonts w:ascii="Times New Roman" w:hAnsi="Times New Roman"/>
          <w:sz w:val="20"/>
        </w:rPr>
        <w:t xml:space="preserve">75009 Paris </w:t>
      </w:r>
    </w:p>
    <w:p>
      <w:pPr>
        <w:pStyle w:val="TextBody"/>
        <w:bidi w:val="0"/>
        <w:spacing w:before="0" w:after="0"/>
        <w:jc w:val="center"/>
        <w:rPr>
          <w:rFonts w:ascii="Times New Roman" w:hAnsi="Times New Roman"/>
          <w:sz w:val="20"/>
        </w:rPr>
      </w:pPr>
      <w:r>
        <w:rPr>
          <w:rFonts w:ascii="Times New Roman" w:hAnsi="Times New Roman"/>
          <w:sz w:val="20"/>
        </w:rPr>
        <w:t xml:space="preserve">Paris Trade and Companies Register No 799 363 718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MEMORANDUM AND ARTICLES OF ASSOCIATION </w:t>
      </w:r>
    </w:p>
    <w:p>
      <w:pPr>
        <w:pStyle w:val="TextBody"/>
        <w:bidi w:val="0"/>
        <w:spacing w:before="240" w:after="0"/>
        <w:jc w:val="center"/>
        <w:rPr>
          <w:rFonts w:ascii="Times New Roman" w:hAnsi="Times New Roman"/>
          <w:sz w:val="20"/>
        </w:rPr>
      </w:pPr>
      <w:r>
        <w:rPr>
          <w:rFonts w:ascii="Times New Roman" w:hAnsi="Times New Roman"/>
          <w:sz w:val="20"/>
        </w:rPr>
        <w:t xml:space="preserve">Updated on June 26,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Certified as true to the original</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[Signature]</w:t>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center"/>
              <w:rPr/>
            </w:pPr>
            <w:r>
              <w:rPr/>
              <w:t>The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SECTION I </w:t>
      </w:r>
    </w:p>
    <w:p>
      <w:pPr>
        <w:pStyle w:val="TextBody"/>
        <w:bidi w:val="0"/>
        <w:spacing w:before="0" w:after="0"/>
        <w:jc w:val="center"/>
        <w:rPr>
          <w:rFonts w:ascii="Times New Roman" w:hAnsi="Times New Roman"/>
          <w:b/>
          <w:sz w:val="20"/>
        </w:rPr>
      </w:pPr>
      <w:r>
        <w:rPr>
          <w:rFonts w:ascii="Times New Roman" w:hAnsi="Times New Roman"/>
          <w:b/>
          <w:sz w:val="20"/>
        </w:rPr>
        <w:t xml:space="preserve">LEGAL FORM – COMPANY NAME – OBJECTS – REGISTERED OFFICE – TERM OF INCORPORATION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1.</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LEGAL FORM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Abivax (hereinafter, the ‘</w:t>
      </w:r>
      <w:r>
        <w:rPr>
          <w:rFonts w:ascii="Times New Roman" w:hAnsi="Times New Roman"/>
          <w:b/>
          <w:sz w:val="20"/>
        </w:rPr>
        <w:t>Company</w:t>
      </w:r>
      <w:r>
        <w:rPr>
          <w:rFonts w:ascii="Times New Roman" w:hAnsi="Times New Roman"/>
          <w:sz w:val="20"/>
        </w:rPr>
        <w:t xml:space="preserve">’) is a French </w:t>
      </w:r>
      <w:r>
        <w:rPr>
          <w:rFonts w:ascii="Times New Roman" w:hAnsi="Times New Roman"/>
          <w:i/>
          <w:sz w:val="20"/>
        </w:rPr>
        <w:t>société anonyme</w:t>
      </w:r>
      <w:r>
        <w:rPr>
          <w:rFonts w:ascii="Times New Roman" w:hAnsi="Times New Roman"/>
          <w:sz w:val="20"/>
        </w:rPr>
        <w:t xml:space="preserve"> (limited company) with a Board of Directors, which is governed by the laws and regulations in force and by these Articles.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2.</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COMPANY NAME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name of the Company is: </w:t>
      </w:r>
    </w:p>
    <w:p>
      <w:pPr>
        <w:pStyle w:val="TextBody"/>
        <w:bidi w:val="0"/>
        <w:spacing w:before="480" w:after="0"/>
        <w:jc w:val="center"/>
        <w:rPr>
          <w:rFonts w:ascii="Times New Roman" w:hAnsi="Times New Roman"/>
          <w:b/>
          <w:sz w:val="20"/>
        </w:rPr>
      </w:pPr>
      <w:r>
        <w:rPr>
          <w:rFonts w:ascii="Times New Roman" w:hAnsi="Times New Roman"/>
          <w:b/>
          <w:sz w:val="20"/>
        </w:rPr>
        <w:t xml:space="preserve">ABIVAX </w:t>
      </w:r>
    </w:p>
    <w:p>
      <w:pPr>
        <w:pStyle w:val="TextBody"/>
        <w:bidi w:val="0"/>
        <w:spacing w:before="240" w:after="0"/>
        <w:jc w:val="left"/>
        <w:rPr>
          <w:rFonts w:ascii="Times New Roman" w:hAnsi="Times New Roman"/>
          <w:sz w:val="20"/>
        </w:rPr>
      </w:pPr>
      <w:r>
        <w:rPr>
          <w:rFonts w:ascii="Times New Roman" w:hAnsi="Times New Roman"/>
          <w:sz w:val="20"/>
        </w:rPr>
        <w:t>In all instruments and documents issued by the Company and intended for third parties, the company name must always be preceded or followed immediately and clearly by the words ‘</w:t>
      </w:r>
      <w:r>
        <w:rPr>
          <w:rFonts w:ascii="Times New Roman" w:hAnsi="Times New Roman"/>
          <w:i/>
          <w:sz w:val="20"/>
        </w:rPr>
        <w:t>Société Anonyme</w:t>
      </w:r>
      <w:r>
        <w:rPr>
          <w:rFonts w:ascii="Times New Roman" w:hAnsi="Times New Roman"/>
          <w:sz w:val="20"/>
        </w:rPr>
        <w:t xml:space="preserve">’ or the initials ‘SA’, the amount of share capital, the Company’s registration number and the Trade and Companies Register in which it is registered.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3.</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REGISTERED OFFICE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registered office is at: </w:t>
      </w:r>
    </w:p>
    <w:p>
      <w:pPr>
        <w:pStyle w:val="TextBody"/>
        <w:bidi w:val="0"/>
        <w:spacing w:before="360" w:after="0"/>
        <w:jc w:val="center"/>
        <w:rPr>
          <w:rFonts w:ascii="Times New Roman" w:hAnsi="Times New Roman"/>
          <w:b/>
          <w:sz w:val="20"/>
        </w:rPr>
      </w:pPr>
      <w:r>
        <w:rPr>
          <w:rFonts w:ascii="Times New Roman" w:hAnsi="Times New Roman"/>
          <w:b/>
          <w:sz w:val="20"/>
        </w:rPr>
        <w:t xml:space="preserve">7-11 Boulevard Haussmann, 75009 Paris. </w:t>
      </w:r>
    </w:p>
    <w:p>
      <w:pPr>
        <w:pStyle w:val="TextBody"/>
        <w:bidi w:val="0"/>
        <w:spacing w:before="120" w:after="0"/>
        <w:jc w:val="left"/>
        <w:rPr>
          <w:rFonts w:ascii="Times New Roman" w:hAnsi="Times New Roman"/>
          <w:sz w:val="20"/>
        </w:rPr>
      </w:pPr>
      <w:r>
        <w:rPr>
          <w:rFonts w:ascii="Times New Roman" w:hAnsi="Times New Roman"/>
          <w:sz w:val="20"/>
        </w:rPr>
        <w:t>It may be transferred to any location within the same or a neighbouring county (</w:t>
      </w:r>
      <w:r>
        <w:rPr>
          <w:rFonts w:ascii="Times New Roman" w:hAnsi="Times New Roman"/>
          <w:i/>
          <w:sz w:val="20"/>
        </w:rPr>
        <w:t>département</w:t>
      </w:r>
      <w:r>
        <w:rPr>
          <w:rFonts w:ascii="Times New Roman" w:hAnsi="Times New Roman"/>
          <w:sz w:val="20"/>
        </w:rPr>
        <w:t xml:space="preserve">) by ordinary decision of the Board of Directors, subject to ratification of that decision by the shareholders at their next Ordinary General Meeting, and to any other location by decision taken by the shareholders at an Extraordinary General Meeting. If a transfer is decided by the Board of Directors, the Board is authorised to vary these Articles accordingly.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4.</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OBJECTS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corporate purpose, directly or indirectly, in France and other countries,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engage in all research, development and marketing activities in relation to medicines and pharmaceutical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commercially exploit patents and know-how, including by means of licences;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acquire, subscribe for, hold, manage and transfer, in any form whatsoever, all shares and all transferable securities in all existing or new French or foreign companies, and generally to manage equity interests in the Company’s area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take part, directly or indirectly, in all operations and transactions that relate to, or are likely to promote the achievement of, any of the above objects, through the creation of new companies, contributions or the subscription or purchase of securities or members’ rights, mergers, business alliances, joint ventures or otherwise;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to engage in all personal property, real estate, industrial, commercial and financial operations and transactions that relate directly or indirectly to this object or to any similar or related objects, or that may be useful for, or facilitate the achievement of, such object. </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Article 5.</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 OF INCORPORATION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incorporated for a term of ninety-nine (99) years from the date it is registered in the Trade and Companies Register, unless it is wound up early or its term of incorporation is extended.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II </w:t>
      </w:r>
    </w:p>
    <w:p>
      <w:pPr>
        <w:pStyle w:val="TextBody"/>
        <w:bidi w:val="0"/>
        <w:spacing w:before="0" w:after="0"/>
        <w:jc w:val="center"/>
        <w:rPr>
          <w:rFonts w:ascii="Times New Roman" w:hAnsi="Times New Roman"/>
          <w:b/>
          <w:sz w:val="20"/>
        </w:rPr>
      </w:pPr>
      <w:r>
        <w:rPr>
          <w:rFonts w:ascii="Times New Roman" w:hAnsi="Times New Roman"/>
          <w:b/>
          <w:sz w:val="20"/>
        </w:rPr>
        <w:t xml:space="preserve">SHARE CAPITAL –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Article 6.</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Company’s share capital is set at seven hundred and seven hundred and ninety-eight thousand six euros and sixty-nine cents (EUR 798,006.69). </w:t>
      </w:r>
    </w:p>
    <w:p>
      <w:pPr>
        <w:pStyle w:val="TextBody"/>
        <w:bidi w:val="0"/>
        <w:spacing w:before="240" w:after="0"/>
        <w:jc w:val="left"/>
        <w:rPr>
          <w:rFonts w:ascii="Times New Roman" w:hAnsi="Times New Roman"/>
          <w:sz w:val="20"/>
        </w:rPr>
      </w:pPr>
      <w:r>
        <w:rPr>
          <w:rFonts w:ascii="Times New Roman" w:hAnsi="Times New Roman"/>
          <w:sz w:val="20"/>
        </w:rPr>
        <w:t xml:space="preserve">It is divided into seventy-nine million seventy-nine million eight hundred thousand six hundred and sixty-nine (79,800,669) ordinary shares, each with a par value of one euro cent (EUR 0.01), all of the same class, fully subscribed and paid 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Article 7.</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ALTERATION OF SHARE CAPITAL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1 - The share capital may be increased by any method and on any terms provided for by law. </w:t>
      </w:r>
    </w:p>
    <w:p>
      <w:pPr>
        <w:pStyle w:val="TextBody"/>
        <w:bidi w:val="0"/>
        <w:spacing w:before="240" w:after="0"/>
        <w:jc w:val="left"/>
        <w:rPr>
          <w:rFonts w:ascii="Times New Roman" w:hAnsi="Times New Roman"/>
          <w:sz w:val="20"/>
        </w:rPr>
      </w:pPr>
      <w:r>
        <w:rPr>
          <w:rFonts w:ascii="Times New Roman" w:hAnsi="Times New Roman"/>
          <w:sz w:val="20"/>
        </w:rPr>
        <w:t xml:space="preserve">The shareholders at an Extraordinary General Meeting have exclusive authority to decide, on the basis of a report by the Board of Directors, to increase the share capital and to delegate powers or authority to the Board of Directors in order to carry out the capital increase in one or more stages in accordance with applicable laws and regulations, set the applicable terms, record the completion thereof and vary these Articles accordingly. </w:t>
      </w:r>
    </w:p>
    <w:p>
      <w:pPr>
        <w:pStyle w:val="TextBody"/>
        <w:bidi w:val="0"/>
        <w:spacing w:before="240" w:after="0"/>
        <w:jc w:val="left"/>
        <w:rPr>
          <w:rFonts w:ascii="Times New Roman" w:hAnsi="Times New Roman"/>
          <w:sz w:val="20"/>
        </w:rPr>
      </w:pPr>
      <w:r>
        <w:rPr>
          <w:rFonts w:ascii="Times New Roman" w:hAnsi="Times New Roman"/>
          <w:sz w:val="20"/>
        </w:rPr>
        <w:t xml:space="preserve">The shareholders have a preferential right to subscribe for the shares issued for cash in the context of a capital increase, in proportion to the number of shares they already hold, and they may each waive their right. The shareholders at an Extraordinary General Meeting may decide to cancel this preferential subscription right in accordance with the law. </w:t>
      </w:r>
    </w:p>
    <w:p>
      <w:pPr>
        <w:pStyle w:val="TextBody"/>
        <w:bidi w:val="0"/>
        <w:spacing w:before="240" w:after="0"/>
        <w:jc w:val="left"/>
        <w:rPr>
          <w:rFonts w:ascii="Times New Roman" w:hAnsi="Times New Roman"/>
          <w:sz w:val="20"/>
        </w:rPr>
      </w:pPr>
      <w:r>
        <w:rPr>
          <w:rFonts w:ascii="Times New Roman" w:hAnsi="Times New Roman"/>
          <w:sz w:val="20"/>
        </w:rPr>
        <w:t xml:space="preserve">2 - A capital reduction must be authorised or decided by the shareholders at an Extraordinary General Meeting and must not affect shareholder equality under any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 capital reduction to an amount less than the minimum required by law may be decided on the condition that the share capital is first increased to an amount at least equal to the amount required by law, unless the legal form of the Company is changed to a form that does not require a share capital higher than that after the reduction thereof. </w:t>
      </w:r>
    </w:p>
    <w:p>
      <w:pPr>
        <w:pStyle w:val="TextBody"/>
        <w:bidi w:val="0"/>
        <w:spacing w:before="240" w:after="0"/>
        <w:jc w:val="left"/>
        <w:rPr>
          <w:rFonts w:ascii="Times New Roman" w:hAnsi="Times New Roman"/>
          <w:sz w:val="20"/>
        </w:rPr>
      </w:pPr>
      <w:r>
        <w:rPr>
          <w:rFonts w:ascii="Times New Roman" w:hAnsi="Times New Roman"/>
          <w:sz w:val="20"/>
        </w:rPr>
        <w:t xml:space="preserve">Otherwise, any interested person may petition a court of law to wind up the Company. A decision to that effect may not be made if, on the day on which the Court decides on the merits of the application, the matter has been resolved.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8.</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CAPITAL REDEMPTION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share capital may be redeemed in accordance with Article L. 225-198 </w:t>
      </w:r>
      <w:r>
        <w:rPr>
          <w:rFonts w:ascii="Times New Roman" w:hAnsi="Times New Roman"/>
          <w:i/>
          <w:sz w:val="20"/>
        </w:rPr>
        <w:t>et seq</w:t>
      </w:r>
      <w:r>
        <w:rPr>
          <w:rFonts w:ascii="Times New Roman" w:hAnsi="Times New Roman"/>
          <w:sz w:val="20"/>
        </w:rPr>
        <w:t xml:space="preserve">. of the French Commercial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9.</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PAYMENT FOR SHARES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capital increase, at least one quarter of the par value of the shares issued for cash must be paid up upon subscription, together with the entire share premium (if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balance must be paid in one or more instalments further to a call made by the Board of Directors, within five (5) years of the date of completion of the capital increase. </w:t>
      </w:r>
    </w:p>
    <w:p>
      <w:pPr>
        <w:pStyle w:val="TextBody"/>
        <w:bidi w:val="0"/>
        <w:spacing w:before="240" w:after="0"/>
        <w:jc w:val="left"/>
        <w:rPr>
          <w:rFonts w:ascii="Times New Roman" w:hAnsi="Times New Roman"/>
          <w:sz w:val="20"/>
        </w:rPr>
      </w:pPr>
      <w:r>
        <w:rPr>
          <w:rFonts w:ascii="Times New Roman" w:hAnsi="Times New Roman"/>
          <w:sz w:val="20"/>
        </w:rPr>
        <w:t xml:space="preserve">Calls for monies unpaid must be sent to the relevant subscribers and shareholders at least fifteen (15) days before the due date for each payment, by registered letter (with acknowledgement of receipt requested). </w:t>
      </w:r>
    </w:p>
    <w:p>
      <w:pPr>
        <w:pStyle w:val="TextBody"/>
        <w:bidi w:val="0"/>
        <w:spacing w:before="240" w:after="0"/>
        <w:jc w:val="left"/>
        <w:rPr>
          <w:rFonts w:ascii="Times New Roman" w:hAnsi="Times New Roman"/>
          <w:sz w:val="20"/>
        </w:rPr>
      </w:pPr>
      <w:r>
        <w:rPr>
          <w:rFonts w:ascii="Times New Roman" w:hAnsi="Times New Roman"/>
          <w:sz w:val="20"/>
        </w:rPr>
        <w:t xml:space="preserve">Any shareholder that does not make the required payments in respect of their shares on the due date will be automatically liable, without notice, to pay the Company default interest calculated daily from the payment due date, at three (3) points above the statutory rate applicable in commercial matters. </w:t>
      </w:r>
    </w:p>
    <w:p>
      <w:pPr>
        <w:pStyle w:val="TextBody"/>
        <w:bidi w:val="0"/>
        <w:spacing w:before="240" w:after="0"/>
        <w:jc w:val="left"/>
        <w:rPr>
          <w:rFonts w:ascii="Times New Roman" w:hAnsi="Times New Roman"/>
          <w:sz w:val="20"/>
        </w:rPr>
      </w:pPr>
      <w:r>
        <w:rPr>
          <w:rFonts w:ascii="Times New Roman" w:hAnsi="Times New Roman"/>
          <w:sz w:val="20"/>
        </w:rPr>
        <w:t xml:space="preserve">In order to obtain monies unpaid, the Company has the right of enforcement and may impose the penalties provided for by Article L. 228-27 </w:t>
      </w:r>
      <w:r>
        <w:rPr>
          <w:rFonts w:ascii="Times New Roman" w:hAnsi="Times New Roman"/>
          <w:i/>
          <w:sz w:val="20"/>
        </w:rPr>
        <w:t>et seq</w:t>
      </w:r>
      <w:r>
        <w:rPr>
          <w:rFonts w:ascii="Times New Roman" w:hAnsi="Times New Roman"/>
          <w:sz w:val="20"/>
        </w:rPr>
        <w:t xml:space="preserve">. of the French Commercial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27"/>
        <w:gridCol w:w="9478"/>
      </w:tblGrid>
      <w:tr>
        <w:trPr/>
        <w:tc>
          <w:tcPr>
            <w:tcW w:w="727" w:type="dxa"/>
            <w:tcBorders/>
          </w:tcPr>
          <w:p>
            <w:pPr>
              <w:pStyle w:val="TableContents"/>
              <w:bidi w:val="0"/>
              <w:spacing w:before="0" w:after="283"/>
              <w:jc w:val="left"/>
              <w:rPr>
                <w:b/>
              </w:rPr>
            </w:pPr>
            <w:r>
              <w:rPr>
                <w:b/>
              </w:rPr>
              <w:t>Article</w:t>
            </w:r>
          </w:p>
        </w:tc>
        <w:tc>
          <w:tcPr>
            <w:tcW w:w="947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10. FORM OF SHARES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bearer or registered shares, at the option of the shareholder and in accordance with the law. They shall be registered in an account in accordance with applicable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compliance with the terms and conditions provided for by law, the shares shall be registered in the name of their holders and at their discretion, either in a registered account managed by the issuing company, in a registered account managed by an outside entity or in bearer form with an approved intermediary. </w:t>
      </w:r>
    </w:p>
    <w:p>
      <w:pPr>
        <w:pStyle w:val="TextBody"/>
        <w:bidi w:val="0"/>
        <w:spacing w:before="240" w:after="0"/>
        <w:jc w:val="left"/>
        <w:rPr>
          <w:rFonts w:ascii="Times New Roman" w:hAnsi="Times New Roman"/>
          <w:sz w:val="20"/>
        </w:rPr>
      </w:pPr>
      <w:r>
        <w:rPr>
          <w:rFonts w:ascii="Times New Roman" w:hAnsi="Times New Roman"/>
          <w:sz w:val="20"/>
        </w:rPr>
        <w:t xml:space="preserve">However, if a shareholder does not have their registered address in French territory within the meaning of Article 102 of the French Civil Code, any intermediary may be registered on behalf of that holder, either in a collective account or in several individual accounts, one for each holder. </w:t>
      </w:r>
    </w:p>
    <w:p>
      <w:pPr>
        <w:pStyle w:val="TextBody"/>
        <w:bidi w:val="0"/>
        <w:spacing w:before="240" w:after="0"/>
        <w:jc w:val="left"/>
        <w:rPr>
          <w:rFonts w:ascii="Times New Roman" w:hAnsi="Times New Roman"/>
          <w:sz w:val="20"/>
        </w:rPr>
      </w:pPr>
      <w:r>
        <w:rPr>
          <w:rFonts w:ascii="Times New Roman" w:hAnsi="Times New Roman"/>
          <w:sz w:val="20"/>
        </w:rPr>
        <w:t xml:space="preserve">The shares may be involved in transactions carried out by the relevant securities clearing house.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Article 11.</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TRANSFERS – NOTIFICATION OF MAJOR HOLDINGS – RIGHTS AND OBLIGATIONS ATTACHING TO SHARES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b/>
              </w:rPr>
            </w:pPr>
            <w:r>
              <w:rPr>
                <w:b/>
              </w:rPr>
              <w:t>11.1</w:t>
            </w:r>
          </w:p>
        </w:tc>
        <w:tc>
          <w:tcPr>
            <w:tcW w:w="976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transfers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shares shall be freely negotiable upon issue, in accordance with the law. </w:t>
      </w:r>
    </w:p>
    <w:p>
      <w:pPr>
        <w:pStyle w:val="TextBody"/>
        <w:bidi w:val="0"/>
        <w:spacing w:before="240" w:after="0"/>
        <w:jc w:val="left"/>
        <w:rPr>
          <w:rFonts w:ascii="Times New Roman" w:hAnsi="Times New Roman"/>
          <w:sz w:val="20"/>
        </w:rPr>
      </w:pPr>
      <w:r>
        <w:rPr>
          <w:rFonts w:ascii="Times New Roman" w:hAnsi="Times New Roman"/>
          <w:sz w:val="20"/>
        </w:rPr>
        <w:t xml:space="preserve">They shall be registered in an account in accordance with the terms and conditions provided for by the laws and regulations in force. </w:t>
      </w:r>
    </w:p>
    <w:p>
      <w:pPr>
        <w:pStyle w:val="TextBody"/>
        <w:bidi w:val="0"/>
        <w:spacing w:before="240" w:after="0"/>
        <w:jc w:val="left"/>
        <w:rPr>
          <w:rFonts w:ascii="Times New Roman" w:hAnsi="Times New Roman"/>
          <w:sz w:val="20"/>
        </w:rPr>
      </w:pPr>
      <w:r>
        <w:rPr>
          <w:rFonts w:ascii="Times New Roman" w:hAnsi="Times New Roman"/>
          <w:sz w:val="20"/>
        </w:rPr>
        <w:t xml:space="preserve">Share transfers, irrespective of the form thereof, shall be carried out by way of a transfer from one account to another in accordance with the terms and conditions provided for by law.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b/>
              </w:rPr>
            </w:pPr>
            <w:r>
              <w:rPr>
                <w:b/>
              </w:rPr>
              <w:t>11.2</w:t>
            </w:r>
          </w:p>
        </w:tc>
        <w:tc>
          <w:tcPr>
            <w:tcW w:w="975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Notification of major holdings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to the statutory obligations to disclose information, to give notice of major holdings and, where applicable, to declare their intent, any natural or legal person and any legal entity, acting alone or in concert, who directly or indirectly holds, by any means whatsoever within the meaning of Article L. 233-7 </w:t>
      </w:r>
      <w:r>
        <w:rPr>
          <w:rFonts w:ascii="Times New Roman" w:hAnsi="Times New Roman"/>
          <w:i/>
          <w:sz w:val="20"/>
        </w:rPr>
        <w:t>et seq</w:t>
      </w:r>
      <w:r>
        <w:rPr>
          <w:rFonts w:ascii="Times New Roman" w:hAnsi="Times New Roman"/>
          <w:sz w:val="20"/>
        </w:rPr>
        <w:t xml:space="preserve">. of the French Commercial Code, a number of shares that represents 2% of the share capital and/or voting rights in the Company, is required to inform the Company of the total number of shares and voting rights or securities they hold directly or indirectly and that grant future access to the share capital of the Company. Such notice must be sent by registered letter (with acknowledgement of receipt requested) to the registered office or by any other equivalent means for the shareholders or securities holders who are resident outside France, within five (5) trading days of the date on which this threshold is exceeded. </w:t>
      </w:r>
    </w:p>
    <w:p>
      <w:pPr>
        <w:pStyle w:val="TextBody"/>
        <w:bidi w:val="0"/>
        <w:spacing w:before="240" w:after="0"/>
        <w:jc w:val="left"/>
        <w:rPr>
          <w:rFonts w:ascii="Times New Roman" w:hAnsi="Times New Roman"/>
          <w:sz w:val="20"/>
        </w:rPr>
      </w:pPr>
      <w:r>
        <w:rPr>
          <w:rFonts w:ascii="Times New Roman" w:hAnsi="Times New Roman"/>
          <w:sz w:val="20"/>
        </w:rPr>
        <w:t xml:space="preserve">Such notice must be given again for each additional 2% of the share capital or voting rights,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This disclosure obligation applies on the above terms each time the fraction of share capital and/or voting rights held by a shareholder falls below a multiple of 2% of the share capital or voting rights. </w:t>
      </w:r>
    </w:p>
    <w:p>
      <w:pPr>
        <w:pStyle w:val="TextBody"/>
        <w:bidi w:val="0"/>
        <w:spacing w:before="240" w:after="0"/>
        <w:jc w:val="left"/>
        <w:rPr>
          <w:rFonts w:ascii="Times New Roman" w:hAnsi="Times New Roman"/>
          <w:sz w:val="20"/>
        </w:rPr>
      </w:pPr>
      <w:r>
        <w:rPr>
          <w:rFonts w:ascii="Times New Roman" w:hAnsi="Times New Roman"/>
          <w:sz w:val="20"/>
        </w:rPr>
        <w:t xml:space="preserve">If no disclosure is duly made as stated above, further to a request made by one or more shareholders that hold at least 2% of the share capital or voting rights in the Company and that is recorded in the minutes of the General Meeting, the shares that exceed the percentage that should have been declared will be stripped of the right to vote at any Meeting of shareholders held within two (2) years of the date on which notice is given.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2"/>
        <w:gridCol w:w="9743"/>
      </w:tblGrid>
      <w:tr>
        <w:trPr/>
        <w:tc>
          <w:tcPr>
            <w:tcW w:w="462" w:type="dxa"/>
            <w:tcBorders/>
          </w:tcPr>
          <w:p>
            <w:pPr>
              <w:pStyle w:val="TableContents"/>
              <w:bidi w:val="0"/>
              <w:spacing w:before="0" w:after="283"/>
              <w:jc w:val="left"/>
              <w:rPr>
                <w:b/>
              </w:rPr>
            </w:pPr>
            <w:r>
              <w:rPr>
                <w:b/>
              </w:rPr>
              <w:t>11.3</w:t>
            </w:r>
          </w:p>
        </w:tc>
        <w:tc>
          <w:tcPr>
            <w:tcW w:w="974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Rights and obligations associated with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 Each share entitles its holder to a portion of the Company’s profit, assets and liquidation surplus, in net proportion to the percentage of share capital it represents. </w:t>
      </w:r>
    </w:p>
    <w:p>
      <w:pPr>
        <w:pStyle w:val="TextBody"/>
        <w:bidi w:val="0"/>
        <w:spacing w:before="240" w:after="0"/>
        <w:jc w:val="left"/>
        <w:rPr>
          <w:rFonts w:ascii="Times New Roman" w:hAnsi="Times New Roman"/>
          <w:sz w:val="20"/>
        </w:rPr>
      </w:pPr>
      <w:r>
        <w:rPr>
          <w:rFonts w:ascii="Times New Roman" w:hAnsi="Times New Roman"/>
          <w:sz w:val="20"/>
        </w:rPr>
        <w:t xml:space="preserve">It also entitles its holder to take part in General Meetings and to vote on resolutions in accordance with the law and these Articles. </w:t>
      </w:r>
    </w:p>
    <w:p>
      <w:pPr>
        <w:pStyle w:val="TextBody"/>
        <w:bidi w:val="0"/>
        <w:spacing w:before="240" w:after="0"/>
        <w:jc w:val="left"/>
        <w:rPr>
          <w:rFonts w:ascii="Times New Roman" w:hAnsi="Times New Roman"/>
          <w:sz w:val="20"/>
        </w:rPr>
      </w:pPr>
      <w:r>
        <w:rPr>
          <w:rFonts w:ascii="Times New Roman" w:hAnsi="Times New Roman"/>
          <w:sz w:val="20"/>
        </w:rPr>
        <w:t xml:space="preserve">2 - Shareholder liability for the Company’s debts is limited to the amounts contributed by them. The rights and obligations attaching to shares shall remain attached thereto, irrespective of the holder. </w:t>
      </w:r>
    </w:p>
    <w:p>
      <w:pPr>
        <w:pStyle w:val="TextBody"/>
        <w:bidi w:val="0"/>
        <w:spacing w:before="240" w:after="0"/>
        <w:jc w:val="left"/>
        <w:rPr>
          <w:rFonts w:ascii="Times New Roman" w:hAnsi="Times New Roman"/>
          <w:sz w:val="20"/>
        </w:rPr>
      </w:pPr>
      <w:r>
        <w:rPr>
          <w:rFonts w:ascii="Times New Roman" w:hAnsi="Times New Roman"/>
          <w:sz w:val="20"/>
        </w:rPr>
        <w:t xml:space="preserve">Share ownership automatically entails acceptance of, and an agreement to comply with, these Articles and the decisions taken at General Meetings of the Company’s shareholders. </w:t>
      </w:r>
    </w:p>
    <w:p>
      <w:pPr>
        <w:pStyle w:val="TextBody"/>
        <w:bidi w:val="0"/>
        <w:spacing w:before="240" w:after="0"/>
        <w:jc w:val="left"/>
        <w:rPr>
          <w:rFonts w:ascii="Times New Roman" w:hAnsi="Times New Roman"/>
          <w:sz w:val="20"/>
        </w:rPr>
      </w:pPr>
      <w:r>
        <w:rPr>
          <w:rFonts w:ascii="Times New Roman" w:hAnsi="Times New Roman"/>
          <w:sz w:val="20"/>
        </w:rPr>
        <w:t xml:space="preserve">3 - Whenever it is necessary to hold several shares in order to exercise a right of whatever kind (exchange, pooling, allotment of securities, capital increase or reduction, merger or any other corporate operation), the holders of single shares or of an insufficient number of shares may exercise this right on the condition that they arrange to pool and potentially purchase or sell the required number of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2"/>
        <w:gridCol w:w="9763"/>
      </w:tblGrid>
      <w:tr>
        <w:trPr/>
        <w:tc>
          <w:tcPr>
            <w:tcW w:w="442" w:type="dxa"/>
            <w:tcBorders/>
          </w:tcPr>
          <w:p>
            <w:pPr>
              <w:pStyle w:val="TableContents"/>
              <w:bidi w:val="0"/>
              <w:spacing w:before="0" w:after="283"/>
              <w:jc w:val="left"/>
              <w:rPr>
                <w:b/>
              </w:rPr>
            </w:pPr>
            <w:r>
              <w:rPr>
                <w:b/>
              </w:rPr>
              <w:t>11.4</w:t>
            </w:r>
          </w:p>
        </w:tc>
        <w:tc>
          <w:tcPr>
            <w:tcW w:w="976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Indivisibility of shares – Legal ownership – Beneficial ownership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 The Company recognises only one holder of each share. </w:t>
      </w:r>
    </w:p>
    <w:p>
      <w:pPr>
        <w:pStyle w:val="TextBody"/>
        <w:bidi w:val="0"/>
        <w:spacing w:before="240" w:after="0"/>
        <w:jc w:val="left"/>
        <w:rPr>
          <w:rFonts w:ascii="Times New Roman" w:hAnsi="Times New Roman"/>
          <w:sz w:val="20"/>
        </w:rPr>
      </w:pPr>
      <w:r>
        <w:rPr>
          <w:rFonts w:ascii="Times New Roman" w:hAnsi="Times New Roman"/>
          <w:sz w:val="20"/>
        </w:rPr>
        <w:t xml:space="preserve">The joint owners of undivided shares must be represented at General Meetings by one of their number or by a single representative. In the event of a disagreement, a representative shall be appointed by a court of law at the request of the first joint owner to act. </w:t>
      </w:r>
    </w:p>
    <w:p>
      <w:pPr>
        <w:pStyle w:val="TextBody"/>
        <w:bidi w:val="0"/>
        <w:spacing w:before="240" w:after="0"/>
        <w:jc w:val="left"/>
        <w:rPr>
          <w:rFonts w:ascii="Times New Roman" w:hAnsi="Times New Roman"/>
          <w:sz w:val="20"/>
        </w:rPr>
      </w:pPr>
      <w:r>
        <w:rPr>
          <w:rFonts w:ascii="Times New Roman" w:hAnsi="Times New Roman"/>
          <w:sz w:val="20"/>
        </w:rPr>
        <w:t>2 - Beneficial owners (</w:t>
      </w:r>
      <w:r>
        <w:rPr>
          <w:rFonts w:ascii="Times New Roman" w:hAnsi="Times New Roman"/>
          <w:i/>
          <w:sz w:val="20"/>
        </w:rPr>
        <w:t>usufruitiers</w:t>
      </w:r>
      <w:r>
        <w:rPr>
          <w:rFonts w:ascii="Times New Roman" w:hAnsi="Times New Roman"/>
          <w:sz w:val="20"/>
        </w:rPr>
        <w:t>) have the right to vote at Ordinary General Meetings and legal owners (</w:t>
      </w:r>
      <w:r>
        <w:rPr>
          <w:rFonts w:ascii="Times New Roman" w:hAnsi="Times New Roman"/>
          <w:i/>
          <w:sz w:val="20"/>
        </w:rPr>
        <w:t>nus-propriétaires</w:t>
      </w:r>
      <w:r>
        <w:rPr>
          <w:rFonts w:ascii="Times New Roman" w:hAnsi="Times New Roman"/>
          <w:sz w:val="20"/>
        </w:rPr>
        <w:t xml:space="preserve">) have the right to vote at Extraordinary General Meetings. However, the shareholders may agree to allocate the right to vote at General Meetings differently, providing that the beneficial owner is not deprived of the right to vote on decisions concerning distributions of profit. In such event, they must inform the Company of their agreement by sending a registered letter (with acknowledgement of receipt requested) to the registered office. The Company must apply the agreement for any meeting held more than one (1) month after that letter was received.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Voting rights shall be exercised by the holder of the securities pledged. </w:t>
      </w:r>
    </w:p>
    <w:p>
      <w:pPr>
        <w:pStyle w:val="TextBody"/>
        <w:bidi w:val="0"/>
        <w:spacing w:before="240" w:after="0"/>
        <w:jc w:val="left"/>
        <w:rPr>
          <w:rFonts w:ascii="Times New Roman" w:hAnsi="Times New Roman"/>
          <w:sz w:val="20"/>
        </w:rPr>
      </w:pPr>
      <w:r>
        <w:rPr>
          <w:rFonts w:ascii="Times New Roman" w:hAnsi="Times New Roman"/>
          <w:sz w:val="20"/>
        </w:rPr>
        <w:t xml:space="preserve">Legal owners may always take part in General Meetings, even if they do not have the right to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12.</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DOUBLE VOTING RIGHT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voting right attached to capital shares and dividend shares is proportionate to the amount of share capital they represent. Each share carries one voting right. </w:t>
      </w:r>
    </w:p>
    <w:p>
      <w:pPr>
        <w:pStyle w:val="TextBody"/>
        <w:bidi w:val="0"/>
        <w:spacing w:before="240" w:after="0"/>
        <w:jc w:val="left"/>
        <w:rPr>
          <w:rFonts w:ascii="Times New Roman" w:hAnsi="Times New Roman"/>
          <w:sz w:val="20"/>
        </w:rPr>
      </w:pPr>
      <w:r>
        <w:rPr>
          <w:rFonts w:ascii="Times New Roman" w:hAnsi="Times New Roman"/>
          <w:sz w:val="20"/>
        </w:rPr>
        <w:t xml:space="preserve">However, a double voting right compared to that attached to the other shares in view of the portion of share capital they represent is allocated to all fully paid-up shares that are proven to have been registered for at least two (2) years in the name of the same shareholder. </w:t>
      </w:r>
    </w:p>
    <w:p>
      <w:pPr>
        <w:pStyle w:val="TextBody"/>
        <w:bidi w:val="0"/>
        <w:spacing w:before="240" w:after="0"/>
        <w:jc w:val="left"/>
        <w:rPr>
          <w:rFonts w:ascii="Times New Roman" w:hAnsi="Times New Roman"/>
          <w:sz w:val="20"/>
        </w:rPr>
      </w:pPr>
      <w:r>
        <w:rPr>
          <w:rFonts w:ascii="Times New Roman" w:hAnsi="Times New Roman"/>
          <w:sz w:val="20"/>
        </w:rPr>
        <w:t xml:space="preserve">This double voting right shall also be granted, upon the issue of shares issued in the context of a capital increase through the capitalisation of reserves, profit or share premiums, in respect of the registered shares allotted to a shareholder free of charge on the basis of their existing shares for which they hold a double voting right. </w:t>
      </w:r>
    </w:p>
    <w:p>
      <w:pPr>
        <w:pStyle w:val="TextBody"/>
        <w:bidi w:val="0"/>
        <w:spacing w:before="240" w:after="0"/>
        <w:jc w:val="left"/>
        <w:rPr>
          <w:rFonts w:ascii="Times New Roman" w:hAnsi="Times New Roman"/>
          <w:sz w:val="20"/>
        </w:rPr>
      </w:pPr>
      <w:r>
        <w:rPr>
          <w:rFonts w:ascii="Times New Roman" w:hAnsi="Times New Roman"/>
          <w:sz w:val="20"/>
        </w:rPr>
        <w:t xml:space="preserve">A share transfer carried out as a result of an inheritance, division of marital property or </w:t>
      </w:r>
      <w:r>
        <w:rPr>
          <w:rFonts w:ascii="Times New Roman" w:hAnsi="Times New Roman"/>
          <w:i/>
          <w:sz w:val="20"/>
        </w:rPr>
        <w:t xml:space="preserve">inter vivos </w:t>
      </w:r>
      <w:r>
        <w:rPr>
          <w:rFonts w:ascii="Times New Roman" w:hAnsi="Times New Roman"/>
          <w:sz w:val="20"/>
        </w:rPr>
        <w:t xml:space="preserve">gift made to a spouse or relative entitled to inherit will not result in the loss of the right acquired and will not suspend the above period.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shall also apply in the event of a share transfer carried out as a result of a merger or spin-off involving a corporate shareholder.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merger or spin-off involving the Company will not affect the double voting right, which may be exercised within the beneficiary company or companies if so provided by the Articles of the relevant company or companies.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III </w:t>
      </w:r>
    </w:p>
    <w:p>
      <w:pPr>
        <w:pStyle w:val="TextBody"/>
        <w:bidi w:val="0"/>
        <w:spacing w:before="0" w:after="0"/>
        <w:jc w:val="center"/>
        <w:rPr>
          <w:rFonts w:ascii="Times New Roman" w:hAnsi="Times New Roman"/>
          <w:b/>
          <w:sz w:val="20"/>
        </w:rPr>
      </w:pPr>
      <w:r>
        <w:rPr>
          <w:rFonts w:ascii="Times New Roman" w:hAnsi="Times New Roman"/>
          <w:b/>
          <w:sz w:val="20"/>
        </w:rPr>
        <w:t xml:space="preserve">MANAGEMENT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13.</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BOARD OF DIRECTORS </w:t>
            </w:r>
          </w:p>
        </w:tc>
      </w:tr>
    </w:tbl>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be managed by a Board of Directors made up of no less than three (3) and no more than eighteen (18) members, subject to the exception provided for by law in the event of a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Article 14.</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DIRECTORSHIPS </w:t>
            </w:r>
          </w:p>
        </w:tc>
      </w:tr>
    </w:tbl>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2"/>
        <w:gridCol w:w="9763"/>
      </w:tblGrid>
      <w:tr>
        <w:trPr/>
        <w:tc>
          <w:tcPr>
            <w:tcW w:w="442" w:type="dxa"/>
            <w:tcBorders/>
          </w:tcPr>
          <w:p>
            <w:pPr>
              <w:pStyle w:val="TableContents"/>
              <w:bidi w:val="0"/>
              <w:spacing w:before="0" w:after="283"/>
              <w:jc w:val="left"/>
              <w:rPr>
                <w:b/>
              </w:rPr>
            </w:pPr>
            <w:r>
              <w:rPr>
                <w:b/>
              </w:rPr>
              <w:t>14.1</w:t>
            </w:r>
          </w:p>
        </w:tc>
        <w:tc>
          <w:tcPr>
            <w:tcW w:w="976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Appointment of directors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Company’s existence, the directors shall be appointed by the shareholders at an Ordinary General Meeting. However, in the event of a merger or spin-off, they may be appointed by the shareholders at an Extraordinary General Meeting. The directors shall be appointed for a term of four (4) years. Their term of office shall end at the close of the Ordinary General Meeting of shareholders held in the year in which their term of office expires to decide on the financial statements for the previous financial year.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directors may be re-elected. They may be removed at any time by decision of the shareholders taken at an Ordinary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No individual over the age of eighty-five (85) may be a director. Any director who reaches this age limit whilst in office will be deemed to have automatically stepped down at the next General Meeting. Any appointment made in breach of the foregoing will be null and void, with the exception of interim appointments. </w:t>
      </w:r>
    </w:p>
    <w:p>
      <w:pPr>
        <w:pStyle w:val="TextBody"/>
        <w:bidi w:val="0"/>
        <w:spacing w:before="240" w:after="0"/>
        <w:jc w:val="left"/>
        <w:rPr>
          <w:rFonts w:ascii="Times New Roman" w:hAnsi="Times New Roman"/>
          <w:sz w:val="20"/>
        </w:rPr>
      </w:pPr>
      <w:r>
        <w:rPr>
          <w:rFonts w:ascii="Times New Roman" w:hAnsi="Times New Roman"/>
          <w:sz w:val="20"/>
        </w:rPr>
        <w:t xml:space="preserve">Upon their appointment and throughout their term of office, all natural person directors must comply with the law on the offices which an individual may concurrently hold in a limited company that has its registered office in mainland France, subject to the exceptions provided for by law. </w:t>
      </w:r>
    </w:p>
    <w:p>
      <w:pPr>
        <w:pStyle w:val="TextBody"/>
        <w:bidi w:val="0"/>
        <w:spacing w:before="240" w:after="0"/>
        <w:jc w:val="left"/>
        <w:rPr>
          <w:rFonts w:ascii="Times New Roman" w:hAnsi="Times New Roman"/>
          <w:sz w:val="20"/>
        </w:rPr>
      </w:pPr>
      <w:r>
        <w:rPr>
          <w:rFonts w:ascii="Times New Roman" w:hAnsi="Times New Roman"/>
          <w:sz w:val="20"/>
        </w:rPr>
        <w:t xml:space="preserve">An employee of the Company may only be appointed as a director if their employment contract corresponds to an actual job position. No more than one third of the directors in office may have an employment contract with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3"/>
        <w:gridCol w:w="9762"/>
      </w:tblGrid>
      <w:tr>
        <w:trPr/>
        <w:tc>
          <w:tcPr>
            <w:tcW w:w="443" w:type="dxa"/>
            <w:tcBorders/>
          </w:tcPr>
          <w:p>
            <w:pPr>
              <w:pStyle w:val="TableContents"/>
              <w:bidi w:val="0"/>
              <w:spacing w:before="0" w:after="283"/>
              <w:jc w:val="left"/>
              <w:rPr>
                <w:b/>
              </w:rPr>
            </w:pPr>
            <w:r>
              <w:rPr>
                <w:b/>
              </w:rPr>
              <w:t>14.2</w:t>
            </w:r>
          </w:p>
        </w:tc>
        <w:tc>
          <w:tcPr>
            <w:tcW w:w="976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Legal entity directors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directors may be natural persons or legal entities. Upon the appointment of a legal entity, the latter must appoint a permanent representative, who shall be bound by the same requirements and obligations and shall incur the same liability in civil and criminal law as though they were a director in their own name, without prejudice to the joint and several liability of the legal entity they represent. The permanent representative of a legal entity director shall be subject to the same age limit as that applicable to natural person directors. </w:t>
      </w:r>
    </w:p>
    <w:p>
      <w:pPr>
        <w:pStyle w:val="TextBody"/>
        <w:bidi w:val="0"/>
        <w:spacing w:before="240" w:after="0"/>
        <w:jc w:val="left"/>
        <w:rPr>
          <w:rFonts w:ascii="Times New Roman" w:hAnsi="Times New Roman"/>
          <w:sz w:val="20"/>
        </w:rPr>
      </w:pPr>
      <w:r>
        <w:rPr>
          <w:rFonts w:ascii="Times New Roman" w:hAnsi="Times New Roman"/>
          <w:sz w:val="20"/>
        </w:rPr>
        <w:t xml:space="preserve">The permanent representative appointed by a legal entity director shall be appointed for the term of the legal entity’s directorship. </w:t>
      </w:r>
    </w:p>
    <w:p>
      <w:pPr>
        <w:pStyle w:val="TextBody"/>
        <w:bidi w:val="0"/>
        <w:spacing w:before="240" w:after="0"/>
        <w:jc w:val="left"/>
        <w:rPr>
          <w:rFonts w:ascii="Times New Roman" w:hAnsi="Times New Roman"/>
          <w:sz w:val="20"/>
        </w:rPr>
      </w:pPr>
      <w:r>
        <w:rPr>
          <w:rFonts w:ascii="Times New Roman" w:hAnsi="Times New Roman"/>
          <w:sz w:val="20"/>
        </w:rPr>
        <w:t xml:space="preserve">If the legal entity removes its permanent representative from office, it must promptly notify the Company of the removal and of the identity of its new permanent representative by registered letter. The foregoing shall also apply if the permanent representative dies or resigns. </w:t>
      </w:r>
    </w:p>
    <w:p>
      <w:pPr>
        <w:pStyle w:val="TextBody"/>
        <w:bidi w:val="0"/>
        <w:spacing w:before="240" w:after="0"/>
        <w:jc w:val="left"/>
        <w:rPr>
          <w:rFonts w:ascii="Times New Roman" w:hAnsi="Times New Roman"/>
          <w:sz w:val="20"/>
        </w:rPr>
      </w:pPr>
      <w:r>
        <w:rPr>
          <w:rFonts w:ascii="Times New Roman" w:hAnsi="Times New Roman"/>
          <w:sz w:val="20"/>
        </w:rPr>
        <w:t xml:space="preserve">The appointment of a permanent representative and the termination of their office shall be subject to the same publicity formalities as would apply if the permanent representative were a director in their own name.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1"/>
        <w:gridCol w:w="9764"/>
      </w:tblGrid>
      <w:tr>
        <w:trPr/>
        <w:tc>
          <w:tcPr>
            <w:tcW w:w="441" w:type="dxa"/>
            <w:tcBorders/>
          </w:tcPr>
          <w:p>
            <w:pPr>
              <w:pStyle w:val="TableContents"/>
              <w:bidi w:val="0"/>
              <w:spacing w:before="0" w:after="283"/>
              <w:jc w:val="left"/>
              <w:rPr>
                <w:b/>
              </w:rPr>
            </w:pPr>
            <w:r>
              <w:rPr>
                <w:b/>
              </w:rPr>
              <w:t>14.3</w:t>
            </w:r>
          </w:p>
        </w:tc>
        <w:tc>
          <w:tcPr>
            <w:tcW w:w="976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Board vacancies, death, resignation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one or more seats on the Board of Directors become vacant due to death or resignation, the Board may appoint interim directors between two General Meetings.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directors falls below the minimum required by law, the remaining directors must immediately convene an Ordinary General Meeting in order to fill the vacancies. </w:t>
      </w:r>
    </w:p>
    <w:p>
      <w:pPr>
        <w:pStyle w:val="TextBody"/>
        <w:bidi w:val="0"/>
        <w:spacing w:before="240" w:after="0"/>
        <w:jc w:val="left"/>
        <w:rPr>
          <w:rFonts w:ascii="Times New Roman" w:hAnsi="Times New Roman"/>
          <w:sz w:val="20"/>
        </w:rPr>
      </w:pPr>
      <w:r>
        <w:rPr>
          <w:rFonts w:ascii="Times New Roman" w:hAnsi="Times New Roman"/>
          <w:sz w:val="20"/>
        </w:rPr>
        <w:t xml:space="preserve">Interim appointments made by the Board shall be subject to ratification by the shareholders at their next Ordinary General Meeting. In the absence of ratification, the decisions and steps taken previously by the Board shall nevertheless remain valid.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15.</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ORGANISATION AND DECISIONS OF THE BOARD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1"/>
        <w:gridCol w:w="9764"/>
      </w:tblGrid>
      <w:tr>
        <w:trPr/>
        <w:tc>
          <w:tcPr>
            <w:tcW w:w="441" w:type="dxa"/>
            <w:tcBorders/>
          </w:tcPr>
          <w:p>
            <w:pPr>
              <w:pStyle w:val="TableContents"/>
              <w:bidi w:val="0"/>
              <w:spacing w:before="0" w:after="283"/>
              <w:jc w:val="left"/>
              <w:rPr>
                <w:b/>
              </w:rPr>
            </w:pPr>
            <w:r>
              <w:rPr>
                <w:b/>
              </w:rPr>
              <w:t>15.1</w:t>
            </w:r>
          </w:p>
        </w:tc>
        <w:tc>
          <w:tcPr>
            <w:tcW w:w="976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Chairman of the Board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of Directors shall elect a Chairman from among its members, who must be a natural person, failing which their appointment will be null and void. The Board of Directors shall determine the Chairman’s remuneration in accordance with applicable laws and regulations.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Chairman of the Board shall organise and oversee the work of the Board and report thereon to the shareholders at a General Meeting. The Chairman shall ensure that the Company’s bodies operate as required, and, in particular, that the directors are able to fulfil their duties. </w:t>
      </w:r>
    </w:p>
    <w:p>
      <w:pPr>
        <w:pStyle w:val="TextBody"/>
        <w:bidi w:val="0"/>
        <w:spacing w:before="240" w:after="0"/>
        <w:jc w:val="left"/>
        <w:rPr>
          <w:rFonts w:ascii="Times New Roman" w:hAnsi="Times New Roman"/>
          <w:sz w:val="20"/>
        </w:rPr>
      </w:pPr>
      <w:r>
        <w:rPr>
          <w:rFonts w:ascii="Times New Roman" w:hAnsi="Times New Roman"/>
          <w:sz w:val="20"/>
        </w:rPr>
        <w:t xml:space="preserve">The Chairman of the Board must be less than eighty-five (85) years of age. If the Chairman reaches this age limit whilst in office, they will be deemed to have automatically stepped down and a new Chairman must be appointed in accordance with this Article. </w:t>
      </w:r>
    </w:p>
    <w:p>
      <w:pPr>
        <w:pStyle w:val="TextBody"/>
        <w:bidi w:val="0"/>
        <w:spacing w:before="240" w:after="0"/>
        <w:jc w:val="left"/>
        <w:rPr>
          <w:rFonts w:ascii="Times New Roman" w:hAnsi="Times New Roman"/>
          <w:sz w:val="20"/>
        </w:rPr>
      </w:pPr>
      <w:r>
        <w:rPr>
          <w:rFonts w:ascii="Times New Roman" w:hAnsi="Times New Roman"/>
          <w:sz w:val="20"/>
        </w:rPr>
        <w:t xml:space="preserve">The Chairman shall be appointed for a term of office that must not exceed the term of their directorship, and they may be re-elected.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remove the Chairman from office at any time. </w:t>
      </w:r>
    </w:p>
    <w:p>
      <w:pPr>
        <w:pStyle w:val="TextBody"/>
        <w:bidi w:val="0"/>
        <w:spacing w:before="240" w:after="0"/>
        <w:jc w:val="left"/>
        <w:rPr>
          <w:rFonts w:ascii="Times New Roman" w:hAnsi="Times New Roman"/>
          <w:sz w:val="20"/>
        </w:rPr>
      </w:pPr>
      <w:r>
        <w:rPr>
          <w:rFonts w:ascii="Times New Roman" w:hAnsi="Times New Roman"/>
          <w:sz w:val="20"/>
        </w:rPr>
        <w:t xml:space="preserve">If the Chairman is subject to a temporary impediment or dies, the Board of Directors may appoint a director to fulfil the duties of Chairman.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temporary impediment, this authority shall be given for a limited period and may be renewed. If the Chairman dies, it shall apply until such time as a new Chairman has been elected.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b/>
              </w:rPr>
            </w:pPr>
            <w:r>
              <w:rPr>
                <w:b/>
              </w:rPr>
              <w:t>15.2</w:t>
            </w:r>
          </w:p>
        </w:tc>
        <w:tc>
          <w:tcPr>
            <w:tcW w:w="976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Board meetings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of Directors shall meet as often as required in the interests of the Company, further to a meeting notice sent by the Chairman or two directors. </w:t>
      </w:r>
    </w:p>
    <w:p>
      <w:pPr>
        <w:pStyle w:val="TextBody"/>
        <w:bidi w:val="0"/>
        <w:spacing w:before="240" w:after="0"/>
        <w:jc w:val="left"/>
        <w:rPr>
          <w:rFonts w:ascii="Times New Roman" w:hAnsi="Times New Roman"/>
          <w:sz w:val="20"/>
        </w:rPr>
      </w:pPr>
      <w:r>
        <w:rPr>
          <w:rFonts w:ascii="Times New Roman" w:hAnsi="Times New Roman"/>
          <w:sz w:val="20"/>
        </w:rPr>
        <w:t xml:space="preserve">If the Board has not met for more than two (2) months, a minimum of one third of Board members may ask the Chairman to convene a Board meeting to decide on a specific agenda. </w:t>
      </w:r>
    </w:p>
    <w:p>
      <w:pPr>
        <w:pStyle w:val="TextBody"/>
        <w:bidi w:val="0"/>
        <w:spacing w:before="240" w:after="0"/>
        <w:jc w:val="left"/>
        <w:rPr>
          <w:rFonts w:ascii="Times New Roman" w:hAnsi="Times New Roman"/>
          <w:sz w:val="20"/>
        </w:rPr>
      </w:pPr>
      <w:r>
        <w:rPr>
          <w:rFonts w:ascii="Times New Roman" w:hAnsi="Times New Roman"/>
          <w:sz w:val="20"/>
        </w:rPr>
        <w:t xml:space="preserve">The Chief Executive Officer may also ask the Chairman to convene a Board meeting to decide on a specific agenda. </w:t>
      </w:r>
    </w:p>
    <w:p>
      <w:pPr>
        <w:pStyle w:val="TextBody"/>
        <w:bidi w:val="0"/>
        <w:spacing w:before="240" w:after="0"/>
        <w:jc w:val="left"/>
        <w:rPr>
          <w:rFonts w:ascii="Times New Roman" w:hAnsi="Times New Roman"/>
          <w:sz w:val="20"/>
        </w:rPr>
      </w:pPr>
      <w:r>
        <w:rPr>
          <w:rFonts w:ascii="Times New Roman" w:hAnsi="Times New Roman"/>
          <w:sz w:val="20"/>
        </w:rPr>
        <w:t xml:space="preserve">The Chairman shall be bound by any requests made to them pursuant to the previous two paragraphs. Meetings may be convened by any means, including verbally. </w:t>
      </w:r>
    </w:p>
    <w:p>
      <w:pPr>
        <w:pStyle w:val="TextBody"/>
        <w:bidi w:val="0"/>
        <w:spacing w:before="240" w:after="0"/>
        <w:jc w:val="left"/>
        <w:rPr>
          <w:rFonts w:ascii="Times New Roman" w:hAnsi="Times New Roman"/>
          <w:sz w:val="20"/>
        </w:rPr>
      </w:pPr>
      <w:r>
        <w:rPr>
          <w:rFonts w:ascii="Times New Roman" w:hAnsi="Times New Roman"/>
          <w:sz w:val="20"/>
        </w:rPr>
        <w:t xml:space="preserve">The Board shall meet at the registered office or at such other location (in France or another country) as may be stated in the meeting notice, and meetings shall be chaired by the Chairman of the Board or, if the Chairman is subject to an impediment, by a member appointed by the Board to act as Chairman. </w:t>
      </w:r>
    </w:p>
    <w:p>
      <w:pPr>
        <w:pStyle w:val="TextBody"/>
        <w:bidi w:val="0"/>
        <w:spacing w:before="240" w:after="0"/>
        <w:jc w:val="left"/>
        <w:rPr>
          <w:rFonts w:ascii="Times New Roman" w:hAnsi="Times New Roman"/>
          <w:sz w:val="20"/>
        </w:rPr>
      </w:pPr>
      <w:r>
        <w:rPr>
          <w:rFonts w:ascii="Times New Roman" w:hAnsi="Times New Roman"/>
          <w:sz w:val="20"/>
        </w:rPr>
        <w:t xml:space="preserve">The participation in the deliberations of the Board of Directors by means of telecommunications is authorised for all the Board’s deliberations, unless excluded or limited to certain deliberations, as set out in the internal regulations where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Chairman of the Board shall chair meetings. If the Chairman is subject to an impediment, the Board shall appoint a member present at the meeting to act as Chairman. </w:t>
      </w:r>
    </w:p>
    <w:p>
      <w:pPr>
        <w:pStyle w:val="TextBody"/>
        <w:bidi w:val="0"/>
        <w:spacing w:before="240" w:after="0"/>
        <w:jc w:val="left"/>
        <w:rPr>
          <w:rFonts w:ascii="Times New Roman" w:hAnsi="Times New Roman"/>
          <w:sz w:val="20"/>
        </w:rPr>
      </w:pPr>
      <w:r>
        <w:rPr>
          <w:rFonts w:ascii="Times New Roman" w:hAnsi="Times New Roman"/>
          <w:sz w:val="20"/>
        </w:rPr>
        <w:t xml:space="preserve">At each meeting, the Board may appoint a secretary, who may but need not be a member of the Board. </w:t>
      </w:r>
    </w:p>
    <w:p>
      <w:pPr>
        <w:pStyle w:val="TextBody"/>
        <w:bidi w:val="0"/>
        <w:spacing w:before="240" w:after="0"/>
        <w:jc w:val="left"/>
        <w:rPr>
          <w:rFonts w:ascii="Times New Roman" w:hAnsi="Times New Roman"/>
          <w:sz w:val="20"/>
        </w:rPr>
      </w:pPr>
      <w:r>
        <w:rPr>
          <w:rFonts w:ascii="Times New Roman" w:hAnsi="Times New Roman"/>
          <w:sz w:val="20"/>
        </w:rPr>
        <w:t xml:space="preserve">A register shall be kept and must be signed by the directors who take part in each Board meeting. </w:t>
      </w:r>
    </w:p>
    <w:p>
      <w:pPr>
        <w:pStyle w:val="TextBody"/>
        <w:bidi w:val="0"/>
        <w:spacing w:before="240" w:after="0"/>
        <w:jc w:val="left"/>
        <w:rPr>
          <w:rFonts w:ascii="Times New Roman" w:hAnsi="Times New Roman"/>
          <w:sz w:val="20"/>
        </w:rPr>
      </w:pPr>
      <w:r>
        <w:rPr>
          <w:rFonts w:ascii="Times New Roman" w:hAnsi="Times New Roman"/>
          <w:sz w:val="20"/>
        </w:rPr>
        <w:t xml:space="preserve">The directors, as well as any person who is invited to attend a Board meeting, shall be bound by a duty of discretion with regard to information and data that are designated as confidential by the Chairman.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b/>
              </w:rPr>
            </w:pPr>
            <w:r>
              <w:rPr>
                <w:b/>
              </w:rPr>
              <w:t>15.3</w:t>
            </w:r>
          </w:p>
        </w:tc>
        <w:tc>
          <w:tcPr>
            <w:tcW w:w="976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Quorum and majority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may only validly transact business if at least one half of the directors are present or deemed present.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purposes of calculating the quorum and majority, directors who participate in the Board meeting by means of telecommunication, in accordance with the regulations in force, are deemed to be present. </w:t>
      </w:r>
    </w:p>
    <w:p>
      <w:pPr>
        <w:pStyle w:val="TextBody"/>
        <w:bidi w:val="0"/>
        <w:spacing w:before="240" w:after="0"/>
        <w:jc w:val="left"/>
        <w:rPr>
          <w:rFonts w:ascii="Times New Roman" w:hAnsi="Times New Roman"/>
          <w:sz w:val="20"/>
        </w:rPr>
      </w:pPr>
      <w:r>
        <w:rPr>
          <w:rFonts w:ascii="Times New Roman" w:hAnsi="Times New Roman"/>
          <w:sz w:val="20"/>
        </w:rPr>
        <w:t xml:space="preserve">Unless these Articles state otherwise, decisions must be taken by a majority of the votes cast by the members present, deemed present or represented.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tie, the Chairman shall have a casting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
        <w:gridCol w:w="9748"/>
      </w:tblGrid>
      <w:tr>
        <w:trPr/>
        <w:tc>
          <w:tcPr>
            <w:tcW w:w="457" w:type="dxa"/>
            <w:tcBorders/>
          </w:tcPr>
          <w:p>
            <w:pPr>
              <w:pStyle w:val="TableContents"/>
              <w:bidi w:val="0"/>
              <w:spacing w:before="0" w:after="283"/>
              <w:jc w:val="left"/>
              <w:rPr>
                <w:b/>
              </w:rPr>
            </w:pPr>
            <w:r>
              <w:rPr>
                <w:b/>
              </w:rPr>
              <w:t>15.4</w:t>
            </w:r>
          </w:p>
        </w:tc>
        <w:tc>
          <w:tcPr>
            <w:tcW w:w="974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director may give another director written permission to represent them at a Board meeting. </w:t>
      </w:r>
    </w:p>
    <w:p>
      <w:pPr>
        <w:pStyle w:val="TextBody"/>
        <w:bidi w:val="0"/>
        <w:spacing w:before="240" w:after="0"/>
        <w:jc w:val="left"/>
        <w:rPr>
          <w:rFonts w:ascii="Times New Roman" w:hAnsi="Times New Roman"/>
          <w:sz w:val="20"/>
        </w:rPr>
      </w:pPr>
      <w:r>
        <w:rPr>
          <w:rFonts w:ascii="Times New Roman" w:hAnsi="Times New Roman"/>
          <w:sz w:val="20"/>
        </w:rPr>
        <w:t xml:space="preserve">At any given meeting, each director may only hold one proxy form received pursuant to the previous paragraph.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apply to the permanent representative of a legal entity director.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b/>
              </w:rPr>
            </w:pPr>
            <w:r>
              <w:rPr>
                <w:b/>
              </w:rPr>
              <w:t>15.5</w:t>
            </w:r>
          </w:p>
        </w:tc>
        <w:tc>
          <w:tcPr>
            <w:tcW w:w="975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Written consultations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of Directors may also adopt all decisions falling within its own powers by means of written consultation, unless one or more directors in office object to the use of this procedure.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written consultation, the Chairman of the Board must send, by any means, including electronically, each of the directors, such documents as are needed to make decisions concerning items included on the agenda of the consultation, with an indication of the appropriate deadline for responding, as assessed by the Chairman according to the decision to be made, the urgency or the time for reflection necessary for the casting of the vote. This deadline may, if necessary, be extended by the Chairman. In the absence of an indication of a time limit, the applicable time limit will be set at five (5) days from the date on which the documents are sent. </w:t>
      </w:r>
    </w:p>
    <w:p>
      <w:pPr>
        <w:pStyle w:val="TextBody"/>
        <w:bidi w:val="0"/>
        <w:spacing w:before="240" w:after="0"/>
        <w:jc w:val="left"/>
        <w:rPr>
          <w:rFonts w:ascii="Times New Roman" w:hAnsi="Times New Roman"/>
          <w:sz w:val="20"/>
        </w:rPr>
      </w:pPr>
      <w:r>
        <w:rPr>
          <w:rFonts w:ascii="Times New Roman" w:hAnsi="Times New Roman"/>
          <w:sz w:val="20"/>
        </w:rPr>
        <w:t xml:space="preserve">The directors shall have such period of time as shall be stated in the relevant documents in which to cast their vote and to submit their observations to the Chairman, by any written means, including electronically. </w:t>
      </w:r>
    </w:p>
    <w:p>
      <w:pPr>
        <w:pStyle w:val="TextBody"/>
        <w:bidi w:val="0"/>
        <w:spacing w:before="240" w:after="0"/>
        <w:jc w:val="left"/>
        <w:rPr>
          <w:rFonts w:ascii="Times New Roman" w:hAnsi="Times New Roman"/>
          <w:sz w:val="20"/>
        </w:rPr>
      </w:pPr>
      <w:r>
        <w:rPr>
          <w:rFonts w:ascii="Times New Roman" w:hAnsi="Times New Roman"/>
          <w:sz w:val="20"/>
        </w:rPr>
        <w:t xml:space="preserve">Any director who has not responded within the allotted time (or, if no specific time is specified in the documents, within a period of five (5) days from the date the documents were sent) is considered to have abstained. </w:t>
      </w:r>
    </w:p>
    <w:p>
      <w:pPr>
        <w:pStyle w:val="TextBody"/>
        <w:bidi w:val="0"/>
        <w:spacing w:before="240" w:after="0"/>
        <w:jc w:val="left"/>
        <w:rPr>
          <w:rFonts w:ascii="Times New Roman" w:hAnsi="Times New Roman"/>
          <w:sz w:val="20"/>
        </w:rPr>
      </w:pPr>
      <w:r>
        <w:rPr>
          <w:rFonts w:ascii="Times New Roman" w:hAnsi="Times New Roman"/>
          <w:sz w:val="20"/>
        </w:rPr>
        <w:t xml:space="preserve">All directors have one working day from the date on which the documents are sent by the Chairman of the Board to object to the use of written consultation. The objection must state the reasons and may be made by any written means, including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 objection, the Chairman shall immediately inform the other directors and convene a meeting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decision may only be adopted by written consultation if at least half of the members of the Board have participated in the written consultation and if no director has exercised his right to object. </w:t>
      </w:r>
    </w:p>
    <w:p>
      <w:pPr>
        <w:pStyle w:val="TextBody"/>
        <w:bidi w:val="0"/>
        <w:spacing w:before="240" w:after="0"/>
        <w:jc w:val="left"/>
        <w:rPr>
          <w:rFonts w:ascii="Times New Roman" w:hAnsi="Times New Roman"/>
          <w:sz w:val="20"/>
        </w:rPr>
      </w:pPr>
      <w:r>
        <w:rPr>
          <w:rFonts w:ascii="Times New Roman" w:hAnsi="Times New Roman"/>
          <w:sz w:val="20"/>
        </w:rPr>
        <w:t xml:space="preserve">Minutes of written consultations shall be drawn up and signed by the Chairman; they must then be sent along with each director’s response to the Company and retained in the same way as the minutes of Board meetings.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43"/>
        <w:gridCol w:w="9762"/>
      </w:tblGrid>
      <w:tr>
        <w:trPr/>
        <w:tc>
          <w:tcPr>
            <w:tcW w:w="443" w:type="dxa"/>
            <w:tcBorders/>
          </w:tcPr>
          <w:p>
            <w:pPr>
              <w:pStyle w:val="TableContents"/>
              <w:bidi w:val="0"/>
              <w:spacing w:before="0" w:after="283"/>
              <w:jc w:val="left"/>
              <w:rPr>
                <w:b/>
              </w:rPr>
            </w:pPr>
            <w:r>
              <w:rPr>
                <w:b/>
              </w:rPr>
              <w:t>15.6</w:t>
            </w:r>
          </w:p>
        </w:tc>
        <w:tc>
          <w:tcPr>
            <w:tcW w:w="976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Minutes of decisions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Decisions taken by the Board of Directors shall be recorded in minutes entered in a special minute book, the pages of which must be initialled and signed, and which shall be held at the registered office as required by applicable regulations.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16.</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POWERS OF THE BOARD OF DIRECTORS – COMMITTEES – OBSERVERS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b/>
              </w:rPr>
            </w:pPr>
            <w:r>
              <w:rPr>
                <w:b/>
              </w:rPr>
              <w:t>16.1</w:t>
            </w:r>
          </w:p>
        </w:tc>
        <w:tc>
          <w:tcPr>
            <w:tcW w:w="975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Powers of the Board of Directors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of Directors shall determine and oversee the implementation of the Company’s business strategy in its corporate interests, with consideration to be given to the social and environmental challenges associated with its business.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powers expressly conferred on the shareholders and within the limit of the Company’s objects, the Board of Directors shall attend to all matters relating to the smooth running of the Company and shall settle matters concerning the Company by virtue of its decisions. </w:t>
      </w:r>
    </w:p>
    <w:p>
      <w:pPr>
        <w:pStyle w:val="TextBody"/>
        <w:bidi w:val="0"/>
        <w:spacing w:before="240" w:after="0"/>
        <w:jc w:val="left"/>
        <w:rPr>
          <w:rFonts w:ascii="Times New Roman" w:hAnsi="Times New Roman"/>
          <w:sz w:val="20"/>
        </w:rPr>
      </w:pPr>
      <w:r>
        <w:rPr>
          <w:rFonts w:ascii="Times New Roman" w:hAnsi="Times New Roman"/>
          <w:sz w:val="20"/>
        </w:rPr>
        <w:t xml:space="preserve">In dealings with third parties, the Company shall be bound even by the acts of the Board of Directors that fall outside the scope of its objects, unless it can prove that the third party involved knew that a particular act was outside the scope of the Company’s objects or could not have disregarded such fact in view of the circumstances, on the understanding that the publication of these Articles alone will not be sufficient proof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carry out such controls and checks as it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The Chairman or the Chief Executive Officer is required to provide each director with the information needed to fulfil their duties. Each director may obtain such documents as they consider useful from the Chairman or 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The Board may vary these Articles as it sees fit in order to render them compliant with the laws and regulations in force, subject to ratification of the relevant decision by the shareholders at their next Extraordinary General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b/>
              </w:rPr>
            </w:pPr>
            <w:r>
              <w:rPr>
                <w:b/>
              </w:rPr>
              <w:t>16.2</w:t>
            </w:r>
          </w:p>
        </w:tc>
        <w:tc>
          <w:tcPr>
            <w:tcW w:w="975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Committees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of Directors may decide to set up committees responsible for examining and issuing an opinion on matters put to them by the Board or its Chairman. These committees shall report to the Board on their work.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set the composition and duties of the committees, which shall operate under the responsibility of the Board. The Board shall set the remuneration of the committee members.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1"/>
        <w:gridCol w:w="9764"/>
      </w:tblGrid>
      <w:tr>
        <w:trPr/>
        <w:tc>
          <w:tcPr>
            <w:tcW w:w="441" w:type="dxa"/>
            <w:tcBorders/>
          </w:tcPr>
          <w:p>
            <w:pPr>
              <w:pStyle w:val="TableContents"/>
              <w:bidi w:val="0"/>
              <w:spacing w:before="0" w:after="283"/>
              <w:jc w:val="left"/>
              <w:rPr>
                <w:b/>
              </w:rPr>
            </w:pPr>
            <w:r>
              <w:rPr>
                <w:b/>
              </w:rPr>
              <w:t>16.3</w:t>
            </w:r>
          </w:p>
        </w:tc>
        <w:tc>
          <w:tcPr>
            <w:tcW w:w="976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Observers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Company’s existence, the shareholders at an Ordinary General Meeting or the Board of Directors may appoint observers, who may but need not be shareholders. </w:t>
      </w:r>
    </w:p>
    <w:p>
      <w:pPr>
        <w:pStyle w:val="TextBody"/>
        <w:bidi w:val="0"/>
        <w:spacing w:before="240" w:after="0"/>
        <w:jc w:val="left"/>
        <w:rPr>
          <w:rFonts w:ascii="Times New Roman" w:hAnsi="Times New Roman"/>
          <w:sz w:val="20"/>
        </w:rPr>
      </w:pPr>
      <w:r>
        <w:rPr>
          <w:rFonts w:ascii="Times New Roman" w:hAnsi="Times New Roman"/>
          <w:sz w:val="20"/>
        </w:rPr>
        <w:t xml:space="preserve">No more than three (3) observers may be appointed. </w:t>
      </w:r>
    </w:p>
    <w:p>
      <w:pPr>
        <w:pStyle w:val="TextBody"/>
        <w:bidi w:val="0"/>
        <w:spacing w:before="240" w:after="0"/>
        <w:jc w:val="left"/>
        <w:rPr>
          <w:rFonts w:ascii="Times New Roman" w:hAnsi="Times New Roman"/>
          <w:sz w:val="20"/>
        </w:rPr>
      </w:pPr>
      <w:r>
        <w:rPr>
          <w:rFonts w:ascii="Times New Roman" w:hAnsi="Times New Roman"/>
          <w:sz w:val="20"/>
        </w:rPr>
        <w:t xml:space="preserve">They shall be appointed for a period of one (1) year. Their duties will end at the close of the Ordinary General Meeting held in the year in which their mandates expire in order for the shareholders to decide on the financial statements for the previous financial year.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outgoing observer may be re-elected providing that they fulfil the requirements imposed under this Article. Their mandates may be renewed by decision taken by the shareholders at an Ordinary General Meeting or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observers may be removed and replaced at any time by the shareholders at an Ordinary General Meeting or by the Board of Directors, in which case they will not be entitled to any compensation. The duties of observers will also end due to the death or incapacity of a natural person member or the winding-up or compulsory administration of a legal entity member, or their resignation. </w:t>
      </w:r>
    </w:p>
    <w:p>
      <w:pPr>
        <w:pStyle w:val="TextBody"/>
        <w:bidi w:val="0"/>
        <w:spacing w:before="240" w:after="0"/>
        <w:jc w:val="left"/>
        <w:rPr>
          <w:rFonts w:ascii="Times New Roman" w:hAnsi="Times New Roman"/>
          <w:sz w:val="20"/>
        </w:rPr>
      </w:pPr>
      <w:r>
        <w:rPr>
          <w:rFonts w:ascii="Times New Roman" w:hAnsi="Times New Roman"/>
          <w:sz w:val="20"/>
        </w:rPr>
        <w:t xml:space="preserve">They may be natural persons or legal entities. In the latter case, upon its appointment, the legal entity must appoint a permanent representative, who shall be bound by the same requirements and obligations and shall incur the same liability in civil and criminal law as though they were an observer in their own name, without prejudice to the joint and several liability of the legal entity they represent. </w:t>
      </w:r>
    </w:p>
    <w:p>
      <w:pPr>
        <w:pStyle w:val="TextBody"/>
        <w:bidi w:val="0"/>
        <w:spacing w:before="240" w:after="0"/>
        <w:jc w:val="left"/>
        <w:rPr>
          <w:rFonts w:ascii="Times New Roman" w:hAnsi="Times New Roman"/>
          <w:sz w:val="20"/>
        </w:rPr>
      </w:pPr>
      <w:r>
        <w:rPr>
          <w:rFonts w:ascii="Times New Roman" w:hAnsi="Times New Roman"/>
          <w:sz w:val="20"/>
        </w:rPr>
        <w:t xml:space="preserve">The observers must strictly enforce these Articles and put forward their observations at Board meetings. They shall generally provide an ongoing advisory and monitoring service to the Company. However, they must not interfere under any circumstances in the management of the Company or generally act in place of the Company’s statutory bodies. </w:t>
      </w:r>
    </w:p>
    <w:p>
      <w:pPr>
        <w:pStyle w:val="TextBody"/>
        <w:bidi w:val="0"/>
        <w:spacing w:before="240" w:after="0"/>
        <w:jc w:val="left"/>
        <w:rPr>
          <w:rFonts w:ascii="Times New Roman" w:hAnsi="Times New Roman"/>
          <w:sz w:val="20"/>
        </w:rPr>
      </w:pPr>
      <w:r>
        <w:rPr>
          <w:rFonts w:ascii="Times New Roman" w:hAnsi="Times New Roman"/>
          <w:sz w:val="20"/>
        </w:rPr>
        <w:t xml:space="preserve">In the context of their work, the observers may notably: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put forward observations to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ask to peruse any of the Company’s books, records, registers and documents at the registered office;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request and obtain such information as is useful for their work from senior management and the Company’s statutory auditor;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 a report on a specific matter to the shareholders at a General Meeting at the request of the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observers shall act both individually and collectively solely in an advisory capacity and shall not have the right to vote on the Board. </w:t>
      </w:r>
    </w:p>
    <w:p>
      <w:pPr>
        <w:pStyle w:val="TextBody"/>
        <w:bidi w:val="0"/>
        <w:spacing w:before="240" w:after="0"/>
        <w:jc w:val="left"/>
        <w:rPr>
          <w:rFonts w:ascii="Times New Roman" w:hAnsi="Times New Roman"/>
          <w:sz w:val="20"/>
        </w:rPr>
      </w:pPr>
      <w:r>
        <w:rPr>
          <w:rFonts w:ascii="Times New Roman" w:hAnsi="Times New Roman"/>
          <w:sz w:val="20"/>
        </w:rPr>
        <w:t xml:space="preserve">The observers may be invited to each Board meeting in the same way as the directors. </w:t>
      </w:r>
    </w:p>
    <w:p>
      <w:pPr>
        <w:pStyle w:val="TextBody"/>
        <w:bidi w:val="0"/>
        <w:spacing w:before="240" w:after="0"/>
        <w:jc w:val="left"/>
        <w:rPr>
          <w:rFonts w:ascii="Times New Roman" w:hAnsi="Times New Roman"/>
          <w:sz w:val="20"/>
        </w:rPr>
      </w:pPr>
      <w:r>
        <w:rPr>
          <w:rFonts w:ascii="Times New Roman" w:hAnsi="Times New Roman"/>
          <w:sz w:val="20"/>
        </w:rPr>
        <w:t xml:space="preserve">Decisions taken by the Board of Directors shall be valid notwithstanding any failure to invite an observer or members to a Board meeting or to provide them with documents prior to the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Article 17.</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SENIOR MANAGEMENT – DELEGATION OF POWERS </w:t>
            </w:r>
          </w:p>
        </w:tc>
      </w:tr>
    </w:tbl>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2"/>
        <w:gridCol w:w="9763"/>
      </w:tblGrid>
      <w:tr>
        <w:trPr/>
        <w:tc>
          <w:tcPr>
            <w:tcW w:w="442" w:type="dxa"/>
            <w:tcBorders/>
          </w:tcPr>
          <w:p>
            <w:pPr>
              <w:pStyle w:val="TableContents"/>
              <w:bidi w:val="0"/>
              <w:spacing w:before="0" w:after="283"/>
              <w:jc w:val="left"/>
              <w:rPr>
                <w:b/>
              </w:rPr>
            </w:pPr>
            <w:r>
              <w:rPr>
                <w:b/>
              </w:rPr>
              <w:t>17.1</w:t>
            </w:r>
          </w:p>
        </w:tc>
        <w:tc>
          <w:tcPr>
            <w:tcW w:w="976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Senior management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accordance with the law, the Company shall be managed, under its responsibility, either by the Chairman of the Board of Directors or by another individual appointed by the Board of Directors with the title of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choose between the two management methods at any time and at least upon the expiry of the term of office of the Chief Executive Officer or of the Chairman of the Board of Directors if the latter is also the senior manager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shareholders and third parties must be informed of this decision in accordance with the applicable decree.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Board’s decision concerning the choice of management method must be taken by a majority of the directors present, represented or deemed present, on the understanding that the Chairman will not have a casting vote.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is managed by the Chairman of the Board of Directors, the following provisions concerning the Chief Executive Officer shall apply to the Chairman.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6"/>
        <w:gridCol w:w="9739"/>
      </w:tblGrid>
      <w:tr>
        <w:trPr/>
        <w:tc>
          <w:tcPr>
            <w:tcW w:w="466" w:type="dxa"/>
            <w:tcBorders/>
          </w:tcPr>
          <w:p>
            <w:pPr>
              <w:pStyle w:val="TableContents"/>
              <w:bidi w:val="0"/>
              <w:spacing w:before="0" w:after="283"/>
              <w:jc w:val="left"/>
              <w:rPr>
                <w:b/>
              </w:rPr>
            </w:pPr>
            <w:r>
              <w:rPr>
                <w:b/>
              </w:rPr>
              <w:t>17.2</w:t>
            </w:r>
          </w:p>
        </w:tc>
        <w:tc>
          <w:tcPr>
            <w:tcW w:w="973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Chief Executive Officer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Chief Executive Officer has the broadest powers to act in all circumstances in the name of the Company. They shall exercise these powers within the limit of the Company’s objects and subject to the powers expressly conferred by law on the shareholders at a General Meeting and on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Chief Executive Officer shall represent the Company in its dealings with third parties. The Company shall be bound even by the acts of the Chief Executive Officer that do not come within the scope of its objects, unless it can prove that the third party concerned knew that a particular act was not within the scope of its objects or could not have disregarded such fact in view of the circumstances, on the understanding that the publication of these Articles alone will not be sufficient proof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If the Board of Directors chooses to separate the duties of Chairman and Chief Executive Officer, it shall appoint the Chief Executive Officer, set their term of office, determine their remuneration in accordance with the laws and regulations in force and, if applicable, set restrictions on their powers. </w:t>
      </w:r>
    </w:p>
    <w:p>
      <w:pPr>
        <w:pStyle w:val="TextBody"/>
        <w:bidi w:val="0"/>
        <w:spacing w:before="240" w:after="0"/>
        <w:jc w:val="left"/>
        <w:rPr>
          <w:rFonts w:ascii="Times New Roman" w:hAnsi="Times New Roman"/>
          <w:sz w:val="20"/>
        </w:rPr>
      </w:pPr>
      <w:r>
        <w:rPr>
          <w:rFonts w:ascii="Times New Roman" w:hAnsi="Times New Roman"/>
          <w:sz w:val="20"/>
        </w:rPr>
        <w:t xml:space="preserve">No-one aged seventy-five (75) or over may be appointed as Chief Executive Officer. The Chief Executive Officer’s term of office will automatically end at the annual Ordinary General Meeting convened to approve the Company’s financial statements and held after the date on which the Chief Executive Officer reaches such age. Subject to this reservation, the Chief Executive Officer may be re-elected. </w:t>
      </w:r>
    </w:p>
    <w:p>
      <w:pPr>
        <w:pStyle w:val="TextBody"/>
        <w:bidi w:val="0"/>
        <w:spacing w:before="240" w:after="0"/>
        <w:jc w:val="left"/>
        <w:rPr>
          <w:rFonts w:ascii="Times New Roman" w:hAnsi="Times New Roman"/>
          <w:sz w:val="20"/>
        </w:rPr>
      </w:pPr>
      <w:r>
        <w:rPr>
          <w:rFonts w:ascii="Times New Roman" w:hAnsi="Times New Roman"/>
          <w:sz w:val="20"/>
        </w:rPr>
        <w:t xml:space="preserve">The Chief Executive Officer may be removed from office at any time by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6"/>
        <w:gridCol w:w="9739"/>
      </w:tblGrid>
      <w:tr>
        <w:trPr/>
        <w:tc>
          <w:tcPr>
            <w:tcW w:w="466" w:type="dxa"/>
            <w:tcBorders/>
          </w:tcPr>
          <w:p>
            <w:pPr>
              <w:pStyle w:val="TableContents"/>
              <w:bidi w:val="0"/>
              <w:spacing w:before="0" w:after="283"/>
              <w:jc w:val="left"/>
              <w:rPr>
                <w:b/>
              </w:rPr>
            </w:pPr>
            <w:r>
              <w:rPr>
                <w:b/>
              </w:rPr>
              <w:t>17.3</w:t>
            </w:r>
          </w:p>
        </w:tc>
        <w:tc>
          <w:tcPr>
            <w:tcW w:w="973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Deputy Chief Executive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 proposal by the Chief Executive Officer, whether they are also the Chairman of the Board of Directors or a different person, the Board of Directors may appoint one or more individuals as Deputy Chief Executive Officers – who may but need not be directors or shareholders – to assist 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There may not be more than five (5) Deputy Chief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If a Deputy Chief Executive Officer is a director, their term of office shall not exceed the term of their directorship. </w:t>
      </w:r>
    </w:p>
    <w:p>
      <w:pPr>
        <w:pStyle w:val="TextBody"/>
        <w:bidi w:val="0"/>
        <w:spacing w:before="240" w:after="0"/>
        <w:jc w:val="left"/>
        <w:rPr>
          <w:rFonts w:ascii="Times New Roman" w:hAnsi="Times New Roman"/>
          <w:sz w:val="20"/>
        </w:rPr>
      </w:pPr>
      <w:r>
        <w:rPr>
          <w:rFonts w:ascii="Times New Roman" w:hAnsi="Times New Roman"/>
          <w:sz w:val="20"/>
        </w:rPr>
        <w:t xml:space="preserve">No-one aged seventy-five (75) or over may be appointed as Deputy Chief Executive Officer. The Deputy Chief Executive Officer’s term of office will automatically end at the annual Ordinary General Meeting convened to approve the Company’s financial statements and held after the date on which the Deputy Chief Executive Officer reaches such age. Subject to this reservation, the Deputy Chief Executive Officer may be re-elected. </w:t>
      </w:r>
    </w:p>
    <w:p>
      <w:pPr>
        <w:pStyle w:val="TextBody"/>
        <w:bidi w:val="0"/>
        <w:spacing w:before="240" w:after="0"/>
        <w:jc w:val="left"/>
        <w:rPr>
          <w:rFonts w:ascii="Times New Roman" w:hAnsi="Times New Roman"/>
          <w:sz w:val="20"/>
        </w:rPr>
      </w:pPr>
      <w:r>
        <w:rPr>
          <w:rFonts w:ascii="Times New Roman" w:hAnsi="Times New Roman"/>
          <w:sz w:val="20"/>
        </w:rPr>
        <w:t xml:space="preserve">The Deputy Chief Executive Officers may be removed from office at any time by the Board of Directors, on a proposal by 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In agreement with the Chief Executive Officer, the Board of Directors shall determine the scope and term of validity of the powers conferred on the Deputy Chief Executive Officers. The Board of Directors shall determine their remuneration in accordance with the law.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dealings with third parties, the Deputy Chief Executive Officers shall have the same powers as 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If the Chief Executive Officer ceases or is unable to perform their duties, unless the Board of Directors decides otherwise, the Deputy Chief Executive Officers shall retain their duties and responsibilities until a new Chief Executive Officer has been appointed.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tcPr>
          <w:p>
            <w:pPr>
              <w:pStyle w:val="TableContents"/>
              <w:bidi w:val="0"/>
              <w:spacing w:before="0" w:after="283"/>
              <w:jc w:val="left"/>
              <w:rPr>
                <w:b/>
              </w:rPr>
            </w:pPr>
            <w:r>
              <w:rPr>
                <w:b/>
              </w:rPr>
              <w:t>17.4</w:t>
            </w:r>
          </w:p>
        </w:tc>
        <w:tc>
          <w:tcPr>
            <w:tcW w:w="975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Delegation of powers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of Directors may appoint agents – who may but need not be directors – to perform such occasional or permanent tasks as shall be determined by the Board, delegate powers to those agents and set their remuneration as it sees fit.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18.</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DIRECTORS’ REMUNERATION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shareholders at a General Meeting may allocate an annual fixed amount to the directors as remuneration for their work, which the shareholders shall determine without being bound by previous decisions. Any such remuneration shall be booked as operating expenses.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distribute the full allotted amount between its members as it sees fit. It may notably allot to the directors who are members of specialist committees an amount higher than that allotted to the other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allot exceptional fees in connection with the tasks or assignments allocated to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Board may authorise the reimbursement of the travel and other expenses incurred by the directors in the Company’s interests.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Article 19.</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AGREEMENTS BETWEEN THE COMPANY AND A DIRECTOR, THE CHIEF EXECUTIVE OFFICER, A DEPUTY CHIEF EXECUTIVE OFFICER OR A SHAREHOLDER THAT HOLDS MORE THAN 10% OF VOTING RIGHTS </w:t>
            </w:r>
          </w:p>
        </w:tc>
      </w:tr>
    </w:tbl>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b/>
              </w:rPr>
            </w:pPr>
            <w:r>
              <w:rPr>
                <w:b/>
              </w:rPr>
              <w:t>19.1</w:t>
            </w:r>
          </w:p>
        </w:tc>
        <w:tc>
          <w:tcPr>
            <w:tcW w:w="975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Agreements subject to authorisation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agreement other than those concerning ordinary transactions entered into under arm’s length conditions that is entered into directly or through an intermediary between the Company and one of its directors, the Chief Executive Officer, a Deputy Chief Executive Officer or a shareholder that holds more than 10% of voting rights in the Company or, in the case of a legal entity shareholder, the company that controls it within the meaning of Article L. 233-3 of the French Commercial Code, are subject to the prior authorisation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also applies to agreements in which any of the persons referred to in the previous paragraph has an indirect interest. </w:t>
      </w:r>
    </w:p>
    <w:p>
      <w:pPr>
        <w:pStyle w:val="TextBody"/>
        <w:bidi w:val="0"/>
        <w:spacing w:before="240" w:after="0"/>
        <w:jc w:val="left"/>
        <w:rPr>
          <w:rFonts w:ascii="Times New Roman" w:hAnsi="Times New Roman"/>
          <w:sz w:val="20"/>
        </w:rPr>
      </w:pPr>
      <w:r>
        <w:rPr>
          <w:rFonts w:ascii="Times New Roman" w:hAnsi="Times New Roman"/>
          <w:sz w:val="20"/>
        </w:rPr>
        <w:t xml:space="preserve">Agreements entered into between the Company and an undertaking are also subject to prior authorisation if the Chief Executive Officer, a Deputy Chief Executive Officer or a director of the Company is the owner, a partner or shareholder with unlimited liability, a manager, a director, a Supervisory Board member or, generally, an executive of that undertaking. </w:t>
      </w:r>
    </w:p>
    <w:p>
      <w:pPr>
        <w:pStyle w:val="TextBody"/>
        <w:bidi w:val="0"/>
        <w:spacing w:before="240" w:after="0"/>
        <w:jc w:val="left"/>
        <w:rPr>
          <w:rFonts w:ascii="Times New Roman" w:hAnsi="Times New Roman"/>
          <w:sz w:val="20"/>
        </w:rPr>
      </w:pPr>
      <w:r>
        <w:rPr>
          <w:rFonts w:ascii="Times New Roman" w:hAnsi="Times New Roman"/>
          <w:sz w:val="20"/>
        </w:rPr>
        <w:t xml:space="preserve">These agreements must be authorised and approved as required by law.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b/>
              </w:rPr>
            </w:pPr>
            <w:r>
              <w:rPr>
                <w:b/>
              </w:rPr>
              <w:t>19.2</w:t>
            </w:r>
          </w:p>
        </w:tc>
        <w:tc>
          <w:tcPr>
            <w:tcW w:w="976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Prohibited agreements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directors other than legal entity directors are prohibited from taking out any form of loan with the Company, from having the Company grant them an overdraft on a current account or otherwise, and from having the Company guarantee or endorse their commitments to third parties, failing which the relevant agreement will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The same prohibition applies to the Chief Executive Officer, the Deputy Chief Executive Officers and the permanent representatives of legal entity directors. It also applies to the spouses, ascendants and descendants of the persons referred to in this Article and to any intermediary.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b/>
              </w:rPr>
            </w:pPr>
            <w:r>
              <w:rPr>
                <w:b/>
              </w:rPr>
              <w:t>19.3</w:t>
            </w:r>
          </w:p>
        </w:tc>
        <w:tc>
          <w:tcPr>
            <w:tcW w:w="976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Ordinary agreements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Agreements concerning ordinary operations that are entered into under arm’s length conditions are not subject to the statutory authorisation and approval procedure.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IV </w:t>
      </w:r>
    </w:p>
    <w:p>
      <w:pPr>
        <w:pStyle w:val="TextBody"/>
        <w:bidi w:val="0"/>
        <w:spacing w:before="0" w:after="0"/>
        <w:jc w:val="center"/>
        <w:rPr>
          <w:rFonts w:ascii="Times New Roman" w:hAnsi="Times New Roman"/>
          <w:b/>
          <w:sz w:val="20"/>
        </w:rPr>
      </w:pPr>
      <w:r>
        <w:rPr>
          <w:rFonts w:ascii="Times New Roman" w:hAnsi="Times New Roman"/>
          <w:b/>
          <w:sz w:val="20"/>
        </w:rPr>
        <w:t xml:space="preserve">AUDITS OF THE COMPANY’S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20.</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APPOINTMENT OF STATUTORY AUDITORS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Company’s financial statements shall be audited by one or more principal – and, if applicable, alternate – statutory auditors, who shall be appointed and who shall perform their duties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During the Company’s existence, the statutory auditors shall be appointed by the shareholders at an Ordinary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For each principal statutory auditor, an alternate statutory auditor may be appointed. Any alternate statutory auditors shall be appointed at the same time as the principal statutory auditors and for the same term, and shall replace the principal statutory auditors if the latter refuse to act, are subject to an impediment, resign or die. </w:t>
      </w:r>
    </w:p>
    <w:p>
      <w:pPr>
        <w:pStyle w:val="TextBody"/>
        <w:bidi w:val="0"/>
        <w:spacing w:before="240" w:after="0"/>
        <w:jc w:val="left"/>
        <w:rPr>
          <w:rFonts w:ascii="Times New Roman" w:hAnsi="Times New Roman"/>
          <w:sz w:val="20"/>
        </w:rPr>
      </w:pPr>
      <w:r>
        <w:rPr>
          <w:rFonts w:ascii="Times New Roman" w:hAnsi="Times New Roman"/>
          <w:sz w:val="20"/>
        </w:rPr>
        <w:t xml:space="preserve">The statutory auditors shall be appointed for six (6) financial years by the shareholders at an Ordinary General Meeting. Their engagements will expire after the Ordinary General Meeting held to decide on the financial statements for the sixth financial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21.</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STATUTORY AUDITORS’ DUTIES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statutory auditors are vested with the duties and powers conferred on them by the laws and regulations in force. They may carry out such checks and audits as they consider appropriate at any time of the year. </w:t>
      </w:r>
    </w:p>
    <w:p>
      <w:pPr>
        <w:pStyle w:val="TextBody"/>
        <w:bidi w:val="0"/>
        <w:spacing w:before="240" w:after="0"/>
        <w:jc w:val="left"/>
        <w:rPr>
          <w:rFonts w:ascii="Times New Roman" w:hAnsi="Times New Roman"/>
          <w:sz w:val="20"/>
        </w:rPr>
      </w:pPr>
      <w:r>
        <w:rPr>
          <w:rFonts w:ascii="Times New Roman" w:hAnsi="Times New Roman"/>
          <w:sz w:val="20"/>
        </w:rPr>
        <w:t xml:space="preserve">The statutory auditors must be convened to all shareholder meetings at the latest at the same time as the shareholders themselves. </w:t>
      </w:r>
    </w:p>
    <w:p>
      <w:pPr>
        <w:pStyle w:val="TextBody"/>
        <w:bidi w:val="0"/>
        <w:spacing w:before="240" w:after="0"/>
        <w:jc w:val="left"/>
        <w:rPr>
          <w:rFonts w:ascii="Times New Roman" w:hAnsi="Times New Roman"/>
          <w:sz w:val="20"/>
        </w:rPr>
      </w:pPr>
      <w:r>
        <w:rPr>
          <w:rFonts w:ascii="Times New Roman" w:hAnsi="Times New Roman"/>
          <w:sz w:val="20"/>
        </w:rPr>
        <w:t xml:space="preserve">The statutory auditors’ remuneration shall be determined in accordance with the regulations in force. </w:t>
      </w:r>
    </w:p>
    <w:p>
      <w:pPr>
        <w:pStyle w:val="TextBody"/>
        <w:bidi w:val="0"/>
        <w:spacing w:before="240" w:after="0"/>
        <w:jc w:val="left"/>
        <w:rPr>
          <w:rFonts w:ascii="Times New Roman" w:hAnsi="Times New Roman"/>
          <w:sz w:val="20"/>
        </w:rPr>
      </w:pPr>
      <w:r>
        <w:rPr>
          <w:rFonts w:ascii="Times New Roman" w:hAnsi="Times New Roman"/>
          <w:sz w:val="20"/>
        </w:rPr>
        <w:t xml:space="preserve">They must be convened to the Board of Directors’ meeting at which the Board approves the financial statements for the previous year and, if applicable, to any other Board meeting, at the same time as the directors themselves.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statutory auditors must be convened by registered letter (with acknowledgement of receipt requested).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V </w:t>
      </w:r>
    </w:p>
    <w:p>
      <w:pPr>
        <w:pStyle w:val="TextBody"/>
        <w:bidi w:val="0"/>
        <w:spacing w:before="0" w:after="0"/>
        <w:jc w:val="center"/>
        <w:rPr>
          <w:rFonts w:ascii="Times New Roman" w:hAnsi="Times New Roman"/>
          <w:b/>
          <w:sz w:val="20"/>
        </w:rPr>
      </w:pPr>
      <w:r>
        <w:rPr>
          <w:rFonts w:ascii="Times New Roman" w:hAnsi="Times New Roman"/>
          <w:b/>
          <w:sz w:val="20"/>
        </w:rPr>
        <w:t xml:space="preserve">SHAREHOLDER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Article 22.</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QUORUM AND MAJORITY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At General Meetings, the shareholders shall transact business in accordance with the law. </w:t>
      </w:r>
    </w:p>
    <w:p>
      <w:pPr>
        <w:pStyle w:val="TextBody"/>
        <w:bidi w:val="0"/>
        <w:spacing w:before="240" w:after="0"/>
        <w:jc w:val="left"/>
        <w:rPr>
          <w:rFonts w:ascii="Times New Roman" w:hAnsi="Times New Roman"/>
          <w:sz w:val="20"/>
        </w:rPr>
      </w:pPr>
      <w:r>
        <w:rPr>
          <w:rFonts w:ascii="Times New Roman" w:hAnsi="Times New Roman"/>
          <w:sz w:val="20"/>
        </w:rPr>
        <w:t xml:space="preserve">Ordinary and Extraordinary General Meetings shall be held when convened for the first – or second if applicable – time in accordance with the quorum requirements imposed by law. </w:t>
      </w:r>
    </w:p>
    <w:p>
      <w:pPr>
        <w:pStyle w:val="TextBody"/>
        <w:bidi w:val="0"/>
        <w:spacing w:before="240" w:after="0"/>
        <w:jc w:val="left"/>
        <w:rPr>
          <w:rFonts w:ascii="Times New Roman" w:hAnsi="Times New Roman"/>
          <w:sz w:val="20"/>
        </w:rPr>
      </w:pPr>
      <w:r>
        <w:rPr>
          <w:rFonts w:ascii="Times New Roman" w:hAnsi="Times New Roman"/>
          <w:sz w:val="20"/>
        </w:rPr>
        <w:t xml:space="preserve">Decisions taken at General Meetings must be taken in accordance with the majority requirements imposed by law. </w:t>
      </w:r>
    </w:p>
    <w:p>
      <w:pPr>
        <w:pStyle w:val="TextBody"/>
        <w:bidi w:val="0"/>
        <w:spacing w:before="240" w:after="0"/>
        <w:jc w:val="left"/>
        <w:rPr>
          <w:rFonts w:ascii="Times New Roman" w:hAnsi="Times New Roman"/>
          <w:sz w:val="20"/>
        </w:rPr>
      </w:pPr>
      <w:r>
        <w:rPr>
          <w:rFonts w:ascii="Times New Roman" w:hAnsi="Times New Roman"/>
          <w:sz w:val="20"/>
        </w:rPr>
        <w:t xml:space="preserve">The shareholders at an Ordinary General Meeting shall make all decisions other than those that are within the exclusive remit of the shareholders at an Extraordinary General Meeting according to the law and these Articles. </w:t>
      </w:r>
    </w:p>
    <w:p>
      <w:pPr>
        <w:pStyle w:val="TextBody"/>
        <w:bidi w:val="0"/>
        <w:spacing w:before="240" w:after="0"/>
        <w:jc w:val="left"/>
        <w:rPr>
          <w:rFonts w:ascii="Times New Roman" w:hAnsi="Times New Roman"/>
          <w:sz w:val="20"/>
        </w:rPr>
      </w:pPr>
      <w:r>
        <w:rPr>
          <w:rFonts w:ascii="Times New Roman" w:hAnsi="Times New Roman"/>
          <w:sz w:val="20"/>
        </w:rPr>
        <w:t xml:space="preserve">The shareholders at an Extraordinary General Meeting have exclusive remit to vary the provisions of these Articles, subject to the provisions of Articles 3 and 16 hereof. </w:t>
      </w:r>
    </w:p>
    <w:p>
      <w:pPr>
        <w:pStyle w:val="TextBody"/>
        <w:bidi w:val="0"/>
        <w:spacing w:before="240" w:after="0"/>
        <w:jc w:val="left"/>
        <w:rPr>
          <w:rFonts w:ascii="Times New Roman" w:hAnsi="Times New Roman"/>
          <w:sz w:val="20"/>
        </w:rPr>
      </w:pPr>
      <w:r>
        <w:rPr>
          <w:rFonts w:ascii="Times New Roman" w:hAnsi="Times New Roman"/>
          <w:sz w:val="20"/>
        </w:rPr>
        <w:t xml:space="preserve">If a meeting is held by video-conference or other method of telecommunication permitted by law in accordance with Article 23 below, for the purpose of calculating the quorum and majority, the shareholders who take part in the meeting by video-conference or method of telecommunication will be deemed to be present.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Article 23.</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 OF GENERAL MEETINGS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General meetings shall be convened by the Board of Directors, by the statutory auditors or by an agent appointed by a court of law in accordance with the terms and conditions provided for by law. </w:t>
      </w:r>
    </w:p>
    <w:p>
      <w:pPr>
        <w:pStyle w:val="TextBody"/>
        <w:bidi w:val="0"/>
        <w:spacing w:before="240" w:after="0"/>
        <w:jc w:val="left"/>
        <w:rPr>
          <w:rFonts w:ascii="Times New Roman" w:hAnsi="Times New Roman"/>
          <w:sz w:val="20"/>
        </w:rPr>
      </w:pPr>
      <w:r>
        <w:rPr>
          <w:rFonts w:ascii="Times New Roman" w:hAnsi="Times New Roman"/>
          <w:sz w:val="20"/>
        </w:rPr>
        <w:t xml:space="preserve">They shall be held at the registered office or at such other location as may be stated in the meeting notice.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the shares in the Company are admitted to trading on a regulated market or if the shares are not all registered shares, the Company is required, at least thirty-five (35) days before any meeting, to publish notice of the meeting – such notice to contain the information required by the laws and regulations in force – in the </w:t>
      </w:r>
      <w:r>
        <w:rPr>
          <w:rFonts w:ascii="Times New Roman" w:hAnsi="Times New Roman"/>
          <w:i/>
          <w:sz w:val="20"/>
        </w:rPr>
        <w:t>Bulletin des Annonces Légales Obligatoires</w:t>
      </w:r>
      <w:r>
        <w:rPr>
          <w:rFonts w:ascii="Times New Roman" w:hAnsi="Times New Roman"/>
          <w:sz w:val="20"/>
        </w:rPr>
        <w:t xml:space="preserve"> (BALO, the Gazette of Compulsory Legal Announcements). </w:t>
      </w:r>
    </w:p>
    <w:p>
      <w:pPr>
        <w:pStyle w:val="TextBody"/>
        <w:bidi w:val="0"/>
        <w:spacing w:before="240" w:after="0"/>
        <w:jc w:val="left"/>
        <w:rPr>
          <w:rFonts w:ascii="Times New Roman" w:hAnsi="Times New Roman"/>
          <w:sz w:val="20"/>
        </w:rPr>
      </w:pPr>
      <w:r>
        <w:rPr>
          <w:rFonts w:ascii="Times New Roman" w:hAnsi="Times New Roman"/>
          <w:sz w:val="20"/>
        </w:rPr>
        <w:t xml:space="preserve">General Meetings must be convened through publication of a notice in a newspaper authorised to publish legal announcements in the county in which the registered office is located and in the </w:t>
      </w:r>
      <w:r>
        <w:rPr>
          <w:rFonts w:ascii="Times New Roman" w:hAnsi="Times New Roman"/>
          <w:i/>
          <w:sz w:val="20"/>
        </w:rPr>
        <w:t>Bulletin des Annonces Légales Obligatoires</w:t>
      </w:r>
      <w:r>
        <w:rPr>
          <w:rFonts w:ascii="Times New Roman" w:hAnsi="Times New Roman"/>
          <w:sz w:val="20"/>
        </w:rPr>
        <w:t xml:space="preserve"> (BALO). </w:t>
      </w:r>
    </w:p>
    <w:p>
      <w:pPr>
        <w:pStyle w:val="TextBody"/>
        <w:bidi w:val="0"/>
        <w:spacing w:before="240" w:after="0"/>
        <w:jc w:val="left"/>
        <w:rPr>
          <w:rFonts w:ascii="Times New Roman" w:hAnsi="Times New Roman"/>
          <w:sz w:val="20"/>
        </w:rPr>
      </w:pPr>
      <w:r>
        <w:rPr>
          <w:rFonts w:ascii="Times New Roman" w:hAnsi="Times New Roman"/>
          <w:sz w:val="20"/>
        </w:rPr>
        <w:t xml:space="preserve">However, in place of the notices published as stated in the previous paragraph, notice may be given, at the Company’s expense, by letter sent by ordinary post or registered letter to each shareholder. Notice may also be given electronically in accordance with the regulations in force. </w:t>
      </w:r>
    </w:p>
    <w:p>
      <w:pPr>
        <w:pStyle w:val="TextBody"/>
        <w:bidi w:val="0"/>
        <w:spacing w:before="240" w:after="0"/>
        <w:jc w:val="left"/>
        <w:rPr>
          <w:rFonts w:ascii="Times New Roman" w:hAnsi="Times New Roman"/>
          <w:sz w:val="20"/>
        </w:rPr>
      </w:pPr>
      <w:r>
        <w:rPr>
          <w:rFonts w:ascii="Times New Roman" w:hAnsi="Times New Roman"/>
          <w:sz w:val="20"/>
        </w:rPr>
        <w:t xml:space="preserve">Any shareholder may also, if the Board so decides when a meeting is convened, take part in and vote at meetings held by video-conference or any method of telecommunication by which they can be identified, in accordance with the terms and conditions of the laws and regulations in force.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meeting that is not convened as required may be cancelled. However, action to declare a meeting null and void will be inadmissible if all the shareholders were present or represented.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Article 24.</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MEETING AGENDA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agenda of a meeting shall be set by the person who convenes the meeting. </w:t>
      </w:r>
    </w:p>
    <w:p>
      <w:pPr>
        <w:pStyle w:val="TextBody"/>
        <w:bidi w:val="0"/>
        <w:spacing w:before="240" w:after="0"/>
        <w:jc w:val="left"/>
        <w:rPr>
          <w:rFonts w:ascii="Times New Roman" w:hAnsi="Times New Roman"/>
          <w:sz w:val="20"/>
        </w:rPr>
      </w:pPr>
      <w:r>
        <w:rPr>
          <w:rFonts w:ascii="Times New Roman" w:hAnsi="Times New Roman"/>
          <w:sz w:val="20"/>
        </w:rPr>
        <w:t xml:space="preserve">However, one or more shareholders representing at least 5% of the share capital (or a group of shareholders that fulfil the requirements imposed by law) may, in accordance with the law, ask for draft resolutions to be added to the agenda of a meeting. Such requests must be sent along with the draft resolutions and may or may not be sent along with a brief explanation of the reasons for the request. </w:t>
      </w:r>
    </w:p>
    <w:p>
      <w:pPr>
        <w:pStyle w:val="TextBody"/>
        <w:bidi w:val="0"/>
        <w:spacing w:before="240" w:after="0"/>
        <w:jc w:val="left"/>
        <w:rPr>
          <w:rFonts w:ascii="Times New Roman" w:hAnsi="Times New Roman"/>
          <w:sz w:val="20"/>
        </w:rPr>
      </w:pPr>
      <w:r>
        <w:rPr>
          <w:rFonts w:ascii="Times New Roman" w:hAnsi="Times New Roman"/>
          <w:sz w:val="20"/>
        </w:rPr>
        <w:t xml:space="preserve">Such draft resolutions, of which the shareholders must be informed, shall be added to the agenda and put to the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At the meeting, the shareholders may only discuss items included on the agenda. </w:t>
      </w:r>
    </w:p>
    <w:p>
      <w:pPr>
        <w:pStyle w:val="TextBody"/>
        <w:bidi w:val="0"/>
        <w:spacing w:before="240" w:after="0"/>
        <w:jc w:val="left"/>
        <w:rPr>
          <w:rFonts w:ascii="Times New Roman" w:hAnsi="Times New Roman"/>
          <w:sz w:val="20"/>
        </w:rPr>
      </w:pPr>
      <w:r>
        <w:rPr>
          <w:rFonts w:ascii="Times New Roman" w:hAnsi="Times New Roman"/>
          <w:sz w:val="20"/>
        </w:rPr>
        <w:t xml:space="preserve">Nonetheless, they may remove and replace one or more directors in any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agenda of a reconvened meeting must be identical to the agenda of the meeting originally convened.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Article 25.</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ADMISSION TO MEETINGS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Any shareholder may take part, in person, by proxy or by correspondence, in all types of General Meetings. </w:t>
      </w:r>
    </w:p>
    <w:p>
      <w:pPr>
        <w:pStyle w:val="TextBody"/>
        <w:bidi w:val="0"/>
        <w:spacing w:before="240" w:after="0"/>
        <w:jc w:val="left"/>
        <w:rPr>
          <w:rFonts w:ascii="Times New Roman" w:hAnsi="Times New Roman"/>
          <w:sz w:val="20"/>
        </w:rPr>
      </w:pPr>
      <w:r>
        <w:rPr>
          <w:rFonts w:ascii="Times New Roman" w:hAnsi="Times New Roman"/>
          <w:sz w:val="20"/>
        </w:rPr>
        <w:t xml:space="preserve">In order to be entitled to take part in General Meetings, the shareholders must produce proof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registered shares, that they were registered, within the time limit imposed by law prior to the Meeting, in the registered share accounts held by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bearer shares, that they were registered, within the time limit imposed by law prior to the Meeting, in the bearer share accounts held by the authorised intermediary.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booking or registration of securities in the bearer securities accounts kept by the authorised intermediary shall be recorded in a certificate issued by the said intermediary. </w:t>
      </w:r>
    </w:p>
    <w:p>
      <w:pPr>
        <w:pStyle w:val="TextBody"/>
        <w:bidi w:val="0"/>
        <w:spacing w:before="240" w:after="0"/>
        <w:jc w:val="left"/>
        <w:rPr>
          <w:rFonts w:ascii="Times New Roman" w:hAnsi="Times New Roman"/>
          <w:sz w:val="20"/>
        </w:rPr>
      </w:pPr>
      <w:r>
        <w:rPr>
          <w:rFonts w:ascii="Times New Roman" w:hAnsi="Times New Roman"/>
          <w:sz w:val="20"/>
        </w:rPr>
        <w:t xml:space="preserve">Any shareholder whose shares have not been fully paid-up may not attend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26.</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SHAREHOLDER REPRESENTATION AND POSTAL BALLOTS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b/>
              </w:rPr>
            </w:pPr>
            <w:r>
              <w:rPr>
                <w:b/>
              </w:rPr>
              <w:t>26.1</w:t>
            </w:r>
          </w:p>
        </w:tc>
        <w:tc>
          <w:tcPr>
            <w:tcW w:w="975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Shareholder representation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shareholder may be represented by another shareholder, by their spouse or partner with whom they have entered into a civil partnership or by any person of their choosing. </w:t>
      </w:r>
    </w:p>
    <w:p>
      <w:pPr>
        <w:pStyle w:val="TextBody"/>
        <w:bidi w:val="0"/>
        <w:spacing w:before="240" w:after="0"/>
        <w:jc w:val="left"/>
        <w:rPr>
          <w:rFonts w:ascii="Times New Roman" w:hAnsi="Times New Roman"/>
          <w:sz w:val="20"/>
        </w:rPr>
      </w:pPr>
      <w:r>
        <w:rPr>
          <w:rFonts w:ascii="Times New Roman" w:hAnsi="Times New Roman"/>
          <w:sz w:val="20"/>
        </w:rPr>
        <w:t xml:space="preserve">Any shareholder may receive a proxy form in order to represent another shareholder at a meeting. In this respect, no limits apply other than those imposed by law that set the maximum number of votes that may be held by the same person, in their own name and as a proxy.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b/>
              </w:rPr>
            </w:pPr>
            <w:r>
              <w:rPr>
                <w:b/>
              </w:rPr>
              <w:t>26.2</w:t>
            </w:r>
          </w:p>
        </w:tc>
        <w:tc>
          <w:tcPr>
            <w:tcW w:w="975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Postal ballots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When a meeting has been convened, a postal ballot form and its attachments must be delivered in person or sent, at the Company’s expense, to any shareholder who makes a written request to that effect. </w:t>
      </w:r>
    </w:p>
    <w:p>
      <w:pPr>
        <w:pStyle w:val="TextBody"/>
        <w:bidi w:val="0"/>
        <w:spacing w:before="240" w:after="0"/>
        <w:jc w:val="left"/>
        <w:rPr>
          <w:rFonts w:ascii="Times New Roman" w:hAnsi="Times New Roman"/>
          <w:sz w:val="20"/>
        </w:rPr>
      </w:pPr>
      <w:r>
        <w:rPr>
          <w:rFonts w:ascii="Times New Roman" w:hAnsi="Times New Roman"/>
          <w:sz w:val="20"/>
        </w:rPr>
        <w:t xml:space="preserve">The Company must accept any request deposited or received at the registered office at least six (6) days before the date of the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27.</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MEETING OFFICERS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Shareholder meetings must be chaired by the Chairman of the Board of Directors or, in their absence, by a director appointed for that purpose by the Board. Otherwise, the shareholders must elect a chairman themselves. </w:t>
      </w:r>
    </w:p>
    <w:p>
      <w:pPr>
        <w:pStyle w:val="TextBody"/>
        <w:bidi w:val="0"/>
        <w:spacing w:before="240" w:after="0"/>
        <w:jc w:val="left"/>
        <w:rPr>
          <w:rFonts w:ascii="Times New Roman" w:hAnsi="Times New Roman"/>
          <w:sz w:val="20"/>
        </w:rPr>
      </w:pPr>
      <w:r>
        <w:rPr>
          <w:rFonts w:ascii="Times New Roman" w:hAnsi="Times New Roman"/>
          <w:sz w:val="20"/>
        </w:rPr>
        <w:t xml:space="preserve">If a meeting is convened by the statutory auditors, a court-appointed agent or the liquidators, it must be chaired by the person or one of the persons who convened it. </w:t>
      </w:r>
    </w:p>
    <w:p>
      <w:pPr>
        <w:pStyle w:val="TextBody"/>
        <w:bidi w:val="0"/>
        <w:spacing w:before="240" w:after="0"/>
        <w:jc w:val="left"/>
        <w:rPr>
          <w:rFonts w:ascii="Times New Roman" w:hAnsi="Times New Roman"/>
          <w:sz w:val="20"/>
        </w:rPr>
      </w:pPr>
      <w:r>
        <w:rPr>
          <w:rFonts w:ascii="Times New Roman" w:hAnsi="Times New Roman"/>
          <w:sz w:val="20"/>
        </w:rPr>
        <w:t xml:space="preserve">The two consenting persons present at the meeting who hold the most votes shall act as tellers. </w:t>
      </w:r>
    </w:p>
    <w:p>
      <w:pPr>
        <w:pStyle w:val="TextBody"/>
        <w:bidi w:val="0"/>
        <w:spacing w:before="240" w:after="0"/>
        <w:jc w:val="left"/>
        <w:rPr>
          <w:rFonts w:ascii="Times New Roman" w:hAnsi="Times New Roman"/>
          <w:sz w:val="20"/>
        </w:rPr>
      </w:pPr>
      <w:r>
        <w:rPr>
          <w:rFonts w:ascii="Times New Roman" w:hAnsi="Times New Roman"/>
          <w:sz w:val="20"/>
        </w:rPr>
        <w:t xml:space="preserve">The meeting officers must appoint a secretary, who may but need not be a shareholder.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Article 28.</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MINUTES OF DECISIONS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decisions taken at shareholder meetings must be recorded in minutes drawn up and signed by the meeting officers. </w:t>
      </w:r>
    </w:p>
    <w:p>
      <w:pPr>
        <w:pStyle w:val="TextBody"/>
        <w:bidi w:val="0"/>
        <w:spacing w:before="240" w:after="0"/>
        <w:jc w:val="left"/>
        <w:rPr>
          <w:rFonts w:ascii="Times New Roman" w:hAnsi="Times New Roman"/>
          <w:sz w:val="20"/>
        </w:rPr>
      </w:pPr>
      <w:r>
        <w:rPr>
          <w:rFonts w:ascii="Times New Roman" w:hAnsi="Times New Roman"/>
          <w:sz w:val="20"/>
        </w:rPr>
        <w:t xml:space="preserve">They must state the date and venue of the meeting, the method used to convene the meeting, the agenda, the meeting officers, the number of shares involved in the vote and the quorum reached, the documents and reports submitted to the shareholders, a summary of the discussions, the resolutions put to the vote and the results of the voting process. </w:t>
      </w:r>
    </w:p>
    <w:p>
      <w:pPr>
        <w:pStyle w:val="TextBody"/>
        <w:bidi w:val="0"/>
        <w:spacing w:before="240" w:after="0"/>
        <w:jc w:val="left"/>
        <w:rPr>
          <w:rFonts w:ascii="Times New Roman" w:hAnsi="Times New Roman"/>
          <w:sz w:val="20"/>
        </w:rPr>
      </w:pPr>
      <w:r>
        <w:rPr>
          <w:rFonts w:ascii="Times New Roman" w:hAnsi="Times New Roman"/>
          <w:sz w:val="20"/>
        </w:rPr>
        <w:t xml:space="preserve">Minutes must be entered in a special minute book kept at the registered office in accordance with the regulations in force. </w:t>
      </w:r>
    </w:p>
    <w:p>
      <w:pPr>
        <w:pStyle w:val="TextBody"/>
        <w:bidi w:val="0"/>
        <w:spacing w:before="240" w:after="0"/>
        <w:jc w:val="left"/>
        <w:rPr>
          <w:rFonts w:ascii="Times New Roman" w:hAnsi="Times New Roman"/>
          <w:sz w:val="20"/>
        </w:rPr>
      </w:pPr>
      <w:r>
        <w:rPr>
          <w:rFonts w:ascii="Times New Roman" w:hAnsi="Times New Roman"/>
          <w:sz w:val="20"/>
        </w:rPr>
        <w:t xml:space="preserve">If, in the absence of the required quorum, the shareholders cannot validly transact business, minutes must be drawn up by the officers of the meeting to record the foregoing.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Article 29.</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SHAREHOLDERS’ RIGHT TO INFORMATION AND RIGHT OF SCRUTINY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Before each meeting, the Board of Directors must make available to the shareholders the documents they need to make informed decisions and to make an informed judgment on the management and running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Following receipt of the above documents, any shareholder may submit written questions, in accordance with the laws and regulations in force, to which the Board of Directors must respond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Any shareholder has the right to obtain, at any time, the documents that the Board of Directors is required to make available to them at the registered office or to send to them in accordance with the laws and regulations in force.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SECTION VI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YEAR – ANNUAL FINANCIAL STATEMENTS – ACCOUNTING AND FINANCIAL INFORMATION – APPROPRIATION OF PROFIT/LOSSES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30.</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YEAR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financial year has a term of twelve months. It begins on the first of January and ends on the thirty-first of December each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31.</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ANNUAL FINANCIAL STATEMENTS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At the end of each financial year, the Board of Directors must prepare a statement of the Company’s assets and liabilities at year end, as well as the annual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It must draw up a management report on the Company’s position and business during the past year, its operating results, the progress made and difficulties encountered, its foreseeable development and future prospects, any significant events that have occurred between year end and the date of the report, and its research and development activities. </w:t>
      </w:r>
    </w:p>
    <w:p>
      <w:pPr>
        <w:pStyle w:val="TextBody"/>
        <w:bidi w:val="0"/>
        <w:spacing w:before="240" w:after="0"/>
        <w:jc w:val="left"/>
        <w:rPr>
          <w:rFonts w:ascii="Times New Roman" w:hAnsi="Times New Roman"/>
          <w:sz w:val="20"/>
        </w:rPr>
      </w:pPr>
      <w:r>
        <w:rPr>
          <w:rFonts w:ascii="Times New Roman" w:hAnsi="Times New Roman"/>
          <w:sz w:val="20"/>
        </w:rPr>
        <w:t xml:space="preserve">The annual financial statements, the management report and, where applicable, the consolidated financial statements and group management report must be made available to the statutory auditors at the registered office at least one month before the meeting at which the shareholders are to decide on the Company’s annual financial statements is convened.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32.</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APPROPRIATION AND DISTRIBUTION OF PROFIT/LOSSES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If the annual financial statements approved by the shareholders at a General Meeting show that the Company has generated a distributable profit, as defined by law, the shareholders may decide to appropriate that profit to one or more reserves – in which case they must decide how it will be allocated or used –, carry the profit forward or distribute it. </w:t>
      </w:r>
    </w:p>
    <w:p>
      <w:pPr>
        <w:pStyle w:val="TextBody"/>
        <w:bidi w:val="0"/>
        <w:spacing w:before="240" w:after="0"/>
        <w:jc w:val="left"/>
        <w:rPr>
          <w:rFonts w:ascii="Times New Roman" w:hAnsi="Times New Roman"/>
          <w:sz w:val="20"/>
        </w:rPr>
      </w:pPr>
      <w:r>
        <w:rPr>
          <w:rFonts w:ascii="Times New Roman" w:hAnsi="Times New Roman"/>
          <w:sz w:val="20"/>
        </w:rPr>
        <w:t xml:space="preserve">The shareholders at a General Meeting may choose to receive the whole or part of any dividend or interim dividend in cash or shares, in accordance with the law. </w:t>
      </w:r>
    </w:p>
    <w:p>
      <w:pPr>
        <w:pStyle w:val="TextBody"/>
        <w:bidi w:val="0"/>
        <w:spacing w:before="240" w:after="0"/>
        <w:jc w:val="left"/>
        <w:rPr>
          <w:rFonts w:ascii="Times New Roman" w:hAnsi="Times New Roman"/>
          <w:sz w:val="20"/>
        </w:rPr>
      </w:pPr>
      <w:r>
        <w:rPr>
          <w:rFonts w:ascii="Times New Roman" w:hAnsi="Times New Roman"/>
          <w:sz w:val="20"/>
        </w:rPr>
        <w:t xml:space="preserve">Following the approval of the financial statements by the shareholders at a General Meeting, any loss must be carried forward and set off against profit for future financial years until it has been cleared. </w:t>
      </w:r>
    </w:p>
    <w:p>
      <w:pPr>
        <w:pStyle w:val="TextBody"/>
        <w:bidi w:val="0"/>
        <w:spacing w:before="240" w:after="0"/>
        <w:jc w:val="left"/>
        <w:rPr>
          <w:rFonts w:ascii="Times New Roman" w:hAnsi="Times New Roman"/>
          <w:sz w:val="20"/>
        </w:rPr>
      </w:pPr>
      <w:r>
        <w:rPr>
          <w:rFonts w:ascii="Times New Roman" w:hAnsi="Times New Roman"/>
          <w:sz w:val="20"/>
        </w:rPr>
        <w:t xml:space="preserve">The portion of profit to which each shareholder is entitled and each shareholder’s liability for any loss shall be proportionate to its interest in the share capital.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Article 33.</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 LESS THAN ONE HALF OF SHARE CAPITAL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If, owing to losses recorded in the accounting documents, the Company’s equity falls below one half of its share capital, the Board of Directors is required, within four (4) months of the approval of the financial statements showing the loss, to convene an Extraordinary General Meeting of shareholders to decide whether to wind up the Company early.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 decision is made not to wind up the Company, subject to the provisions of Article L. 224-2 of the French Commercial Code, the Company is required, by the end of the second financial year following that in which the loss was recorded, to reduce its share capital at least by the amount of the loss that cannot be appropriated to the reserves unless, within that timeframe, it has rebuilt its equity to an amount equal to at least one half of its share capital. If these requirements are not met, any interested person may petition a court of law to wind up the Company. However, the Court may not make an order for the Company to be wound up if, on the day on which it decides the case, the situation has been remedied.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VII </w:t>
      </w:r>
    </w:p>
    <w:p>
      <w:pPr>
        <w:pStyle w:val="TextBody"/>
        <w:bidi w:val="0"/>
        <w:spacing w:before="0" w:after="0"/>
        <w:jc w:val="center"/>
        <w:rPr>
          <w:rFonts w:ascii="Times New Roman" w:hAnsi="Times New Roman"/>
          <w:b/>
          <w:sz w:val="20"/>
        </w:rPr>
      </w:pPr>
      <w:r>
        <w:rPr>
          <w:rFonts w:ascii="Times New Roman" w:hAnsi="Times New Roman"/>
          <w:b/>
          <w:sz w:val="20"/>
        </w:rPr>
        <w:t xml:space="preserve">WINDING-UP – LIQUIDATION – DISPUTES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Article 34.</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WINDING-UP — LIQUIDATION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Upon the expiry of the term of incorporation set by the Company or if the Company is wound up early, the shareholders at a General Meeting must decide the terms of the liquidation proceedings and appoint one or more liquidators, whose powers shall be determined by the shareholders and who shall perform their duties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If all shares in the Company are held by a sole shareholder, the expiry of the term of incorporation of the Company or the winding-up of the Company for whatever reason shall entail the transfer of all of its assets and liabilities to the legal entity sole shareholder, without the need to liquidate the Company, subject to the creditors’ right of opposition, in accordance with the provisions of Article 1844-5 of the French Civil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Article 35.</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DISPUTES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Any dispute that may arise during the Company’s existence or upon its liquidation between the Company and its shareholders or directors or between the shareholders themselves concerning the Company’s affairs shall be heard and decided in accordance with the law and referred to the competent courts.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19 </w:t>
      </w:r>
    </w:p>
    <w:p>
      <w:pPr>
        <w:pStyle w:val="TextBody"/>
        <w:bidi w:val="0"/>
        <w:spacing w:before="0" w:after="0"/>
        <w:jc w:val="right"/>
        <w:rPr>
          <w:rFonts w:ascii="Times New Roman" w:hAnsi="Times New Roman"/>
          <w:b/>
          <w:sz w:val="20"/>
        </w:rPr>
      </w:pPr>
      <w:bookmarkStart w:id="24" w:name="d86113dex44.htm"/>
      <w:bookmarkStart w:id="25" w:name="ksd86113dex44"/>
      <w:bookmarkEnd w:id="24"/>
      <w:bookmarkEnd w:id="25"/>
      <w:r>
        <w:rPr>
          <w:rFonts w:ascii="Times New Roman" w:hAnsi="Times New Roman"/>
          <w:b/>
          <w:sz w:val="20"/>
        </w:rPr>
        <w:t xml:space="preserve">Exhibit 4.4 </w:t>
      </w:r>
      <w:r>
        <w:br w:type="page"/>
      </w:r>
    </w:p>
    <w:p>
      <w:pPr>
        <w:pStyle w:val="TextBody"/>
        <w:bidi w:val="0"/>
        <w:spacing w:before="2400" w:after="0"/>
        <w:jc w:val="center"/>
        <w:rPr>
          <w:rFonts w:ascii="Times New Roman" w:hAnsi="Times New Roman"/>
          <w:b/>
          <w:sz w:val="20"/>
        </w:rPr>
      </w:pPr>
      <w:r>
        <w:rPr>
          <w:rFonts w:ascii="Times New Roman" w:hAnsi="Times New Roman"/>
          <w:b/>
          <w:sz w:val="20"/>
        </w:rPr>
        <w:t xml:space="preserve">ABIVAX SA, as </w:t>
      </w:r>
    </w:p>
    <w:p>
      <w:pPr>
        <w:pStyle w:val="TextBody"/>
        <w:bidi w:val="0"/>
        <w:spacing w:before="0" w:after="0"/>
        <w:jc w:val="center"/>
        <w:rPr>
          <w:rFonts w:ascii="Times New Roman" w:hAnsi="Times New Roman"/>
          <w:sz w:val="20"/>
        </w:rPr>
      </w:pPr>
      <w:r>
        <w:rPr>
          <w:rFonts w:ascii="Times New Roman" w:hAnsi="Times New Roman"/>
          <w:b/>
          <w:sz w:val="20"/>
        </w:rPr>
        <w:t>Iss</w:t>
      </w:r>
      <w:r>
        <w:rPr>
          <w:rFonts w:ascii="Times New Roman" w:hAnsi="Times New Roman"/>
          <w:sz w:val="20"/>
        </w:rPr>
        <w:t>u</w:t>
      </w:r>
      <w:r>
        <w:rPr>
          <w:rFonts w:ascii="Times New Roman" w:hAnsi="Times New Roman"/>
          <w:b/>
          <w:sz w:val="20"/>
        </w:rPr>
        <w:t>er</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as </w:t>
      </w:r>
    </w:p>
    <w:p>
      <w:pPr>
        <w:pStyle w:val="TextBody"/>
        <w:bidi w:val="0"/>
        <w:spacing w:before="0" w:after="0"/>
        <w:jc w:val="center"/>
        <w:rPr>
          <w:rFonts w:ascii="Times New Roman" w:hAnsi="Times New Roman"/>
          <w:b/>
          <w:sz w:val="20"/>
        </w:rPr>
      </w:pPr>
      <w:r>
        <w:rPr>
          <w:rFonts w:ascii="Times New Roman" w:hAnsi="Times New Roman"/>
          <w:b/>
          <w:sz w:val="20"/>
        </w:rPr>
        <w:t xml:space="preserve">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______, 20__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3"/>
        <w:gridCol w:w="93"/>
        <w:gridCol w:w="8093"/>
        <w:gridCol w:w="147"/>
        <w:gridCol w:w="96"/>
        <w:gridCol w:w="420"/>
        <w:gridCol w:w="63"/>
      </w:tblGrid>
      <w:tr>
        <w:trPr/>
        <w:tc>
          <w:tcPr>
            <w:tcW w:w="1293"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8093"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60" w:hRule="atLeast"/>
        </w:trPr>
        <w:tc>
          <w:tcPr>
            <w:tcW w:w="9479" w:type="dxa"/>
            <w:gridSpan w:val="3"/>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947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  DEFINITIONS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Definitions of Terms.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60" w:hRule="atLeast"/>
        </w:trPr>
        <w:tc>
          <w:tcPr>
            <w:tcW w:w="9479" w:type="dxa"/>
            <w:gridSpan w:val="3"/>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947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2  ISSUE, DESCRIPTION, TERMS, EXECUTION, REGISTRATION AND EXCHANGE OF SECURITIES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Designation and Terms of Securities.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Form of Securities and Trustee’s Certificate.</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Denominations: Provisions for Payment.</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Execution and Authentications.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Registration of Transfer and Exchange.</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Temporary Securities.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Mutilated, Destroyed, Lost or Stolen Securities.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Cancellation.</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Benefits of Indenture.</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Authenticating Agent.</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Global Securities.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CUSIP Numbers.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60" w:hRule="atLeast"/>
        </w:trPr>
        <w:tc>
          <w:tcPr>
            <w:tcW w:w="9479" w:type="dxa"/>
            <w:gridSpan w:val="3"/>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947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3  REDEMPTION OF SECURITIES AND SINKING FUND PROVISIONS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Redemption.</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Notice of Redemption.</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Payment Upon Redemption.</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Sinking Fund.</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Satisfaction of Sinking Fund Payments with Securities.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Redemption of Securities for Sinking Fund.</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60" w:hRule="atLeast"/>
        </w:trPr>
        <w:tc>
          <w:tcPr>
            <w:tcW w:w="9479" w:type="dxa"/>
            <w:gridSpan w:val="3"/>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947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4  COVENANTS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Payment of Principal, Premium and Interest.</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Maintenance of Office or Agency.</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Paying Agents.</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60" w:hRule="atLeast"/>
        </w:trPr>
        <w:tc>
          <w:tcPr>
            <w:tcW w:w="1293" w:type="dxa"/>
            <w:tcBorders/>
            <w:vAlign w:val="center"/>
          </w:tcPr>
          <w:p>
            <w:pPr>
              <w:pStyle w:val="TableContents"/>
              <w:bidi w:val="0"/>
              <w:spacing w:before="0" w:after="283"/>
              <w:jc w:val="left"/>
              <w:rPr>
                <w:sz w:val="4"/>
                <w:szCs w:val="4"/>
              </w:rPr>
            </w:pPr>
            <w:r>
              <w:rPr>
                <w:sz w:val="4"/>
                <w:szCs w:val="4"/>
              </w:rPr>
            </w:r>
          </w:p>
        </w:tc>
        <w:tc>
          <w:tcPr>
            <w:tcW w:w="818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293"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93" w:type="dxa"/>
            <w:tcBorders/>
            <w:vAlign w:val="bottom"/>
          </w:tcPr>
          <w:p>
            <w:pPr>
              <w:pStyle w:val="TableContents"/>
              <w:bidi w:val="0"/>
              <w:spacing w:before="0" w:after="283"/>
              <w:jc w:val="left"/>
              <w:rPr/>
            </w:pPr>
            <w:r>
              <w:rPr/>
              <w:t> </w:t>
            </w:r>
          </w:p>
        </w:tc>
        <w:tc>
          <w:tcPr>
            <w:tcW w:w="8093" w:type="dxa"/>
            <w:tcBorders/>
            <w:vAlign w:val="bottom"/>
          </w:tcPr>
          <w:p>
            <w:pPr>
              <w:pStyle w:val="TableContents"/>
              <w:bidi w:val="0"/>
              <w:spacing w:before="0" w:after="283"/>
              <w:jc w:val="left"/>
              <w:rPr/>
            </w:pPr>
            <w:r>
              <w:rPr/>
              <w:t>Appointment to Fill Vacancy in Office of Trustee.</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60" w:hRule="atLeast"/>
        </w:trPr>
        <w:tc>
          <w:tcPr>
            <w:tcW w:w="9479" w:type="dxa"/>
            <w:gridSpan w:val="3"/>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947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5  SECURITYHOLDERS’ LISTS AND REPORTS BY THE COMPANY AND THE TRUSTEE</w:t>
            </w:r>
          </w:p>
        </w:tc>
        <w:tc>
          <w:tcPr>
            <w:tcW w:w="1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35"/>
        <w:gridCol w:w="120"/>
        <w:gridCol w:w="8097"/>
        <w:gridCol w:w="175"/>
        <w:gridCol w:w="96"/>
        <w:gridCol w:w="419"/>
        <w:gridCol w:w="63"/>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097"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Company to Furnish Trustee Names and Addresses of Securityholders.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Preservation Of Information; Communications With Securityholders.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Reports by the Company.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Reports by the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60" w:hRule="atLeast"/>
        </w:trPr>
        <w:tc>
          <w:tcPr>
            <w:tcW w:w="9452" w:type="dxa"/>
            <w:gridSpan w:val="3"/>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945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6  REMEDIES OF THE TRUSTEE AND SECURITYHOLDERS ON EVENT OF DEFAULT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Events of Default.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Collection of Indebtedness and Suits for Enforcement by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Application of Moneys Collected.</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Limitation on Suits.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Rights and Remedies Cumulative; Delay or Omission Not Waiver.</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Control by Securityholders.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Undertaking to Pay Costs.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60" w:hRule="atLeast"/>
        </w:trPr>
        <w:tc>
          <w:tcPr>
            <w:tcW w:w="9452" w:type="dxa"/>
            <w:gridSpan w:val="3"/>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945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7  CONCERNING THE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Certain Duties and Responsibilities of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Certain Rights of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Trustee Not Responsible for Recitals or Issuance or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May Hold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Moneys Held in Trust.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Compensation and Reimbursement.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Reliance on Officer’s Certificate.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Disqualification; Conflicting Interests.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Corporate Trustee Required; Eligibility.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Resignation and Removal; Appointment of Successor.</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Acceptance of Appointment By Successor.</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Merger, Conversion, Consolidation or Succession to Business.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Preferential Collection of Claims Against the Company.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Notice of Default.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60" w:hRule="atLeast"/>
        </w:trPr>
        <w:tc>
          <w:tcPr>
            <w:tcW w:w="9452" w:type="dxa"/>
            <w:gridSpan w:val="3"/>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945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8  CONCERNING THE SECURITYHOLDERS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60" w:hRule="atLeast"/>
        </w:trPr>
        <w:tc>
          <w:tcPr>
            <w:tcW w:w="1235" w:type="dxa"/>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20" w:type="dxa"/>
            <w:tcBorders/>
            <w:vAlign w:val="bottom"/>
          </w:tcPr>
          <w:p>
            <w:pPr>
              <w:pStyle w:val="TableContents"/>
              <w:bidi w:val="0"/>
              <w:spacing w:before="0" w:after="283"/>
              <w:jc w:val="left"/>
              <w:rPr/>
            </w:pPr>
            <w:r>
              <w:rPr/>
              <w:t>  </w:t>
            </w:r>
          </w:p>
        </w:tc>
        <w:tc>
          <w:tcPr>
            <w:tcW w:w="8097" w:type="dxa"/>
            <w:tcBorders/>
            <w:vAlign w:val="bottom"/>
          </w:tcPr>
          <w:p>
            <w:pPr>
              <w:pStyle w:val="TableContents"/>
              <w:bidi w:val="0"/>
              <w:spacing w:before="0" w:after="283"/>
              <w:jc w:val="left"/>
              <w:rPr/>
            </w:pPr>
            <w:r>
              <w:rPr/>
              <w:t>Evidence of Action by Securityholders.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82"/>
        <w:gridCol w:w="120"/>
        <w:gridCol w:w="7936"/>
        <w:gridCol w:w="189"/>
        <w:gridCol w:w="96"/>
        <w:gridCol w:w="419"/>
        <w:gridCol w:w="63"/>
      </w:tblGrid>
      <w:tr>
        <w:trPr/>
        <w:tc>
          <w:tcPr>
            <w:tcW w:w="13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36"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82"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Proof of Execution by Securityholders.</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Who May be Deemed Owners.</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Certain Securities Owned by Company Disregarded.</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Actions Binding on Future Securityholders.</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6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9  SUPPLEMENTAL INDENTURES</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Supplemental Indentures Without the Consent of Securityholders.</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Supplemental Indentures With Consent of Securityholders.</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Effect of Supplemental Indentures.</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Securities Affected by Supplemental Indentures.</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Execution of Supplemental Indentures.</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6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10  SUCCESSOR ENTITY</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Company May Consolidate, Etc.</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Successor Entity Substituted.</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6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11  SATISFACTION AND DISCHARGE</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Satisfaction and Discharge of Indenture.</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Discharge of Obligations.</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Deposited Moneys to be Held in Trust.</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Payment of Moneys Held by Paying Agents.</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Repayment to Company.</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6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12  IMMUNITY OF INCORPORATORS, STOCKHOLDERS, OFFICERS AND DIRECTORS</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No Recourse.</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6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13  MISCELLANEOUS PROVISIONS</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Effect on Successors and Assigns.</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Actions by Successor.</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13.03</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Surrender of Company Powers.</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13.04</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Notices.</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13.05</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Governing Law; Jury Trial Waiver.</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13.06</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Treatment of Securities as Debt.</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60" w:hRule="atLeast"/>
        </w:trPr>
        <w:tc>
          <w:tcPr>
            <w:tcW w:w="1382"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13.07</w:t>
            </w:r>
          </w:p>
        </w:tc>
        <w:tc>
          <w:tcPr>
            <w:tcW w:w="120" w:type="dxa"/>
            <w:tcBorders/>
            <w:vAlign w:val="bottom"/>
          </w:tcPr>
          <w:p>
            <w:pPr>
              <w:pStyle w:val="TableContents"/>
              <w:bidi w:val="0"/>
              <w:spacing w:before="0" w:after="283"/>
              <w:jc w:val="left"/>
              <w:rPr/>
            </w:pPr>
            <w:r>
              <w:rPr/>
              <w:t>  </w:t>
            </w:r>
          </w:p>
        </w:tc>
        <w:tc>
          <w:tcPr>
            <w:tcW w:w="7936" w:type="dxa"/>
            <w:tcBorders/>
            <w:vAlign w:val="bottom"/>
          </w:tcPr>
          <w:p>
            <w:pPr>
              <w:pStyle w:val="TableContents"/>
              <w:bidi w:val="0"/>
              <w:spacing w:before="0" w:after="283"/>
              <w:jc w:val="left"/>
              <w:rPr/>
            </w:pPr>
            <w:r>
              <w:rPr/>
              <w:t>Certificates and Opinions as to Conditions Precedent.</w:t>
            </w:r>
          </w:p>
        </w:tc>
        <w:tc>
          <w:tcPr>
            <w:tcW w:w="18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5"/>
        <w:gridCol w:w="120"/>
        <w:gridCol w:w="7834"/>
        <w:gridCol w:w="277"/>
        <w:gridCol w:w="96"/>
        <w:gridCol w:w="420"/>
        <w:gridCol w:w="63"/>
      </w:tblGrid>
      <w:tr>
        <w:trPr/>
        <w:tc>
          <w:tcPr>
            <w:tcW w:w="13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834"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34"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60" w:hRule="atLeast"/>
        </w:trPr>
        <w:tc>
          <w:tcPr>
            <w:tcW w:w="1395" w:type="dxa"/>
            <w:tcBorders/>
            <w:vAlign w:val="center"/>
          </w:tcPr>
          <w:p>
            <w:pPr>
              <w:pStyle w:val="TableContents"/>
              <w:bidi w:val="0"/>
              <w:spacing w:before="0" w:after="283"/>
              <w:jc w:val="left"/>
              <w:rPr>
                <w:sz w:val="4"/>
                <w:szCs w:val="4"/>
              </w:rPr>
            </w:pPr>
            <w:r>
              <w:rPr>
                <w:sz w:val="4"/>
                <w:szCs w:val="4"/>
              </w:rPr>
            </w:r>
          </w:p>
        </w:tc>
        <w:tc>
          <w:tcPr>
            <w:tcW w:w="7954" w:type="dxa"/>
            <w:gridSpan w:val="2"/>
            <w:tcBorders/>
            <w:vAlign w:val="center"/>
          </w:tcPr>
          <w:p>
            <w:pPr>
              <w:pStyle w:val="TableContents"/>
              <w:bidi w:val="0"/>
              <w:spacing w:before="0" w:after="283"/>
              <w:jc w:val="left"/>
              <w:rPr>
                <w:sz w:val="4"/>
                <w:szCs w:val="4"/>
              </w:rPr>
            </w:pPr>
            <w:r>
              <w:rPr>
                <w:sz w:val="4"/>
                <w:szCs w:val="4"/>
              </w:rPr>
            </w:r>
          </w:p>
        </w:tc>
        <w:tc>
          <w:tcPr>
            <w:tcW w:w="856" w:type="dxa"/>
            <w:gridSpan w:val="4"/>
            <w:tcBorders/>
            <w:vAlign w:val="center"/>
          </w:tcPr>
          <w:p>
            <w:pPr>
              <w:pStyle w:val="TableContents"/>
              <w:bidi w:val="0"/>
              <w:spacing w:before="0" w:after="283"/>
              <w:jc w:val="left"/>
              <w:rPr>
                <w:sz w:val="4"/>
                <w:szCs w:val="4"/>
              </w:rPr>
            </w:pPr>
            <w:r>
              <w:rPr>
                <w:sz w:val="4"/>
                <w:szCs w:val="4"/>
              </w:rPr>
            </w:r>
          </w:p>
        </w:tc>
      </w:tr>
      <w:tr>
        <w:trPr/>
        <w:tc>
          <w:tcPr>
            <w:tcW w:w="139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13.08</w:t>
            </w:r>
          </w:p>
        </w:tc>
        <w:tc>
          <w:tcPr>
            <w:tcW w:w="120" w:type="dxa"/>
            <w:tcBorders/>
            <w:vAlign w:val="bottom"/>
          </w:tcPr>
          <w:p>
            <w:pPr>
              <w:pStyle w:val="TableContents"/>
              <w:bidi w:val="0"/>
              <w:spacing w:before="0" w:after="283"/>
              <w:jc w:val="left"/>
              <w:rPr/>
            </w:pPr>
            <w:r>
              <w:rPr/>
              <w:t>  </w:t>
            </w:r>
          </w:p>
        </w:tc>
        <w:tc>
          <w:tcPr>
            <w:tcW w:w="7834" w:type="dxa"/>
            <w:tcBorders/>
            <w:vAlign w:val="bottom"/>
          </w:tcPr>
          <w:p>
            <w:pPr>
              <w:pStyle w:val="TableContents"/>
              <w:bidi w:val="0"/>
              <w:spacing w:before="0" w:after="283"/>
              <w:jc w:val="left"/>
              <w:rPr/>
            </w:pPr>
            <w:r>
              <w:rPr/>
              <w:t>Payments on Business Days.</w:t>
            </w:r>
          </w:p>
        </w:tc>
        <w:tc>
          <w:tcPr>
            <w:tcW w:w="27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60" w:hRule="atLeast"/>
        </w:trPr>
        <w:tc>
          <w:tcPr>
            <w:tcW w:w="1395" w:type="dxa"/>
            <w:tcBorders/>
            <w:vAlign w:val="center"/>
          </w:tcPr>
          <w:p>
            <w:pPr>
              <w:pStyle w:val="TableContents"/>
              <w:bidi w:val="0"/>
              <w:spacing w:before="0" w:after="283"/>
              <w:jc w:val="left"/>
              <w:rPr>
                <w:sz w:val="4"/>
                <w:szCs w:val="4"/>
              </w:rPr>
            </w:pPr>
            <w:r>
              <w:rPr>
                <w:sz w:val="4"/>
                <w:szCs w:val="4"/>
              </w:rPr>
            </w:r>
          </w:p>
        </w:tc>
        <w:tc>
          <w:tcPr>
            <w:tcW w:w="7954" w:type="dxa"/>
            <w:gridSpan w:val="2"/>
            <w:tcBorders/>
            <w:vAlign w:val="center"/>
          </w:tcPr>
          <w:p>
            <w:pPr>
              <w:pStyle w:val="TableContents"/>
              <w:bidi w:val="0"/>
              <w:spacing w:before="0" w:after="283"/>
              <w:jc w:val="left"/>
              <w:rPr>
                <w:sz w:val="4"/>
                <w:szCs w:val="4"/>
              </w:rPr>
            </w:pPr>
            <w:r>
              <w:rPr>
                <w:sz w:val="4"/>
                <w:szCs w:val="4"/>
              </w:rPr>
            </w:r>
          </w:p>
        </w:tc>
        <w:tc>
          <w:tcPr>
            <w:tcW w:w="856" w:type="dxa"/>
            <w:gridSpan w:val="4"/>
            <w:tcBorders/>
            <w:vAlign w:val="center"/>
          </w:tcPr>
          <w:p>
            <w:pPr>
              <w:pStyle w:val="TableContents"/>
              <w:bidi w:val="0"/>
              <w:spacing w:before="0" w:after="283"/>
              <w:jc w:val="left"/>
              <w:rPr>
                <w:sz w:val="4"/>
                <w:szCs w:val="4"/>
              </w:rPr>
            </w:pPr>
            <w:r>
              <w:rPr>
                <w:sz w:val="4"/>
                <w:szCs w:val="4"/>
              </w:rPr>
            </w:r>
          </w:p>
        </w:tc>
      </w:tr>
      <w:tr>
        <w:trPr/>
        <w:tc>
          <w:tcPr>
            <w:tcW w:w="139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13.09</w:t>
            </w:r>
          </w:p>
        </w:tc>
        <w:tc>
          <w:tcPr>
            <w:tcW w:w="120" w:type="dxa"/>
            <w:tcBorders/>
            <w:vAlign w:val="bottom"/>
          </w:tcPr>
          <w:p>
            <w:pPr>
              <w:pStyle w:val="TableContents"/>
              <w:bidi w:val="0"/>
              <w:spacing w:before="0" w:after="283"/>
              <w:jc w:val="left"/>
              <w:rPr/>
            </w:pPr>
            <w:r>
              <w:rPr/>
              <w:t>  </w:t>
            </w:r>
          </w:p>
        </w:tc>
        <w:tc>
          <w:tcPr>
            <w:tcW w:w="7834" w:type="dxa"/>
            <w:tcBorders/>
            <w:vAlign w:val="bottom"/>
          </w:tcPr>
          <w:p>
            <w:pPr>
              <w:pStyle w:val="TableContents"/>
              <w:bidi w:val="0"/>
              <w:spacing w:before="0" w:after="283"/>
              <w:jc w:val="left"/>
              <w:rPr/>
            </w:pPr>
            <w:r>
              <w:rPr/>
              <w:t>Conflict with Trust Indenture Act.</w:t>
            </w:r>
          </w:p>
        </w:tc>
        <w:tc>
          <w:tcPr>
            <w:tcW w:w="27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60" w:hRule="atLeast"/>
        </w:trPr>
        <w:tc>
          <w:tcPr>
            <w:tcW w:w="1395" w:type="dxa"/>
            <w:tcBorders/>
            <w:vAlign w:val="center"/>
          </w:tcPr>
          <w:p>
            <w:pPr>
              <w:pStyle w:val="TableContents"/>
              <w:bidi w:val="0"/>
              <w:spacing w:before="0" w:after="283"/>
              <w:jc w:val="left"/>
              <w:rPr>
                <w:sz w:val="4"/>
                <w:szCs w:val="4"/>
              </w:rPr>
            </w:pPr>
            <w:r>
              <w:rPr>
                <w:sz w:val="4"/>
                <w:szCs w:val="4"/>
              </w:rPr>
            </w:r>
          </w:p>
        </w:tc>
        <w:tc>
          <w:tcPr>
            <w:tcW w:w="7954" w:type="dxa"/>
            <w:gridSpan w:val="2"/>
            <w:tcBorders/>
            <w:vAlign w:val="center"/>
          </w:tcPr>
          <w:p>
            <w:pPr>
              <w:pStyle w:val="TableContents"/>
              <w:bidi w:val="0"/>
              <w:spacing w:before="0" w:after="283"/>
              <w:jc w:val="left"/>
              <w:rPr>
                <w:sz w:val="4"/>
                <w:szCs w:val="4"/>
              </w:rPr>
            </w:pPr>
            <w:r>
              <w:rPr>
                <w:sz w:val="4"/>
                <w:szCs w:val="4"/>
              </w:rPr>
            </w:r>
          </w:p>
        </w:tc>
        <w:tc>
          <w:tcPr>
            <w:tcW w:w="856" w:type="dxa"/>
            <w:gridSpan w:val="4"/>
            <w:tcBorders/>
            <w:vAlign w:val="center"/>
          </w:tcPr>
          <w:p>
            <w:pPr>
              <w:pStyle w:val="TableContents"/>
              <w:bidi w:val="0"/>
              <w:spacing w:before="0" w:after="283"/>
              <w:jc w:val="left"/>
              <w:rPr>
                <w:sz w:val="4"/>
                <w:szCs w:val="4"/>
              </w:rPr>
            </w:pPr>
            <w:r>
              <w:rPr>
                <w:sz w:val="4"/>
                <w:szCs w:val="4"/>
              </w:rPr>
            </w:r>
          </w:p>
        </w:tc>
      </w:tr>
      <w:tr>
        <w:trPr/>
        <w:tc>
          <w:tcPr>
            <w:tcW w:w="1395" w:type="dxa"/>
            <w:tcBorders/>
          </w:tcPr>
          <w:p>
            <w:pPr>
              <w:pStyle w:val="TableContents"/>
              <w:bidi w:val="0"/>
              <w:spacing w:before="0" w:after="0"/>
              <w:jc w:val="left"/>
              <w:rPr>
                <w:rFonts w:ascii="Times New Roman" w:hAnsi="Times New Roman"/>
                <w:sz w:val="20"/>
              </w:rPr>
            </w:pPr>
            <w:r>
              <w:rPr>
                <w:rFonts w:ascii="Times New Roman" w:hAnsi="Times New Roman"/>
                <w:sz w:val="20"/>
              </w:rPr>
              <w:t>Section 13.10</w:t>
            </w:r>
          </w:p>
        </w:tc>
        <w:tc>
          <w:tcPr>
            <w:tcW w:w="120" w:type="dxa"/>
            <w:tcBorders/>
            <w:vAlign w:val="bottom"/>
          </w:tcPr>
          <w:p>
            <w:pPr>
              <w:pStyle w:val="TableContents"/>
              <w:bidi w:val="0"/>
              <w:spacing w:before="0" w:after="283"/>
              <w:jc w:val="left"/>
              <w:rPr/>
            </w:pPr>
            <w:r>
              <w:rPr/>
              <w:t>  </w:t>
            </w:r>
          </w:p>
        </w:tc>
        <w:tc>
          <w:tcPr>
            <w:tcW w:w="7834" w:type="dxa"/>
            <w:tcBorders/>
            <w:vAlign w:val="bottom"/>
          </w:tcPr>
          <w:p>
            <w:pPr>
              <w:pStyle w:val="TableContents"/>
              <w:bidi w:val="0"/>
              <w:spacing w:before="0" w:after="283"/>
              <w:jc w:val="left"/>
              <w:rPr/>
            </w:pPr>
            <w:r>
              <w:rPr/>
              <w:t>Counterparts.</w:t>
            </w:r>
          </w:p>
        </w:tc>
        <w:tc>
          <w:tcPr>
            <w:tcW w:w="27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60" w:hRule="atLeast"/>
        </w:trPr>
        <w:tc>
          <w:tcPr>
            <w:tcW w:w="1395" w:type="dxa"/>
            <w:tcBorders/>
            <w:vAlign w:val="center"/>
          </w:tcPr>
          <w:p>
            <w:pPr>
              <w:pStyle w:val="TableContents"/>
              <w:bidi w:val="0"/>
              <w:spacing w:before="0" w:after="283"/>
              <w:jc w:val="left"/>
              <w:rPr>
                <w:sz w:val="4"/>
                <w:szCs w:val="4"/>
              </w:rPr>
            </w:pPr>
            <w:r>
              <w:rPr>
                <w:sz w:val="4"/>
                <w:szCs w:val="4"/>
              </w:rPr>
            </w:r>
          </w:p>
        </w:tc>
        <w:tc>
          <w:tcPr>
            <w:tcW w:w="7954" w:type="dxa"/>
            <w:gridSpan w:val="2"/>
            <w:tcBorders/>
            <w:vAlign w:val="center"/>
          </w:tcPr>
          <w:p>
            <w:pPr>
              <w:pStyle w:val="TableContents"/>
              <w:bidi w:val="0"/>
              <w:spacing w:before="0" w:after="283"/>
              <w:jc w:val="left"/>
              <w:rPr>
                <w:sz w:val="4"/>
                <w:szCs w:val="4"/>
              </w:rPr>
            </w:pPr>
            <w:r>
              <w:rPr>
                <w:sz w:val="4"/>
                <w:szCs w:val="4"/>
              </w:rPr>
            </w:r>
          </w:p>
        </w:tc>
        <w:tc>
          <w:tcPr>
            <w:tcW w:w="856" w:type="dxa"/>
            <w:gridSpan w:val="4"/>
            <w:tcBorders/>
            <w:vAlign w:val="center"/>
          </w:tcPr>
          <w:p>
            <w:pPr>
              <w:pStyle w:val="TableContents"/>
              <w:bidi w:val="0"/>
              <w:spacing w:before="0" w:after="283"/>
              <w:jc w:val="left"/>
              <w:rPr>
                <w:sz w:val="4"/>
                <w:szCs w:val="4"/>
              </w:rPr>
            </w:pPr>
            <w:r>
              <w:rPr>
                <w:sz w:val="4"/>
                <w:szCs w:val="4"/>
              </w:rPr>
            </w:r>
          </w:p>
        </w:tc>
      </w:tr>
      <w:tr>
        <w:trPr/>
        <w:tc>
          <w:tcPr>
            <w:tcW w:w="1395" w:type="dxa"/>
            <w:tcBorders/>
          </w:tcPr>
          <w:p>
            <w:pPr>
              <w:pStyle w:val="TableContents"/>
              <w:bidi w:val="0"/>
              <w:spacing w:before="0" w:after="0"/>
              <w:jc w:val="left"/>
              <w:rPr>
                <w:rFonts w:ascii="Times New Roman" w:hAnsi="Times New Roman"/>
                <w:sz w:val="20"/>
              </w:rPr>
            </w:pPr>
            <w:r>
              <w:rPr>
                <w:rFonts w:ascii="Times New Roman" w:hAnsi="Times New Roman"/>
                <w:sz w:val="20"/>
              </w:rPr>
              <w:t>Section 13.11</w:t>
            </w:r>
          </w:p>
        </w:tc>
        <w:tc>
          <w:tcPr>
            <w:tcW w:w="120" w:type="dxa"/>
            <w:tcBorders/>
            <w:vAlign w:val="bottom"/>
          </w:tcPr>
          <w:p>
            <w:pPr>
              <w:pStyle w:val="TableContents"/>
              <w:bidi w:val="0"/>
              <w:spacing w:before="0" w:after="283"/>
              <w:jc w:val="left"/>
              <w:rPr/>
            </w:pPr>
            <w:r>
              <w:rPr/>
              <w:t>  </w:t>
            </w:r>
          </w:p>
        </w:tc>
        <w:tc>
          <w:tcPr>
            <w:tcW w:w="7834" w:type="dxa"/>
            <w:tcBorders/>
            <w:vAlign w:val="bottom"/>
          </w:tcPr>
          <w:p>
            <w:pPr>
              <w:pStyle w:val="TableContents"/>
              <w:bidi w:val="0"/>
              <w:spacing w:before="0" w:after="283"/>
              <w:jc w:val="left"/>
              <w:rPr/>
            </w:pPr>
            <w:r>
              <w:rPr/>
              <w:t>Separability.</w:t>
            </w:r>
          </w:p>
        </w:tc>
        <w:tc>
          <w:tcPr>
            <w:tcW w:w="27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60" w:hRule="atLeast"/>
        </w:trPr>
        <w:tc>
          <w:tcPr>
            <w:tcW w:w="1395" w:type="dxa"/>
            <w:tcBorders/>
            <w:vAlign w:val="center"/>
          </w:tcPr>
          <w:p>
            <w:pPr>
              <w:pStyle w:val="TableContents"/>
              <w:bidi w:val="0"/>
              <w:spacing w:before="0" w:after="283"/>
              <w:jc w:val="left"/>
              <w:rPr>
                <w:sz w:val="4"/>
                <w:szCs w:val="4"/>
              </w:rPr>
            </w:pPr>
            <w:r>
              <w:rPr>
                <w:sz w:val="4"/>
                <w:szCs w:val="4"/>
              </w:rPr>
            </w:r>
          </w:p>
        </w:tc>
        <w:tc>
          <w:tcPr>
            <w:tcW w:w="7954" w:type="dxa"/>
            <w:gridSpan w:val="2"/>
            <w:tcBorders/>
            <w:vAlign w:val="center"/>
          </w:tcPr>
          <w:p>
            <w:pPr>
              <w:pStyle w:val="TableContents"/>
              <w:bidi w:val="0"/>
              <w:spacing w:before="0" w:after="283"/>
              <w:jc w:val="left"/>
              <w:rPr>
                <w:sz w:val="4"/>
                <w:szCs w:val="4"/>
              </w:rPr>
            </w:pPr>
            <w:r>
              <w:rPr>
                <w:sz w:val="4"/>
                <w:szCs w:val="4"/>
              </w:rPr>
            </w:r>
          </w:p>
        </w:tc>
        <w:tc>
          <w:tcPr>
            <w:tcW w:w="856" w:type="dxa"/>
            <w:gridSpan w:val="4"/>
            <w:tcBorders/>
            <w:vAlign w:val="center"/>
          </w:tcPr>
          <w:p>
            <w:pPr>
              <w:pStyle w:val="TableContents"/>
              <w:bidi w:val="0"/>
              <w:spacing w:before="0" w:after="283"/>
              <w:jc w:val="left"/>
              <w:rPr>
                <w:sz w:val="4"/>
                <w:szCs w:val="4"/>
              </w:rPr>
            </w:pPr>
            <w:r>
              <w:rPr>
                <w:sz w:val="4"/>
                <w:szCs w:val="4"/>
              </w:rPr>
            </w:r>
          </w:p>
        </w:tc>
      </w:tr>
      <w:tr>
        <w:trPr/>
        <w:tc>
          <w:tcPr>
            <w:tcW w:w="1395"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120" w:type="dxa"/>
            <w:tcBorders/>
            <w:vAlign w:val="bottom"/>
          </w:tcPr>
          <w:p>
            <w:pPr>
              <w:pStyle w:val="TableContents"/>
              <w:bidi w:val="0"/>
              <w:spacing w:before="0" w:after="283"/>
              <w:jc w:val="left"/>
              <w:rPr/>
            </w:pPr>
            <w:r>
              <w:rPr/>
              <w:t>  </w:t>
            </w:r>
          </w:p>
        </w:tc>
        <w:tc>
          <w:tcPr>
            <w:tcW w:w="7834" w:type="dxa"/>
            <w:tcBorders/>
            <w:vAlign w:val="bottom"/>
          </w:tcPr>
          <w:p>
            <w:pPr>
              <w:pStyle w:val="TableContents"/>
              <w:bidi w:val="0"/>
              <w:spacing w:before="0" w:after="283"/>
              <w:jc w:val="left"/>
              <w:rPr/>
            </w:pPr>
            <w:r>
              <w:rPr/>
              <w:t>Compliance Certificates.</w:t>
            </w:r>
          </w:p>
        </w:tc>
        <w:tc>
          <w:tcPr>
            <w:tcW w:w="27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60" w:hRule="atLeast"/>
        </w:trPr>
        <w:tc>
          <w:tcPr>
            <w:tcW w:w="1395" w:type="dxa"/>
            <w:tcBorders/>
            <w:vAlign w:val="center"/>
          </w:tcPr>
          <w:p>
            <w:pPr>
              <w:pStyle w:val="TableContents"/>
              <w:bidi w:val="0"/>
              <w:spacing w:before="0" w:after="283"/>
              <w:jc w:val="left"/>
              <w:rPr>
                <w:sz w:val="4"/>
                <w:szCs w:val="4"/>
              </w:rPr>
            </w:pPr>
            <w:r>
              <w:rPr>
                <w:sz w:val="4"/>
                <w:szCs w:val="4"/>
              </w:rPr>
            </w:r>
          </w:p>
        </w:tc>
        <w:tc>
          <w:tcPr>
            <w:tcW w:w="7954" w:type="dxa"/>
            <w:gridSpan w:val="2"/>
            <w:tcBorders/>
            <w:vAlign w:val="center"/>
          </w:tcPr>
          <w:p>
            <w:pPr>
              <w:pStyle w:val="TableContents"/>
              <w:bidi w:val="0"/>
              <w:spacing w:before="0" w:after="283"/>
              <w:jc w:val="left"/>
              <w:rPr>
                <w:sz w:val="4"/>
                <w:szCs w:val="4"/>
              </w:rPr>
            </w:pPr>
            <w:r>
              <w:rPr>
                <w:sz w:val="4"/>
                <w:szCs w:val="4"/>
              </w:rPr>
            </w:r>
          </w:p>
        </w:tc>
        <w:tc>
          <w:tcPr>
            <w:tcW w:w="856" w:type="dxa"/>
            <w:gridSpan w:val="4"/>
            <w:tcBorders/>
            <w:vAlign w:val="center"/>
          </w:tcPr>
          <w:p>
            <w:pPr>
              <w:pStyle w:val="TableContents"/>
              <w:bidi w:val="0"/>
              <w:spacing w:before="0" w:after="283"/>
              <w:jc w:val="left"/>
              <w:rPr>
                <w:sz w:val="4"/>
                <w:szCs w:val="4"/>
              </w:rPr>
            </w:pPr>
            <w:r>
              <w:rPr>
                <w:sz w:val="4"/>
                <w:szCs w:val="4"/>
              </w:rPr>
            </w:r>
          </w:p>
        </w:tc>
      </w:tr>
      <w:tr>
        <w:trPr/>
        <w:tc>
          <w:tcPr>
            <w:tcW w:w="1395" w:type="dxa"/>
            <w:tcBorders/>
          </w:tcPr>
          <w:p>
            <w:pPr>
              <w:pStyle w:val="TableContents"/>
              <w:bidi w:val="0"/>
              <w:spacing w:before="0" w:after="0"/>
              <w:jc w:val="left"/>
              <w:rPr>
                <w:rFonts w:ascii="Times New Roman" w:hAnsi="Times New Roman"/>
                <w:sz w:val="20"/>
              </w:rPr>
            </w:pPr>
            <w:r>
              <w:rPr>
                <w:rFonts w:ascii="Times New Roman" w:hAnsi="Times New Roman"/>
                <w:sz w:val="20"/>
              </w:rPr>
              <w:t>Section 13.13</w:t>
            </w:r>
          </w:p>
        </w:tc>
        <w:tc>
          <w:tcPr>
            <w:tcW w:w="120" w:type="dxa"/>
            <w:tcBorders/>
            <w:vAlign w:val="bottom"/>
          </w:tcPr>
          <w:p>
            <w:pPr>
              <w:pStyle w:val="TableContents"/>
              <w:bidi w:val="0"/>
              <w:spacing w:before="0" w:after="283"/>
              <w:jc w:val="left"/>
              <w:rPr/>
            </w:pPr>
            <w:r>
              <w:rPr/>
              <w:t>  </w:t>
            </w:r>
          </w:p>
        </w:tc>
        <w:tc>
          <w:tcPr>
            <w:tcW w:w="7834" w:type="dxa"/>
            <w:tcBorders/>
            <w:vAlign w:val="bottom"/>
          </w:tcPr>
          <w:p>
            <w:pPr>
              <w:pStyle w:val="TableContents"/>
              <w:bidi w:val="0"/>
              <w:spacing w:before="0" w:after="283"/>
              <w:jc w:val="left"/>
              <w:rPr/>
            </w:pPr>
            <w:r>
              <w:rPr/>
              <w:t>U.S.A Patriot Act.</w:t>
            </w:r>
          </w:p>
        </w:tc>
        <w:tc>
          <w:tcPr>
            <w:tcW w:w="27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60" w:hRule="atLeast"/>
        </w:trPr>
        <w:tc>
          <w:tcPr>
            <w:tcW w:w="1395" w:type="dxa"/>
            <w:tcBorders/>
            <w:vAlign w:val="center"/>
          </w:tcPr>
          <w:p>
            <w:pPr>
              <w:pStyle w:val="TableContents"/>
              <w:bidi w:val="0"/>
              <w:spacing w:before="0" w:after="283"/>
              <w:jc w:val="left"/>
              <w:rPr>
                <w:sz w:val="4"/>
                <w:szCs w:val="4"/>
              </w:rPr>
            </w:pPr>
            <w:r>
              <w:rPr>
                <w:sz w:val="4"/>
                <w:szCs w:val="4"/>
              </w:rPr>
            </w:r>
          </w:p>
        </w:tc>
        <w:tc>
          <w:tcPr>
            <w:tcW w:w="7954" w:type="dxa"/>
            <w:gridSpan w:val="2"/>
            <w:tcBorders/>
            <w:vAlign w:val="center"/>
          </w:tcPr>
          <w:p>
            <w:pPr>
              <w:pStyle w:val="TableContents"/>
              <w:bidi w:val="0"/>
              <w:spacing w:before="0" w:after="283"/>
              <w:jc w:val="left"/>
              <w:rPr>
                <w:sz w:val="4"/>
                <w:szCs w:val="4"/>
              </w:rPr>
            </w:pPr>
            <w:r>
              <w:rPr>
                <w:sz w:val="4"/>
                <w:szCs w:val="4"/>
              </w:rPr>
            </w:r>
          </w:p>
        </w:tc>
        <w:tc>
          <w:tcPr>
            <w:tcW w:w="856" w:type="dxa"/>
            <w:gridSpan w:val="4"/>
            <w:tcBorders/>
            <w:vAlign w:val="center"/>
          </w:tcPr>
          <w:p>
            <w:pPr>
              <w:pStyle w:val="TableContents"/>
              <w:bidi w:val="0"/>
              <w:spacing w:before="0" w:after="283"/>
              <w:jc w:val="left"/>
              <w:rPr>
                <w:sz w:val="4"/>
                <w:szCs w:val="4"/>
              </w:rPr>
            </w:pPr>
            <w:r>
              <w:rPr>
                <w:sz w:val="4"/>
                <w:szCs w:val="4"/>
              </w:rPr>
            </w:r>
          </w:p>
        </w:tc>
      </w:tr>
      <w:tr>
        <w:trPr/>
        <w:tc>
          <w:tcPr>
            <w:tcW w:w="1395" w:type="dxa"/>
            <w:tcBorders/>
          </w:tcPr>
          <w:p>
            <w:pPr>
              <w:pStyle w:val="TableContents"/>
              <w:bidi w:val="0"/>
              <w:spacing w:before="0" w:after="0"/>
              <w:jc w:val="left"/>
              <w:rPr>
                <w:rFonts w:ascii="Times New Roman" w:hAnsi="Times New Roman"/>
                <w:sz w:val="20"/>
              </w:rPr>
            </w:pPr>
            <w:r>
              <w:rPr>
                <w:rFonts w:ascii="Times New Roman" w:hAnsi="Times New Roman"/>
                <w:sz w:val="20"/>
              </w:rPr>
              <w:t>Section 13.14</w:t>
            </w:r>
          </w:p>
        </w:tc>
        <w:tc>
          <w:tcPr>
            <w:tcW w:w="120" w:type="dxa"/>
            <w:tcBorders/>
            <w:vAlign w:val="bottom"/>
          </w:tcPr>
          <w:p>
            <w:pPr>
              <w:pStyle w:val="TableContents"/>
              <w:bidi w:val="0"/>
              <w:spacing w:before="0" w:after="283"/>
              <w:jc w:val="left"/>
              <w:rPr/>
            </w:pPr>
            <w:r>
              <w:rPr/>
              <w:t>  </w:t>
            </w:r>
          </w:p>
        </w:tc>
        <w:tc>
          <w:tcPr>
            <w:tcW w:w="7834" w:type="dxa"/>
            <w:tcBorders/>
            <w:vAlign w:val="bottom"/>
          </w:tcPr>
          <w:p>
            <w:pPr>
              <w:pStyle w:val="TableContents"/>
              <w:bidi w:val="0"/>
              <w:spacing w:before="0" w:after="283"/>
              <w:jc w:val="left"/>
              <w:rPr/>
            </w:pPr>
            <w:r>
              <w:rPr/>
              <w:t>Force Majeure.</w:t>
            </w:r>
          </w:p>
        </w:tc>
        <w:tc>
          <w:tcPr>
            <w:tcW w:w="27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60" w:hRule="atLeast"/>
        </w:trPr>
        <w:tc>
          <w:tcPr>
            <w:tcW w:w="1395" w:type="dxa"/>
            <w:tcBorders/>
            <w:vAlign w:val="center"/>
          </w:tcPr>
          <w:p>
            <w:pPr>
              <w:pStyle w:val="TableContents"/>
              <w:bidi w:val="0"/>
              <w:spacing w:before="0" w:after="283"/>
              <w:jc w:val="left"/>
              <w:rPr>
                <w:sz w:val="4"/>
                <w:szCs w:val="4"/>
              </w:rPr>
            </w:pPr>
            <w:r>
              <w:rPr>
                <w:sz w:val="4"/>
                <w:szCs w:val="4"/>
              </w:rPr>
            </w:r>
          </w:p>
        </w:tc>
        <w:tc>
          <w:tcPr>
            <w:tcW w:w="7954" w:type="dxa"/>
            <w:gridSpan w:val="2"/>
            <w:tcBorders/>
            <w:vAlign w:val="center"/>
          </w:tcPr>
          <w:p>
            <w:pPr>
              <w:pStyle w:val="TableContents"/>
              <w:bidi w:val="0"/>
              <w:spacing w:before="0" w:after="283"/>
              <w:jc w:val="left"/>
              <w:rPr>
                <w:sz w:val="4"/>
                <w:szCs w:val="4"/>
              </w:rPr>
            </w:pPr>
            <w:r>
              <w:rPr>
                <w:sz w:val="4"/>
                <w:szCs w:val="4"/>
              </w:rPr>
            </w:r>
          </w:p>
        </w:tc>
        <w:tc>
          <w:tcPr>
            <w:tcW w:w="856" w:type="dxa"/>
            <w:gridSpan w:val="4"/>
            <w:tcBorders/>
            <w:vAlign w:val="center"/>
          </w:tcPr>
          <w:p>
            <w:pPr>
              <w:pStyle w:val="TableContents"/>
              <w:bidi w:val="0"/>
              <w:spacing w:before="0" w:after="283"/>
              <w:jc w:val="left"/>
              <w:rPr>
                <w:sz w:val="4"/>
                <w:szCs w:val="4"/>
              </w:rPr>
            </w:pPr>
            <w:r>
              <w:rPr>
                <w:sz w:val="4"/>
                <w:szCs w:val="4"/>
              </w:rPr>
            </w:r>
          </w:p>
        </w:tc>
      </w:tr>
      <w:tr>
        <w:trPr/>
        <w:tc>
          <w:tcPr>
            <w:tcW w:w="1395" w:type="dxa"/>
            <w:tcBorders/>
          </w:tcPr>
          <w:p>
            <w:pPr>
              <w:pStyle w:val="TableContents"/>
              <w:bidi w:val="0"/>
              <w:spacing w:before="0" w:after="0"/>
              <w:jc w:val="left"/>
              <w:rPr>
                <w:rFonts w:ascii="Times New Roman" w:hAnsi="Times New Roman"/>
                <w:sz w:val="20"/>
              </w:rPr>
            </w:pPr>
            <w:r>
              <w:rPr>
                <w:rFonts w:ascii="Times New Roman" w:hAnsi="Times New Roman"/>
                <w:sz w:val="20"/>
              </w:rPr>
              <w:t>Section 13.15</w:t>
            </w:r>
          </w:p>
        </w:tc>
        <w:tc>
          <w:tcPr>
            <w:tcW w:w="120" w:type="dxa"/>
            <w:tcBorders/>
            <w:vAlign w:val="bottom"/>
          </w:tcPr>
          <w:p>
            <w:pPr>
              <w:pStyle w:val="TableContents"/>
              <w:bidi w:val="0"/>
              <w:spacing w:before="0" w:after="283"/>
              <w:jc w:val="left"/>
              <w:rPr/>
            </w:pPr>
            <w:r>
              <w:rPr/>
              <w:t>  </w:t>
            </w:r>
          </w:p>
        </w:tc>
        <w:tc>
          <w:tcPr>
            <w:tcW w:w="7834" w:type="dxa"/>
            <w:tcBorders/>
            <w:vAlign w:val="bottom"/>
          </w:tcPr>
          <w:p>
            <w:pPr>
              <w:pStyle w:val="TableContents"/>
              <w:bidi w:val="0"/>
              <w:spacing w:before="0" w:after="283"/>
              <w:jc w:val="left"/>
              <w:rPr/>
            </w:pPr>
            <w:r>
              <w:rPr/>
              <w:t>Table of Contents; Headings.</w:t>
            </w:r>
          </w:p>
        </w:tc>
        <w:tc>
          <w:tcPr>
            <w:tcW w:w="27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left"/>
        <w:rPr>
          <w:rFonts w:ascii="Times New Roman" w:hAnsi="Times New Roman"/>
          <w:sz w:val="20"/>
        </w:rPr>
      </w:pPr>
      <w:r>
        <w:rPr>
          <w:rFonts w:ascii="Times New Roman" w:hAnsi="Times New Roman"/>
          <w:b/>
          <w:sz w:val="20"/>
        </w:rPr>
        <w:t>INDENTURE</w:t>
      </w:r>
      <w:r>
        <w:rPr>
          <w:rFonts w:ascii="Times New Roman" w:hAnsi="Times New Roman"/>
          <w:sz w:val="20"/>
        </w:rPr>
        <w:t xml:space="preserve">, dated as of _____, 20__, among Abivax SA, a </w:t>
      </w:r>
      <w:r>
        <w:rPr>
          <w:rFonts w:ascii="Times New Roman" w:hAnsi="Times New Roman"/>
          <w:i/>
          <w:sz w:val="20"/>
        </w:rPr>
        <w:t>société anonyme</w:t>
      </w:r>
      <w:r>
        <w:rPr>
          <w:rFonts w:ascii="Times New Roman" w:hAnsi="Times New Roman"/>
          <w:sz w:val="20"/>
        </w:rPr>
        <w:t xml:space="preserve"> incorporated under the laws of France (the “</w:t>
      </w:r>
      <w:r>
        <w:rPr>
          <w:rFonts w:ascii="Times New Roman" w:hAnsi="Times New Roman"/>
          <w:b/>
          <w:i/>
          <w:sz w:val="20"/>
        </w:rPr>
        <w:t>Company</w:t>
      </w:r>
      <w:r>
        <w:rPr>
          <w:rFonts w:ascii="Times New Roman" w:hAnsi="Times New Roman"/>
          <w:sz w:val="20"/>
        </w:rPr>
        <w:t>”), and U.S. Bank Trust Company, National Association, as trustee (the “</w:t>
      </w:r>
      <w:r>
        <w:rPr>
          <w:rFonts w:ascii="Times New Roman" w:hAnsi="Times New Roman"/>
          <w:b/>
          <w:i/>
          <w:sz w:val="20"/>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for its lawful corporate purposes, the Company has duly authorized the execution and delivery of this Indenture to provide for the issuance of debt securities (hereinafter referred to as the “</w:t>
      </w:r>
      <w:r>
        <w:rPr>
          <w:rFonts w:ascii="Times New Roman" w:hAnsi="Times New Roman"/>
          <w:b/>
          <w:i/>
          <w:sz w:val="20"/>
        </w:rPr>
        <w:t>Securities</w:t>
      </w:r>
      <w:r>
        <w:rPr>
          <w:rFonts w:ascii="Times New Roman" w:hAnsi="Times New Roman"/>
          <w:sz w:val="20"/>
        </w:rPr>
        <w:t xml:space="preserve">”), in an unlimited aggregate principal amount to be issued from time to time in one or more series as in this Indenture provided, as registered Securities without coupons, to be authenticated by the certificate of the Trustee;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to provide the terms and conditions upon which the Securities are to be authenticated, issued and delivered, the Company has duly authorized the execution of this Indenture;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all things necessary to make this Indenture a valid agreement of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purchase of the Securities by the holders thereof, it is mutually covenanted and agreed as follows for the equal and ratable benefit of the holders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w:t>
      </w:r>
      <w:r>
        <w:rPr>
          <w:rFonts w:ascii="Times New Roman" w:hAnsi="Times New Roman"/>
          <w:sz w:val="20"/>
        </w:rPr>
        <w:t> </w:t>
      </w:r>
      <w:r>
        <w:rPr>
          <w:rFonts w:ascii="Times New Roman" w:hAnsi="Times New Roman"/>
          <w:b/>
          <w:sz w:val="20"/>
        </w:rPr>
        <w:t>Definitions of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 </w:t>
      </w:r>
    </w:p>
    <w:p>
      <w:pPr>
        <w:pStyle w:val="TextBody"/>
        <w:bidi w:val="0"/>
        <w:spacing w:before="240" w:after="0"/>
        <w:jc w:val="left"/>
        <w:rPr/>
      </w:pPr>
      <w:r>
        <w:rPr/>
        <w:t>“</w:t>
      </w:r>
      <w:r>
        <w:rPr>
          <w:rFonts w:ascii="Times New Roman" w:hAnsi="Times New Roman"/>
          <w:b/>
          <w:i/>
          <w:sz w:val="20"/>
        </w:rPr>
        <w:t>Authenticating Agent</w:t>
      </w:r>
      <w:r>
        <w:rPr>
          <w:rFonts w:ascii="Times New Roman" w:hAnsi="Times New Roman"/>
          <w:sz w:val="20"/>
        </w:rPr>
        <w:t xml:space="preserve">” means the Trustee or an authenticating agent with respect to all or any of the series of Securities appointed by the Trustee pursuant to Section 2.10. </w:t>
      </w:r>
    </w:p>
    <w:p>
      <w:pPr>
        <w:pStyle w:val="TextBody"/>
        <w:bidi w:val="0"/>
        <w:spacing w:before="240" w:after="0"/>
        <w:jc w:val="left"/>
        <w:rPr/>
      </w:pPr>
      <w:r>
        <w:rPr/>
        <w:t>“</w:t>
      </w:r>
      <w:r>
        <w:rPr>
          <w:rFonts w:ascii="Times New Roman" w:hAnsi="Times New Roman"/>
          <w:b/>
          <w:i/>
          <w:sz w:val="20"/>
        </w:rPr>
        <w:t>Bankruptcy Law</w:t>
      </w:r>
      <w:r>
        <w:rPr>
          <w:rFonts w:ascii="Times New Roman" w:hAnsi="Times New Roman"/>
          <w:sz w:val="20"/>
        </w:rPr>
        <w:t xml:space="preserve">” means Title 11, U.S. Code, or any similar federal or state law for the relief of debtors. </w:t>
      </w:r>
    </w:p>
    <w:p>
      <w:pPr>
        <w:pStyle w:val="TextBody"/>
        <w:bidi w:val="0"/>
        <w:spacing w:before="240" w:after="0"/>
        <w:jc w:val="left"/>
        <w:rPr/>
      </w:pPr>
      <w:r>
        <w:rPr/>
        <w:t>“</w:t>
      </w:r>
      <w:r>
        <w:rPr>
          <w:rFonts w:ascii="Times New Roman" w:hAnsi="Times New Roman"/>
          <w:b/>
          <w:i/>
          <w:sz w:val="20"/>
        </w:rPr>
        <w:t>Board of Directors</w:t>
      </w:r>
      <w:r>
        <w:rPr>
          <w:rFonts w:ascii="Times New Roman" w:hAnsi="Times New Roman"/>
          <w:sz w:val="20"/>
        </w:rPr>
        <w:t xml:space="preserve">” means the Board of Directors (or the functional equivalent thereof) of the Company or any duly authorized committee of such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Board Resolution</w:t>
      </w:r>
      <w:r>
        <w:rPr>
          <w:rFonts w:ascii="Times New Roman" w:hAnsi="Times New Roman"/>
          <w:sz w:val="20"/>
        </w:rPr>
        <w:t xml:space="preserve">” means a copy of a resolution certified by the Secretary or an Assistant Secretary of the Company to have been duly adopted by the Board of Directors (or duly authorized committee thereof) and to be in full force and effect on the date of such certification.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 </w:t>
      </w:r>
    </w:p>
    <w:p>
      <w:pPr>
        <w:pStyle w:val="TextBody"/>
        <w:bidi w:val="0"/>
        <w:spacing w:before="240" w:after="0"/>
        <w:jc w:val="left"/>
        <w:rPr/>
      </w:pPr>
      <w:r>
        <w:rPr/>
        <w:t>“</w:t>
      </w:r>
      <w:r>
        <w:rPr>
          <w:rFonts w:ascii="Times New Roman" w:hAnsi="Times New Roman"/>
          <w:b/>
          <w:i/>
          <w:sz w:val="20"/>
        </w:rPr>
        <w:t>Commission</w:t>
      </w:r>
      <w:r>
        <w:rPr>
          <w:rFonts w:ascii="Times New Roman" w:hAnsi="Times New Roman"/>
          <w:sz w:val="20"/>
        </w:rPr>
        <w:t xml:space="preserve">”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bidi w:val="0"/>
        <w:spacing w:before="240" w:after="0"/>
        <w:jc w:val="left"/>
        <w:rPr/>
      </w:pPr>
      <w:r>
        <w:rPr/>
        <w:t>“</w:t>
      </w:r>
      <w:r>
        <w:rPr>
          <w:rFonts w:ascii="Times New Roman" w:hAnsi="Times New Roman"/>
          <w:b/>
          <w:i/>
          <w:sz w:val="20"/>
        </w:rPr>
        <w:t>Company</w:t>
      </w:r>
      <w:r>
        <w:rPr>
          <w:rFonts w:ascii="Times New Roman" w:hAnsi="Times New Roman"/>
          <w:sz w:val="20"/>
        </w:rPr>
        <w:t xml:space="preserve">” means Abivax SA, a </w:t>
      </w:r>
      <w:r>
        <w:rPr>
          <w:rFonts w:ascii="Times New Roman" w:hAnsi="Times New Roman"/>
          <w:i/>
          <w:sz w:val="20"/>
        </w:rPr>
        <w:t>société anonyme</w:t>
      </w:r>
      <w:r>
        <w:rPr>
          <w:rFonts w:ascii="Times New Roman" w:hAnsi="Times New Roman"/>
          <w:sz w:val="20"/>
        </w:rPr>
        <w:t xml:space="preserve"> incorporated under the laws of France, and, subject to the provisions of Article Ten, shall also include its successors and assigns. </w:t>
      </w:r>
    </w:p>
    <w:p>
      <w:pPr>
        <w:pStyle w:val="TextBody"/>
        <w:bidi w:val="0"/>
        <w:spacing w:before="240" w:after="0"/>
        <w:jc w:val="left"/>
        <w:rPr/>
      </w:pPr>
      <w:r>
        <w:rPr/>
        <w:t>“</w:t>
      </w:r>
      <w:r>
        <w:rPr>
          <w:rFonts w:ascii="Times New Roman" w:hAnsi="Times New Roman"/>
          <w:b/>
          <w:i/>
          <w:sz w:val="20"/>
        </w:rPr>
        <w:t>Corporate Trust Office</w:t>
      </w:r>
      <w:r>
        <w:rPr>
          <w:rFonts w:ascii="Times New Roman" w:hAnsi="Times New Roman"/>
          <w:sz w:val="20"/>
        </w:rPr>
        <w:t xml:space="preserve">” means the designated office of the Trustee at which, at any particular time, its corporate trust business related to this Indenture shall be principally administered, which office at the date hereof is located at U.S. Bank Trust Company, National Association, 333 Commerce Street, Suite 900, Nashville, TN 37201; Attn: W. Jones (Abivax SA Notes Administrator). </w:t>
      </w:r>
    </w:p>
    <w:p>
      <w:pPr>
        <w:pStyle w:val="TextBody"/>
        <w:bidi w:val="0"/>
        <w:spacing w:before="240" w:after="0"/>
        <w:jc w:val="left"/>
        <w:rPr/>
      </w:pPr>
      <w:r>
        <w:rPr/>
        <w:t>“</w:t>
      </w:r>
      <w:r>
        <w:rPr>
          <w:rFonts w:ascii="Times New Roman" w:hAnsi="Times New Roman"/>
          <w:b/>
          <w:i/>
          <w:sz w:val="20"/>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pPr>
      <w:r>
        <w:rPr/>
        <w:t>“</w:t>
      </w:r>
      <w:r>
        <w:rPr>
          <w:rFonts w:ascii="Times New Roman" w:hAnsi="Times New Roman"/>
          <w:b/>
          <w:i/>
          <w:sz w:val="20"/>
        </w:rPr>
        <w:t>Defaulted Interest</w:t>
      </w:r>
      <w:r>
        <w:rPr>
          <w:rFonts w:ascii="Times New Roman" w:hAnsi="Times New Roman"/>
          <w:sz w:val="20"/>
        </w:rPr>
        <w:t xml:space="preserve">” has the meaning set forth in Section 2.03. </w:t>
      </w:r>
    </w:p>
    <w:p>
      <w:pPr>
        <w:pStyle w:val="TextBody"/>
        <w:bidi w:val="0"/>
        <w:spacing w:before="240" w:after="0"/>
        <w:jc w:val="left"/>
        <w:rPr/>
      </w:pPr>
      <w:r>
        <w:rPr/>
        <w:t>“</w:t>
      </w:r>
      <w:r>
        <w:rPr>
          <w:rFonts w:ascii="Times New Roman" w:hAnsi="Times New Roman"/>
          <w:b/>
          <w:i/>
          <w:sz w:val="20"/>
        </w:rPr>
        <w:t>Depositary</w:t>
      </w:r>
      <w:r>
        <w:rPr>
          <w:rFonts w:ascii="Times New Roman" w:hAnsi="Times New Roman"/>
          <w:sz w:val="20"/>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 </w:t>
      </w:r>
    </w:p>
    <w:p>
      <w:pPr>
        <w:pStyle w:val="TextBody"/>
        <w:bidi w:val="0"/>
        <w:spacing w:before="240" w:after="0"/>
        <w:jc w:val="left"/>
        <w:rPr/>
      </w:pPr>
      <w:r>
        <w:rPr/>
        <w:t>“</w:t>
      </w:r>
      <w:r>
        <w:rPr>
          <w:rFonts w:ascii="Times New Roman" w:hAnsi="Times New Roman"/>
          <w:b/>
          <w:i/>
          <w:sz w:val="20"/>
        </w:rPr>
        <w:t>Event of Default</w:t>
      </w:r>
      <w:r>
        <w:rPr>
          <w:rFonts w:ascii="Times New Roman" w:hAnsi="Times New Roman"/>
          <w:sz w:val="20"/>
        </w:rPr>
        <w:t xml:space="preserve">” means, with respect to Securities of a particular series, any event specified in Section 6.01, continued for the period of time, if any, therein designated.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United States Securities and Exchange Act of 1934, as amended, and the rules and regulations promulgated by the Commission thereunder.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given</w:t>
      </w:r>
      <w:r>
        <w:rPr>
          <w:rFonts w:ascii="Times New Roman" w:hAnsi="Times New Roman"/>
          <w:sz w:val="20"/>
        </w:rPr>
        <w:t>”, “</w:t>
      </w:r>
      <w:r>
        <w:rPr>
          <w:rFonts w:ascii="Times New Roman" w:hAnsi="Times New Roman"/>
          <w:b/>
          <w:i/>
          <w:sz w:val="20"/>
        </w:rPr>
        <w:t>mailed</w:t>
      </w:r>
      <w:r>
        <w:rPr>
          <w:rFonts w:ascii="Times New Roman" w:hAnsi="Times New Roman"/>
          <w:sz w:val="20"/>
        </w:rPr>
        <w:t>”, “</w:t>
      </w:r>
      <w:r>
        <w:rPr>
          <w:rFonts w:ascii="Times New Roman" w:hAnsi="Times New Roman"/>
          <w:b/>
          <w:i/>
          <w:sz w:val="20"/>
        </w:rPr>
        <w:t>notify</w:t>
      </w:r>
      <w:r>
        <w:rPr>
          <w:rFonts w:ascii="Times New Roman" w:hAnsi="Times New Roman"/>
          <w:sz w:val="20"/>
        </w:rPr>
        <w:t>” or “</w:t>
      </w:r>
      <w:r>
        <w:rPr>
          <w:rFonts w:ascii="Times New Roman" w:hAnsi="Times New Roman"/>
          <w:b/>
          <w:i/>
          <w:sz w:val="20"/>
        </w:rPr>
        <w:t>sent</w:t>
      </w:r>
      <w:r>
        <w:rPr>
          <w:rFonts w:ascii="Times New Roman" w:hAnsi="Times New Roman"/>
          <w:sz w:val="20"/>
        </w:rPr>
        <w:t xml:space="preserve">”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Global Security</w:t>
      </w:r>
      <w:r>
        <w:rPr>
          <w:rFonts w:ascii="Times New Roman" w:hAnsi="Times New Roman"/>
          <w:sz w:val="20"/>
        </w:rPr>
        <w:t xml:space="preserve">”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 </w:t>
      </w:r>
    </w:p>
    <w:p>
      <w:pPr>
        <w:pStyle w:val="TextBody"/>
        <w:bidi w:val="0"/>
        <w:spacing w:before="240" w:after="0"/>
        <w:jc w:val="left"/>
        <w:rPr/>
      </w:pPr>
      <w:r>
        <w:rPr/>
        <w:t>“</w:t>
      </w:r>
      <w:r>
        <w:rPr>
          <w:rFonts w:ascii="Times New Roman" w:hAnsi="Times New Roman"/>
          <w:b/>
          <w:i/>
          <w:sz w:val="20"/>
        </w:rPr>
        <w:t>Governmental Obligations</w:t>
      </w:r>
      <w:r>
        <w:rPr>
          <w:rFonts w:ascii="Times New Roman" w:hAnsi="Times New Roman"/>
          <w:sz w:val="20"/>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 </w:t>
      </w:r>
    </w:p>
    <w:p>
      <w:pPr>
        <w:pStyle w:val="TextBody"/>
        <w:bidi w:val="0"/>
        <w:spacing w:before="240" w:after="0"/>
        <w:jc w:val="left"/>
        <w:rPr/>
      </w:pPr>
      <w:r>
        <w:rPr/>
        <w:t>“</w:t>
      </w:r>
      <w:r>
        <w:rPr>
          <w:rFonts w:ascii="Times New Roman" w:hAnsi="Times New Roman"/>
          <w:b/>
          <w:i/>
          <w:sz w:val="20"/>
        </w:rPr>
        <w:t>herein</w:t>
      </w:r>
      <w:r>
        <w:rPr>
          <w:rFonts w:ascii="Times New Roman" w:hAnsi="Times New Roman"/>
          <w:sz w:val="20"/>
        </w:rPr>
        <w:t>”, “</w:t>
      </w:r>
      <w:r>
        <w:rPr>
          <w:rFonts w:ascii="Times New Roman" w:hAnsi="Times New Roman"/>
          <w:b/>
          <w:i/>
          <w:sz w:val="20"/>
        </w:rPr>
        <w:t>hereof</w:t>
      </w:r>
      <w:r>
        <w:rPr>
          <w:rFonts w:ascii="Times New Roman" w:hAnsi="Times New Roman"/>
          <w:sz w:val="20"/>
        </w:rPr>
        <w:t>” and “</w:t>
      </w:r>
      <w:r>
        <w:rPr>
          <w:rFonts w:ascii="Times New Roman" w:hAnsi="Times New Roman"/>
          <w:b/>
          <w:i/>
          <w:sz w:val="20"/>
        </w:rPr>
        <w:t>hereunder</w:t>
      </w:r>
      <w:r>
        <w:rPr>
          <w:rFonts w:ascii="Times New Roman" w:hAnsi="Times New Roman"/>
          <w:sz w:val="20"/>
        </w:rPr>
        <w:t xml:space="preserve">”, and other words of similar import, refer to this Indenture as a whole and not to any particular Article, Section or other subdivision. </w:t>
      </w:r>
    </w:p>
    <w:p>
      <w:pPr>
        <w:pStyle w:val="TextBody"/>
        <w:bidi w:val="0"/>
        <w:spacing w:before="240" w:after="0"/>
        <w:jc w:val="left"/>
        <w:rPr/>
      </w:pPr>
      <w:r>
        <w:rPr/>
        <w:t>“</w:t>
      </w:r>
      <w:r>
        <w:rPr>
          <w:rFonts w:ascii="Times New Roman" w:hAnsi="Times New Roman"/>
          <w:b/>
          <w:i/>
          <w:sz w:val="20"/>
        </w:rPr>
        <w:t>Indenture</w:t>
      </w:r>
      <w:r>
        <w:rPr>
          <w:rFonts w:ascii="Times New Roman" w:hAnsi="Times New Roman"/>
          <w:sz w:val="20"/>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 </w:t>
      </w:r>
    </w:p>
    <w:p>
      <w:pPr>
        <w:pStyle w:val="TextBody"/>
        <w:bidi w:val="0"/>
        <w:spacing w:before="240" w:after="0"/>
        <w:jc w:val="left"/>
        <w:rPr/>
      </w:pPr>
      <w:r>
        <w:rPr/>
        <w:t>“</w:t>
      </w:r>
      <w:r>
        <w:rPr>
          <w:rFonts w:ascii="Times New Roman" w:hAnsi="Times New Roman"/>
          <w:b/>
          <w:i/>
          <w:sz w:val="20"/>
        </w:rPr>
        <w:t>Interest Payment Date</w:t>
      </w:r>
      <w:r>
        <w:rPr>
          <w:rFonts w:ascii="Times New Roman" w:hAnsi="Times New Roman"/>
          <w:sz w:val="20"/>
        </w:rPr>
        <w:t xml:space="preserv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 </w:t>
      </w:r>
    </w:p>
    <w:p>
      <w:pPr>
        <w:pStyle w:val="TextBody"/>
        <w:bidi w:val="0"/>
        <w:spacing w:before="240" w:after="0"/>
        <w:jc w:val="left"/>
        <w:rPr/>
      </w:pPr>
      <w:r>
        <w:rPr/>
        <w:t>“</w:t>
      </w:r>
      <w:r>
        <w:rPr>
          <w:rFonts w:ascii="Times New Roman" w:hAnsi="Times New Roman"/>
          <w:b/>
          <w:i/>
          <w:sz w:val="20"/>
        </w:rPr>
        <w:t>Officer</w:t>
      </w:r>
      <w:r>
        <w:rPr>
          <w:rFonts w:ascii="Times New Roman" w:hAnsi="Times New Roman"/>
          <w:sz w:val="20"/>
        </w:rPr>
        <w:t xml:space="preserve">”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 </w:t>
      </w:r>
    </w:p>
    <w:p>
      <w:pPr>
        <w:pStyle w:val="TextBody"/>
        <w:bidi w:val="0"/>
        <w:spacing w:before="240" w:after="0"/>
        <w:jc w:val="left"/>
        <w:rPr/>
      </w:pPr>
      <w:r>
        <w:rPr/>
        <w:t>“</w:t>
      </w:r>
      <w:r>
        <w:rPr>
          <w:rFonts w:ascii="Times New Roman" w:hAnsi="Times New Roman"/>
          <w:b/>
          <w:i/>
          <w:sz w:val="20"/>
        </w:rPr>
        <w:t>Officer’s Certificate</w:t>
      </w:r>
      <w:r>
        <w:rPr>
          <w:rFonts w:ascii="Times New Roman" w:hAnsi="Times New Roman"/>
          <w:sz w:val="20"/>
        </w:rPr>
        <w:t xml:space="preserve">” means a certificate signed by any Officer. Each such certificate shall include the statements provided for in Section 13.07, if and to the extent required by the provisions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Opinion of Counsel</w:t>
      </w:r>
      <w:r>
        <w:rPr>
          <w:rFonts w:ascii="Times New Roman" w:hAnsi="Times New Roman"/>
          <w:sz w:val="20"/>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 </w:t>
      </w:r>
    </w:p>
    <w:p>
      <w:pPr>
        <w:pStyle w:val="TextBody"/>
        <w:bidi w:val="0"/>
        <w:spacing w:before="240" w:after="0"/>
        <w:jc w:val="left"/>
        <w:rPr/>
      </w:pPr>
      <w:r>
        <w:rPr/>
        <w:t>“</w:t>
      </w:r>
      <w:r>
        <w:rPr>
          <w:rFonts w:ascii="Times New Roman" w:hAnsi="Times New Roman"/>
          <w:b/>
          <w:i/>
          <w:sz w:val="20"/>
        </w:rPr>
        <w:t>Outstanding</w:t>
      </w:r>
      <w:r>
        <w:rPr>
          <w:rFonts w:ascii="Times New Roman" w:hAnsi="Times New Roman"/>
          <w:sz w:val="20"/>
        </w:rPr>
        <w:t xml:space="preserve">”,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any individual, corporation, partnership, joint venture, joint-stock company, limited liability company, association, trust, unincorporated organization, any other entity or organization, including a government or political subdivision or an agency or instrumentality thereof. </w:t>
      </w:r>
    </w:p>
    <w:p>
      <w:pPr>
        <w:pStyle w:val="TextBody"/>
        <w:bidi w:val="0"/>
        <w:spacing w:before="240" w:after="0"/>
        <w:jc w:val="left"/>
        <w:rPr/>
      </w:pPr>
      <w:r>
        <w:rPr/>
        <w:t>“</w:t>
      </w:r>
      <w:r>
        <w:rPr>
          <w:rFonts w:ascii="Times New Roman" w:hAnsi="Times New Roman"/>
          <w:b/>
          <w:i/>
          <w:sz w:val="20"/>
        </w:rPr>
        <w:t>Predecessor Security</w:t>
      </w:r>
      <w:r>
        <w:rPr>
          <w:rFonts w:ascii="Times New Roman" w:hAnsi="Times New Roman"/>
          <w:sz w:val="20"/>
        </w:rPr>
        <w:t xml:space="preserve">”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 </w:t>
      </w:r>
    </w:p>
    <w:p>
      <w:pPr>
        <w:pStyle w:val="TextBody"/>
        <w:bidi w:val="0"/>
        <w:spacing w:before="240" w:after="0"/>
        <w:jc w:val="left"/>
        <w:rPr/>
      </w:pPr>
      <w:r>
        <w:rPr/>
        <w:t>“</w:t>
      </w:r>
      <w:r>
        <w:rPr>
          <w:rFonts w:ascii="Times New Roman" w:hAnsi="Times New Roman"/>
          <w:b/>
          <w:i/>
          <w:sz w:val="20"/>
        </w:rPr>
        <w:t>Responsible Officer</w:t>
      </w:r>
      <w:r>
        <w:rPr>
          <w:rFonts w:ascii="Times New Roman" w:hAnsi="Times New Roman"/>
          <w:sz w:val="20"/>
        </w:rPr>
        <w:t xml:space="preserve">”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relating to this Indenture, any other officer to whom such matter is referred because of his or her knowledge of and familiarity with the particular subject and in each case who shall have direct responsibility for the administration of this Indenture. </w:t>
      </w:r>
    </w:p>
    <w:p>
      <w:pPr>
        <w:pStyle w:val="TextBody"/>
        <w:bidi w:val="0"/>
        <w:spacing w:before="240" w:after="0"/>
        <w:jc w:val="left"/>
        <w:rPr/>
      </w:pPr>
      <w:r>
        <w:rPr/>
        <w:t>“</w:t>
      </w:r>
      <w:r>
        <w:rPr>
          <w:rFonts w:ascii="Times New Roman" w:hAnsi="Times New Roman"/>
          <w:b/>
          <w:i/>
          <w:sz w:val="20"/>
        </w:rPr>
        <w:t>Securities</w:t>
      </w:r>
      <w:r>
        <w:rPr>
          <w:rFonts w:ascii="Times New Roman" w:hAnsi="Times New Roman"/>
          <w:sz w:val="20"/>
        </w:rPr>
        <w:t xml:space="preserve">” has the meaning stated in the first recital of this Indenture and more particularly means any Securities authenticated and delivered under this Indenture. </w:t>
      </w:r>
    </w:p>
    <w:p>
      <w:pPr>
        <w:pStyle w:val="TextBody"/>
        <w:bidi w:val="0"/>
        <w:spacing w:before="240" w:after="0"/>
        <w:jc w:val="left"/>
        <w:rPr/>
      </w:pPr>
      <w:r>
        <w:rPr/>
        <w:t>“</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i/>
          <w:sz w:val="20"/>
        </w:rPr>
        <w:t>Securityholder</w:t>
      </w:r>
      <w:r>
        <w:rPr>
          <w:rFonts w:ascii="Times New Roman" w:hAnsi="Times New Roman"/>
          <w:sz w:val="20"/>
        </w:rPr>
        <w:t>”, “</w:t>
      </w:r>
      <w:r>
        <w:rPr>
          <w:rFonts w:ascii="Times New Roman" w:hAnsi="Times New Roman"/>
          <w:b/>
          <w:i/>
          <w:sz w:val="20"/>
        </w:rPr>
        <w:t>holder of Securities</w:t>
      </w:r>
      <w:r>
        <w:rPr>
          <w:rFonts w:ascii="Times New Roman" w:hAnsi="Times New Roman"/>
          <w:sz w:val="20"/>
        </w:rPr>
        <w:t>”, “</w:t>
      </w:r>
      <w:r>
        <w:rPr>
          <w:rFonts w:ascii="Times New Roman" w:hAnsi="Times New Roman"/>
          <w:b/>
          <w:i/>
          <w:sz w:val="20"/>
        </w:rPr>
        <w:t>registered holder</w:t>
      </w:r>
      <w:r>
        <w:rPr>
          <w:rFonts w:ascii="Times New Roman" w:hAnsi="Times New Roman"/>
          <w:sz w:val="20"/>
        </w:rPr>
        <w:t xml:space="preserve">”, or other similar term, means the Person or Persons in whose name or names a particular Security is registered on the Security Register kept for that purpose in accordance with the terms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Security Register</w:t>
      </w:r>
      <w:r>
        <w:rPr>
          <w:rFonts w:ascii="Times New Roman" w:hAnsi="Times New Roman"/>
          <w:sz w:val="20"/>
        </w:rPr>
        <w:t>” and “</w:t>
      </w:r>
      <w:r>
        <w:rPr>
          <w:rFonts w:ascii="Times New Roman" w:hAnsi="Times New Roman"/>
          <w:b/>
          <w:i/>
          <w:sz w:val="20"/>
        </w:rPr>
        <w:t>Security Registrar</w:t>
      </w:r>
      <w:r>
        <w:rPr>
          <w:rFonts w:ascii="Times New Roman" w:hAnsi="Times New Roman"/>
          <w:sz w:val="20"/>
        </w:rPr>
        <w:t xml:space="preserve">” shall have the meanings as set forth in Section 2.05. </w:t>
      </w:r>
    </w:p>
    <w:p>
      <w:pPr>
        <w:pStyle w:val="TextBody"/>
        <w:bidi w:val="0"/>
        <w:spacing w:before="240" w:after="0"/>
        <w:jc w:val="left"/>
        <w:rPr/>
      </w:pPr>
      <w:r>
        <w:rPr/>
        <w:t>“</w:t>
      </w:r>
      <w:r>
        <w:rPr>
          <w:rFonts w:ascii="Times New Roman" w:hAnsi="Times New Roman"/>
          <w:b/>
          <w:i/>
          <w:sz w:val="20"/>
        </w:rPr>
        <w:t>Subsidiary</w:t>
      </w:r>
      <w:r>
        <w:rPr>
          <w:rFonts w:ascii="Times New Roman" w:hAnsi="Times New Roman"/>
          <w:sz w:val="20"/>
        </w:rPr>
        <w:t xml:space="preserve">”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 </w:t>
      </w:r>
    </w:p>
    <w:p>
      <w:pPr>
        <w:pStyle w:val="TextBody"/>
        <w:bidi w:val="0"/>
        <w:spacing w:before="240" w:after="0"/>
        <w:jc w:val="left"/>
        <w:rPr/>
      </w:pPr>
      <w:r>
        <w:rPr/>
        <w:t>“</w:t>
      </w:r>
      <w:r>
        <w:rPr>
          <w:rFonts w:ascii="Times New Roman" w:hAnsi="Times New Roman"/>
          <w:b/>
          <w:i/>
          <w:sz w:val="20"/>
        </w:rPr>
        <w:t>Trustee</w:t>
      </w:r>
      <w:r>
        <w:rPr>
          <w:rFonts w:ascii="Times New Roman" w:hAnsi="Times New Roman"/>
          <w:sz w:val="20"/>
        </w:rPr>
        <w:t xml:space="preserve">” means U.S. Bank Trust Company, National Association,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 </w:t>
      </w:r>
    </w:p>
    <w:p>
      <w:pPr>
        <w:pStyle w:val="TextBody"/>
        <w:bidi w:val="0"/>
        <w:spacing w:before="240" w:after="0"/>
        <w:jc w:val="left"/>
        <w:rPr/>
      </w:pPr>
      <w:r>
        <w:rPr/>
        <w:t>“</w:t>
      </w:r>
      <w:r>
        <w:rPr>
          <w:rFonts w:ascii="Times New Roman" w:hAnsi="Times New Roman"/>
          <w:b/>
          <w:i/>
          <w:sz w:val="20"/>
        </w:rPr>
        <w:t>Trust Indenture Act</w:t>
      </w:r>
      <w:r>
        <w:rPr>
          <w:rFonts w:ascii="Times New Roman" w:hAnsi="Times New Roman"/>
          <w:sz w:val="20"/>
        </w:rPr>
        <w:t xml:space="preserve">” means the Trust Indenture Act of 1939, as amended. </w:t>
      </w:r>
    </w:p>
    <w:p>
      <w:pPr>
        <w:pStyle w:val="TextBody"/>
        <w:bidi w:val="0"/>
        <w:spacing w:before="240" w:after="0"/>
        <w:jc w:val="left"/>
        <w:rPr/>
      </w:pPr>
      <w:r>
        <w:rPr/>
        <w:t>“</w:t>
      </w:r>
      <w:r>
        <w:rPr>
          <w:rFonts w:ascii="Times New Roman" w:hAnsi="Times New Roman"/>
          <w:b/>
          <w:i/>
          <w:sz w:val="20"/>
        </w:rPr>
        <w:t>U.S.A. Patriot Act”</w:t>
      </w:r>
      <w:r>
        <w:rPr>
          <w:rFonts w:ascii="Times New Roman" w:hAnsi="Times New Roman"/>
          <w:sz w:val="20"/>
        </w:rPr>
        <w:t xml:space="preserve"> means the Uniting and Strengthening America by Providing Appropriate Tools Required to Intercept and Obstruct Terrorism Act of 2001, Pub. L. 107-56, as amended and signed into law October 26, 2001.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center"/>
        <w:rPr>
          <w:rFonts w:ascii="Times New Roman" w:hAnsi="Times New Roman"/>
          <w:b/>
          <w:sz w:val="20"/>
        </w:rPr>
      </w:pPr>
      <w:r>
        <w:rPr>
          <w:rFonts w:ascii="Times New Roman" w:hAnsi="Times New Roman"/>
          <w:b/>
          <w:sz w:val="20"/>
        </w:rPr>
        <w:t xml:space="preserve">ISSUE, DESCRIPTION, TERMS, EXECUTION, REGISTRATION AND EXCHANGE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2.01</w:t>
      </w:r>
      <w:r>
        <w:rPr>
          <w:rFonts w:ascii="Times New Roman" w:hAnsi="Times New Roman"/>
          <w:sz w:val="20"/>
        </w:rPr>
        <w:t> </w:t>
      </w:r>
      <w:r>
        <w:rPr>
          <w:rFonts w:ascii="Times New Roman" w:hAnsi="Times New Roman"/>
          <w:b/>
          <w:sz w:val="20"/>
        </w:rPr>
        <w:t>Designation and Terms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 the title of the Securities of the series (which shall distinguish the Securities of that series from all other Securities);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maturity date or dates on which the principal of the Securities of the series is payable;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 the form of the Securities of the series including the form of the certificate of authentication for such series;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 the applicability of any guarantees;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 whether or not the Securities will be secured or unsecured, and the terms of any secured debt;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 whether the Securities rank as senior debt, senior subordinated debt, subordinated debt or any combination thereof, and the terms of any subordination;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 the Company’s right, if any, to defer the payment of interest and the maximum length of any such deferral period;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 the denominations in which the Securities of the series shall be issuable, if other than denominations of one thousand U.S. dollars ($1,000) or any integral multiple thereof;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 if other than the full principal amount thereof, the portion of the principal amount of Securities of the series which shall be payable upon declaration of acceleration of the maturity thereof pursuant to Section 6.01;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 additions to or changes in the covenants applicable to the series of Securities being issued, including, among others, the consolidation, merger or sale covenant; </w:t>
      </w:r>
    </w:p>
    <w:p>
      <w:pPr>
        <w:pStyle w:val="TextBody"/>
        <w:bidi w:val="0"/>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 additions to or changes in the Events of Default with respect to the Securities and any change in the right of the Trustee or the Securityholders to declare the principal, premium, if any, and interest, if any, with respect to such Securities to be due and payable; </w:t>
      </w:r>
    </w:p>
    <w:p>
      <w:pPr>
        <w:pStyle w:val="TextBody"/>
        <w:bidi w:val="0"/>
        <w:spacing w:before="24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 additions to or changes in or deletions of the provisions relating to covenant defeasance and legal defeasance;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 additions to or changes in the provisions relating to satisfaction and discharge of this Indenture;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 additions to or changes in the provisions relating to the modification of this Indenture both with and without the consent of Securityholders of Securities issued under this Indenture;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 the currency of payment of Securities if other than U.S. dollars and the manner of determining the equivalent amount in U.S. dollars; </w:t>
      </w:r>
    </w:p>
    <w:p>
      <w:pPr>
        <w:pStyle w:val="TextBody"/>
        <w:bidi w:val="0"/>
        <w:spacing w:before="240" w:after="0"/>
        <w:jc w:val="left"/>
        <w:rPr>
          <w:rFonts w:ascii="Times New Roman" w:hAnsi="Times New Roman"/>
          <w:sz w:val="20"/>
        </w:rPr>
      </w:pPr>
      <w:r>
        <w:rPr>
          <w:rFonts w:ascii="Times New Roman" w:hAnsi="Times New Roman"/>
          <w:b/>
          <w:sz w:val="20"/>
        </w:rPr>
        <w:t>(24)</w:t>
      </w:r>
      <w:r>
        <w:rPr>
          <w:rFonts w:ascii="Times New Roman" w:hAnsi="Times New Roman"/>
          <w:sz w:val="20"/>
        </w:rPr>
        <w:t xml:space="preserve"> whether interest will be payable in cash or additional Securities at the Company’s or the Securityholders’ option and the terms and conditions upon which the election may be made; </w:t>
      </w:r>
    </w:p>
    <w:p>
      <w:pPr>
        <w:pStyle w:val="TextBody"/>
        <w:bidi w:val="0"/>
        <w:spacing w:before="240" w:after="0"/>
        <w:jc w:val="left"/>
        <w:rPr>
          <w:rFonts w:ascii="Times New Roman" w:hAnsi="Times New Roman"/>
          <w:sz w:val="20"/>
        </w:rPr>
      </w:pPr>
      <w:r>
        <w:rPr>
          <w:rFonts w:ascii="Times New Roman" w:hAnsi="Times New Roman"/>
          <w:b/>
          <w:sz w:val="20"/>
        </w:rPr>
        <w:t>(25)</w:t>
      </w:r>
      <w:r>
        <w:rPr>
          <w:rFonts w:ascii="Times New Roman" w:hAnsi="Times New Roman"/>
          <w:sz w:val="20"/>
        </w:rPr>
        <w:t xml:space="preserve"> the terms and conditions, if any, upon which the Company shall pay amounts in addition to the stated interest, premium, if any and principal amounts of the Securities of the series to any Securityholder that is not a “United States person” for federal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(26)</w:t>
      </w:r>
      <w:r>
        <w:rPr>
          <w:rFonts w:ascii="Times New Roman" w:hAnsi="Times New Roman"/>
          <w:sz w:val="20"/>
        </w:rPr>
        <w:t xml:space="preserve"> any restrictions on transfer, sale or assignment of the Securities of the series; and </w:t>
      </w:r>
    </w:p>
    <w:p>
      <w:pPr>
        <w:pStyle w:val="TextBody"/>
        <w:bidi w:val="0"/>
        <w:spacing w:before="240" w:after="0"/>
        <w:jc w:val="left"/>
        <w:rPr>
          <w:rFonts w:ascii="Times New Roman" w:hAnsi="Times New Roman"/>
          <w:sz w:val="20"/>
        </w:rPr>
      </w:pPr>
      <w:r>
        <w:rPr>
          <w:rFonts w:ascii="Times New Roman" w:hAnsi="Times New Roman"/>
          <w:b/>
          <w:sz w:val="20"/>
        </w:rPr>
        <w:t>(27)</w:t>
      </w:r>
      <w:r>
        <w:rPr>
          <w:rFonts w:ascii="Times New Roman" w:hAnsi="Times New Roman"/>
          <w:sz w:val="20"/>
        </w:rPr>
        <w:t xml:space="preserve"> any other specific terms, preferences, rights or limitations of, or restrictions on, the Securities, any other additions or changes in the provisions of this Indenture, and any terms that may be required by us or advisable under applicable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shall be substantially identical except as may otherwise be provided in or pursuant to any such Board Resolution or in any indentures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w:t>
      </w:r>
      <w:r>
        <w:rPr>
          <w:rFonts w:ascii="Times New Roman" w:hAnsi="Times New Roman"/>
          <w:b/>
          <w:sz w:val="20"/>
        </w:rPr>
        <w:t>Form of Securities and Trustee</w:t>
      </w:r>
      <w:r>
        <w:rPr>
          <w:rFonts w:ascii="Times New Roman" w:hAnsi="Times New Roman"/>
          <w:sz w:val="20"/>
        </w:rPr>
        <w:t>’</w:t>
      </w:r>
      <w:r>
        <w:rPr>
          <w:rFonts w:ascii="Times New Roman" w:hAnsi="Times New Roman"/>
          <w:b/>
          <w:sz w:val="20"/>
        </w:rPr>
        <w:t>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2.03</w:t>
      </w:r>
      <w:r>
        <w:rPr>
          <w:rFonts w:ascii="Times New Roman" w:hAnsi="Times New Roman"/>
          <w:sz w:val="20"/>
        </w:rPr>
        <w:t> </w:t>
      </w:r>
      <w:r>
        <w:rPr>
          <w:rFonts w:ascii="Times New Roman" w:hAnsi="Times New Roman"/>
          <w:b/>
          <w:sz w:val="20"/>
        </w:rPr>
        <w:t>Denominations: Provisions for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 </w:t>
      </w:r>
    </w:p>
    <w:p>
      <w:pPr>
        <w:pStyle w:val="TextBody"/>
        <w:bidi w:val="0"/>
        <w:spacing w:before="240" w:after="0"/>
        <w:jc w:val="left"/>
        <w:rPr>
          <w:rFonts w:ascii="Times New Roman" w:hAnsi="Times New Roman"/>
          <w:sz w:val="20"/>
        </w:rPr>
      </w:pPr>
      <w:r>
        <w:rPr>
          <w:rFonts w:ascii="Times New Roman" w:hAnsi="Times New Roman"/>
          <w:sz w:val="20"/>
        </w:rPr>
        <w:t>Any interest on any Security that is payable, but is not punctually paid or duly provided for, on any Interest Payment Date for Securities of the same series (herein called “</w:t>
      </w:r>
      <w:r>
        <w:rPr>
          <w:rFonts w:ascii="Times New Roman" w:hAnsi="Times New Roman"/>
          <w:b/>
          <w:i/>
          <w:sz w:val="20"/>
        </w:rPr>
        <w:t>Defaulted Interest</w:t>
      </w:r>
      <w:r>
        <w:rPr>
          <w:rFonts w:ascii="Times New Roman" w:hAnsi="Times New Roman"/>
          <w:sz w:val="20"/>
        </w:rPr>
        <w:t xml:space="preserve">”) shall forthwith cease to be payable to the registered holder on the relevant regular record date by virtue of having been such holder; and such Defaulted Interest shall be paid by the Company, at its election, as provided in clause (1) or clause (2) below: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nor less than 10 days prior to the date of the proposed payment and not less than 10 days after the receipt by the Trustee of the notice of the proposed payment. The Company shall promptly notify the Trustee in writing of such special record date and in such notice instruct the Trustee to send the notice to the Securityholders,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Board Resolution or one or more indentures supplemental hereto establishing the terms of any series of Securities pursuant to Section 2.01 hereof, the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2.04</w:t>
      </w:r>
      <w:r>
        <w:rPr>
          <w:rFonts w:ascii="Times New Roman" w:hAnsi="Times New Roman"/>
          <w:sz w:val="20"/>
        </w:rPr>
        <w:t> </w:t>
      </w:r>
      <w:r>
        <w:rPr>
          <w:rFonts w:ascii="Times New Roman" w:hAnsi="Times New Roman"/>
          <w:b/>
          <w:sz w:val="20"/>
        </w:rPr>
        <w:t>Execution and Authentications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signed on behalf of the Company by one of its Officers. Signatures may be in the form of a manual, electronic or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use the electronic or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2.05</w:t>
      </w:r>
      <w:r>
        <w:rPr>
          <w:rFonts w:ascii="Times New Roman" w:hAnsi="Times New Roman"/>
          <w:sz w:val="20"/>
        </w:rPr>
        <w:t> </w:t>
      </w:r>
      <w:r>
        <w:rPr>
          <w:rFonts w:ascii="Times New Roman" w:hAnsi="Times New Roman"/>
          <w:b/>
          <w:sz w:val="20"/>
        </w:rPr>
        <w:t>Registration of 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 The Company shall keep, or cause to be kept, at its office or agency designated for such purpose a register or registers (herein referred to as the “</w:t>
      </w:r>
      <w:r>
        <w:rPr>
          <w:rFonts w:ascii="Times New Roman" w:hAnsi="Times New Roman"/>
          <w:b/>
          <w:i/>
          <w:sz w:val="20"/>
        </w:rPr>
        <w:t>Security Register</w:t>
      </w:r>
      <w:r>
        <w:rPr>
          <w:rFonts w:ascii="Times New Roman" w:hAnsi="Times New Roman"/>
          <w:sz w:val="20"/>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w:t>
      </w:r>
      <w:r>
        <w:rPr>
          <w:rFonts w:ascii="Times New Roman" w:hAnsi="Times New Roman"/>
          <w:b/>
          <w:i/>
          <w:sz w:val="20"/>
        </w:rPr>
        <w:t>Security Registrar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appoints the Trustee as Security Registrar for each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nor any Agent shall have any responsibility or liability for any actions taken or not taken by the Depositary.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2.06</w:t>
      </w:r>
      <w:r>
        <w:rPr>
          <w:rFonts w:ascii="Times New Roman" w:hAnsi="Times New Roman"/>
          <w:sz w:val="20"/>
        </w:rPr>
        <w:t> </w:t>
      </w:r>
      <w:r>
        <w:rPr>
          <w:rFonts w:ascii="Times New Roman" w:hAnsi="Times New Roman"/>
          <w:b/>
          <w:sz w:val="20"/>
        </w:rPr>
        <w:t>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the Trustee, upon receipt of a Company Order,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upon receipt of a Company Order,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2.07</w:t>
      </w:r>
      <w:r>
        <w:rPr>
          <w:rFonts w:ascii="Times New Roman" w:hAnsi="Times New Roman"/>
          <w:sz w:val="20"/>
        </w:rPr>
        <w:t> </w:t>
      </w:r>
      <w:r>
        <w:rPr>
          <w:rFonts w:ascii="Times New Roman" w:hAnsi="Times New Roman"/>
          <w:b/>
          <w:sz w:val="20"/>
        </w:rPr>
        <w:t>Mutilated, Destroyed, Lost or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temporary or definitive Security shall become mutilated or be destroyed, lost or stolen, the Company (subject to the next succeeding sentence) shall execute, and upon the Company’s request in a Company Order,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theft of the applicant’s Security and of the ownership thereof. The Trustee may authenticate any such substituted Security and deliver the same upon the written request or authorization of any officer of the Company in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 </w:t>
      </w:r>
    </w:p>
    <w:p>
      <w:pPr>
        <w:pStyle w:val="TextBody"/>
        <w:bidi w:val="0"/>
        <w:spacing w:before="240" w:after="0"/>
        <w:jc w:val="left"/>
        <w:rPr>
          <w:rFonts w:ascii="Times New Roman" w:hAnsi="Times New Roman"/>
          <w:sz w:val="20"/>
        </w:rPr>
      </w:pPr>
      <w:r>
        <w:rPr>
          <w:rFonts w:ascii="Times New Roman" w:hAnsi="Times New Roman"/>
          <w:sz w:val="20"/>
        </w:rPr>
        <w:t xml:space="preserve">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2.08</w:t>
      </w:r>
      <w:r>
        <w:rPr>
          <w:rFonts w:ascii="Times New Roman" w:hAnsi="Times New Roman"/>
          <w:sz w:val="20"/>
        </w:rPr>
        <w:t> </w:t>
      </w:r>
      <w:r>
        <w:rPr>
          <w:rFonts w:ascii="Times New Roman" w:hAnsi="Times New Roman"/>
          <w:b/>
          <w:sz w:val="20"/>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w:t>
      </w:r>
      <w:r>
        <w:rPr>
          <w:rFonts w:ascii="Times New Roman" w:hAnsi="Times New Roman"/>
          <w:b/>
          <w:sz w:val="20"/>
        </w:rPr>
        <w:t>Benefits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w:t>
      </w:r>
      <w:r>
        <w:rPr>
          <w:rFonts w:ascii="Times New Roman" w:hAnsi="Times New Roman"/>
          <w:b/>
          <w:sz w:val="20"/>
        </w:rPr>
        <w:t>Authenticating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 </w:t>
      </w:r>
    </w:p>
    <w:p>
      <w:pPr>
        <w:pStyle w:val="TextBody"/>
        <w:bidi w:val="0"/>
        <w:spacing w:before="24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2.11</w:t>
      </w:r>
      <w:r>
        <w:rPr>
          <w:rFonts w:ascii="Times New Roman" w:hAnsi="Times New Roman"/>
          <w:sz w:val="20"/>
        </w:rPr>
        <w:t> </w:t>
      </w:r>
      <w:r>
        <w:rPr>
          <w:rFonts w:ascii="Times New Roman" w:hAnsi="Times New Roman"/>
          <w:b/>
          <w:sz w:val="20"/>
        </w:rPr>
        <w:t>Global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w:t>
      </w:r>
      <w:r>
        <w:rPr>
          <w:rFonts w:ascii="Times New Roman" w:hAnsi="Times New Roman"/>
          <w:b/>
          <w:sz w:val="20"/>
        </w:rPr>
        <w:t>CUSIP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center"/>
        <w:rPr>
          <w:rFonts w:ascii="Times New Roman" w:hAnsi="Times New Roman"/>
          <w:b/>
          <w:sz w:val="20"/>
        </w:rPr>
      </w:pPr>
      <w:r>
        <w:rPr>
          <w:rFonts w:ascii="Times New Roman" w:hAnsi="Times New Roman"/>
          <w:b/>
          <w:sz w:val="20"/>
        </w:rPr>
        <w:t xml:space="preserve">REDEMPTION OF SECURITIES AND SINKING FUND PROVISIONS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3.01</w:t>
      </w:r>
      <w:r>
        <w:rPr>
          <w:rFonts w:ascii="Times New Roman" w:hAnsi="Times New Roman"/>
          <w:sz w:val="20"/>
        </w:rPr>
        <w:t> </w:t>
      </w:r>
      <w:r>
        <w:rPr>
          <w:rFonts w:ascii="Times New Roman" w:hAnsi="Times New Roman"/>
          <w:b/>
          <w:sz w:val="20"/>
        </w:rPr>
        <w:t>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the Securities of any series issued hereunder on and after the dates and in accordance with the terms established for such series pursuant to Section 2.01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3.02</w:t>
      </w:r>
      <w:r>
        <w:rPr>
          <w:rFonts w:ascii="Times New Roman" w:hAnsi="Times New Roman"/>
          <w:sz w:val="20"/>
        </w:rPr>
        <w:t> </w:t>
      </w:r>
      <w:r>
        <w:rPr>
          <w:rFonts w:ascii="Times New Roman" w:hAnsi="Times New Roman"/>
          <w:b/>
          <w:sz w:val="20"/>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(upon 5 Business Days’ written notice, unless a shorter period shall be satisfactory to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 </w:t>
      </w:r>
    </w:p>
    <w:p>
      <w:pPr>
        <w:pStyle w:val="TextBody"/>
        <w:bidi w:val="0"/>
        <w:spacing w:before="240" w:after="0"/>
        <w:jc w:val="left"/>
        <w:rPr>
          <w:rFonts w:ascii="Times New Roman" w:hAnsi="Times New Roman"/>
          <w:sz w:val="20"/>
        </w:rPr>
      </w:pPr>
      <w:r>
        <w:rPr>
          <w:rFonts w:ascii="Times New Roman" w:hAnsi="Times New Roman"/>
          <w:sz w:val="20"/>
        </w:rPr>
        <w:t xml:space="preserve">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subject to the applicable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3.03</w:t>
      </w:r>
      <w:r>
        <w:rPr>
          <w:rFonts w:ascii="Times New Roman" w:hAnsi="Times New Roman"/>
          <w:sz w:val="20"/>
        </w:rPr>
        <w:t> </w:t>
      </w:r>
      <w:r>
        <w:rPr>
          <w:rFonts w:ascii="Times New Roman" w:hAnsi="Times New Roman"/>
          <w:b/>
          <w:sz w:val="20"/>
        </w:rPr>
        <w:t>Payment Upon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3.04</w:t>
      </w:r>
      <w:r>
        <w:rPr>
          <w:rFonts w:ascii="Times New Roman" w:hAnsi="Times New Roman"/>
          <w:sz w:val="20"/>
        </w:rPr>
        <w:t> </w:t>
      </w:r>
      <w:r>
        <w:rPr>
          <w:rFonts w:ascii="Times New Roman" w:hAnsi="Times New Roman"/>
          <w:b/>
          <w:sz w:val="20"/>
        </w:rPr>
        <w:t>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Sections 3.04, 3.05 and 3.06 shall be applicable to any sinking fund for the retirement of Securities of a series, except as otherwise specified as contemplated by Section 2.01 for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3.05</w:t>
      </w:r>
      <w:r>
        <w:rPr>
          <w:rFonts w:ascii="Times New Roman" w:hAnsi="Times New Roman"/>
          <w:sz w:val="20"/>
        </w:rPr>
        <w:t> </w:t>
      </w:r>
      <w:r>
        <w:rPr>
          <w:rFonts w:ascii="Times New Roman" w:hAnsi="Times New Roman"/>
          <w:b/>
          <w:sz w:val="20"/>
        </w:rPr>
        <w:t>Satisfaction of Sinking Fund Payments with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3.06</w:t>
      </w:r>
      <w:r>
        <w:rPr>
          <w:rFonts w:ascii="Times New Roman" w:hAnsi="Times New Roman"/>
          <w:sz w:val="20"/>
        </w:rPr>
        <w:t> </w:t>
      </w:r>
      <w:r>
        <w:rPr>
          <w:rFonts w:ascii="Times New Roman" w:hAnsi="Times New Roman"/>
          <w:b/>
          <w:sz w:val="20"/>
        </w:rPr>
        <w:t>Redemption of Securities for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4.01</w:t>
      </w:r>
      <w:r>
        <w:rPr>
          <w:rFonts w:ascii="Times New Roman" w:hAnsi="Times New Roman"/>
          <w:sz w:val="20"/>
        </w:rPr>
        <w:t> </w:t>
      </w:r>
      <w:r>
        <w:rPr>
          <w:rFonts w:ascii="Times New Roman" w:hAnsi="Times New Roman"/>
          <w:b/>
          <w:sz w:val="20"/>
        </w:rPr>
        <w:t>Payment of Principal, Premium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w:t>
      </w:r>
      <w:r>
        <w:rPr>
          <w:rFonts w:ascii="Times New Roman" w:hAnsi="Times New Roman"/>
          <w:b/>
          <w:sz w:val="20"/>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made,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provided, however, the Trustee shall not be considered an agent of the Company for service of process. The Company initially appoints the Corporate Trust Office of the Trustee as its paying agent with respect to the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w:t>
      </w:r>
      <w:r>
        <w:rPr>
          <w:rFonts w:ascii="Times New Roman" w:hAnsi="Times New Roman"/>
          <w:b/>
          <w:sz w:val="20"/>
        </w:rPr>
        <w:t>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 that it will give the Trustee notice of any failure by the Company (or by any other obligor of such Securities) to make any payment of the principal of (and premium, if any) or interest on the Securities of that series when the same shall be due and payable;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 that it will, at any time during the continuance of any failure referred to in the preceding paragraph (a)(2) above, upon the written request of the Trustee, forthwith pay to the Trustee all sums so held in trust by such paying agent;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 that upon any receivership, insolvency, liquidation, bankruptcy, reorganization, readjustment, arrangement, composition or judicial proceedings affecting the Company, the Trustee will automatically be the Paying Agent; and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 that it will perform all other duties of paying agent as set forth in this Indenture.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4.04</w:t>
      </w:r>
      <w:r>
        <w:rPr>
          <w:rFonts w:ascii="Times New Roman" w:hAnsi="Times New Roman"/>
          <w:sz w:val="20"/>
        </w:rPr>
        <w:t> </w:t>
      </w:r>
      <w:r>
        <w:rPr>
          <w:rFonts w:ascii="Times New Roman" w:hAnsi="Times New Roman"/>
          <w:b/>
          <w:sz w:val="20"/>
        </w:rPr>
        <w:t>Appointment to Fill Vacancy in Office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whenever necessary to avoid or fill a vacancy in the office of Trustee, will appoint, in the manner provided in Section 7.10, a Trustee, so that there shall at all times be a Trustee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SECURITYHOLDERS’ LISTS AND REPORTS BY THE COMPANY AND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5.01</w:t>
      </w:r>
      <w:r>
        <w:rPr>
          <w:rFonts w:ascii="Times New Roman" w:hAnsi="Times New Roman"/>
          <w:sz w:val="20"/>
        </w:rPr>
        <w:t> </w:t>
      </w:r>
      <w:r>
        <w:rPr>
          <w:rFonts w:ascii="Times New Roman" w:hAnsi="Times New Roman"/>
          <w:b/>
          <w:sz w:val="20"/>
        </w:rPr>
        <w:t>Company to Furnish Trustee Names and Addresses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5.02</w:t>
      </w:r>
      <w:r>
        <w:rPr>
          <w:rFonts w:ascii="Times New Roman" w:hAnsi="Times New Roman"/>
          <w:sz w:val="20"/>
        </w:rPr>
        <w:t> </w:t>
      </w:r>
      <w:r>
        <w:rPr>
          <w:rFonts w:ascii="Times New Roman" w:hAnsi="Times New Roman"/>
          <w:b/>
          <w:sz w:val="20"/>
        </w:rPr>
        <w:t>Preservation Of Information; Communications With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Trustee may destroy any list furnished to it as provided in Section 5.01 upon receipt of a new list so furnished.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5.03</w:t>
      </w:r>
      <w:r>
        <w:rPr>
          <w:rFonts w:ascii="Times New Roman" w:hAnsi="Times New Roman"/>
          <w:sz w:val="20"/>
        </w:rPr>
        <w:t> </w:t>
      </w:r>
      <w:r>
        <w:rPr>
          <w:rFonts w:ascii="Times New Roman" w:hAnsi="Times New Roman"/>
          <w:b/>
          <w:sz w:val="20"/>
        </w:rPr>
        <w:t>Reports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will at all times comply with Section 314(a) of the Trust Indenture Act. The Company covenants and agrees to provide (which delivery may be via electronic mail) to the Trustee within 30 days, after the Company files the same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 Delivery of reports, information and documents to the Trustee under Section 5.03 is for informational purposes only and the information and the Trustee’s receipt of the foregoing shall not constitute actual or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5.04</w:t>
      </w:r>
      <w:r>
        <w:rPr>
          <w:rFonts w:ascii="Times New Roman" w:hAnsi="Times New Roman"/>
          <w:sz w:val="20"/>
        </w:rPr>
        <w:t> </w:t>
      </w:r>
      <w:r>
        <w:rPr>
          <w:rFonts w:ascii="Times New Roman" w:hAnsi="Times New Roman"/>
          <w:b/>
          <w:sz w:val="20"/>
        </w:rPr>
        <w:t>Reports by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required by Section 313(a) of the Trust Indenture Act, the Trustee, within sixty (60) days after each May 1, shall send to the Securityholders a brief report dated as of such May 1, which complies with Section 313(a) of the Trust Indenture Act.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Trustee shall comply with Section 313(b) and 313(c) of the Trust Indenture Act.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center"/>
        <w:rPr>
          <w:rFonts w:ascii="Times New Roman" w:hAnsi="Times New Roman"/>
          <w:b/>
          <w:sz w:val="20"/>
        </w:rPr>
      </w:pPr>
      <w:r>
        <w:rPr>
          <w:rFonts w:ascii="Times New Roman" w:hAnsi="Times New Roman"/>
          <w:b/>
          <w:sz w:val="20"/>
        </w:rPr>
        <w:t xml:space="preserve">REMEDIES OF THE TRUSTEE AND SECURITYHOLDERS ON EVENT OF DEFAULT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w:t>
      </w:r>
      <w:r>
        <w:rPr>
          <w:rFonts w:ascii="Times New Roman" w:hAnsi="Times New Roman"/>
          <w:b/>
          <w:sz w:val="20"/>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 Whenever used herein with respect to Securities of a particular series, “Event of Default” means any one or more of the following events that has occurred and is continuing: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and annulment shall extend to or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6.02</w:t>
      </w:r>
      <w:r>
        <w:rPr>
          <w:rFonts w:ascii="Times New Roman" w:hAnsi="Times New Roman"/>
          <w:sz w:val="20"/>
        </w:rPr>
        <w:t> </w:t>
      </w:r>
      <w:r>
        <w:rPr>
          <w:rFonts w:ascii="Times New Roman" w:hAnsi="Times New Roman"/>
          <w:b/>
          <w:sz w:val="20"/>
        </w:rPr>
        <w:t>Collection of Indebtedness and Suits for Enforcement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In case of an Event of Default hereunder, the Trustee may in its discretion proceed to protect and enforce the rights vested in it by this Indenture by such appropriate judicial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6.03</w:t>
      </w:r>
      <w:r>
        <w:rPr>
          <w:rFonts w:ascii="Times New Roman" w:hAnsi="Times New Roman"/>
          <w:sz w:val="20"/>
        </w:rPr>
        <w:t> </w:t>
      </w:r>
      <w:r>
        <w:rPr>
          <w:rFonts w:ascii="Times New Roman" w:hAnsi="Times New Roman"/>
          <w:b/>
          <w:sz w:val="20"/>
        </w:rPr>
        <w:t>Application of Moneys Collected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or property collected by the Trustee pursuant to this Article with respect to a particular series of Securities shall be applied in the following order, at the date or dates fixed by the Trustee and, in case of the distribution of such moneys or property on account of principal (or premium, if any) or interest, upon presentation of the Securities of that series, and notation thereon of the payment, if only partially paid, and upon surrender thereof if fully paid: </w:t>
      </w:r>
    </w:p>
    <w:p>
      <w:pPr>
        <w:pStyle w:val="TextBody"/>
        <w:bidi w:val="0"/>
        <w:spacing w:before="240" w:after="0"/>
        <w:jc w:val="left"/>
        <w:rPr>
          <w:rFonts w:ascii="Times New Roman" w:hAnsi="Times New Roman"/>
          <w:sz w:val="20"/>
        </w:rPr>
      </w:pPr>
      <w:r>
        <w:rPr>
          <w:rFonts w:ascii="Times New Roman" w:hAnsi="Times New Roman"/>
          <w:sz w:val="20"/>
        </w:rPr>
        <w:t xml:space="preserve">FIRST: To the payment of costs and expenses of collection and of all amounts payable to the Trustee under Section 7.06;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payment of the remainder, if any, to the Company or any other Person lawfully entitled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6.04</w:t>
      </w:r>
      <w:r>
        <w:rPr>
          <w:rFonts w:ascii="Times New Roman" w:hAnsi="Times New Roman"/>
          <w:sz w:val="20"/>
        </w:rPr>
        <w:t> </w:t>
      </w:r>
      <w:r>
        <w:rPr>
          <w:rFonts w:ascii="Times New Roman" w:hAnsi="Times New Roman"/>
          <w:b/>
          <w:sz w:val="20"/>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6.05</w:t>
      </w:r>
      <w:r>
        <w:rPr>
          <w:rFonts w:ascii="Times New Roman" w:hAnsi="Times New Roman"/>
          <w:sz w:val="20"/>
        </w:rPr>
        <w:t> </w:t>
      </w:r>
      <w:r>
        <w:rPr>
          <w:rFonts w:ascii="Times New Roman" w:hAnsi="Times New Roman"/>
          <w:b/>
          <w:sz w:val="20"/>
        </w:rPr>
        <w:t>Rights and Remedies Cumulative; Delay or Omission Not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6.06</w:t>
      </w:r>
      <w:r>
        <w:rPr>
          <w:rFonts w:ascii="Times New Roman" w:hAnsi="Times New Roman"/>
          <w:sz w:val="20"/>
        </w:rPr>
        <w:t> </w:t>
      </w:r>
      <w:r>
        <w:rPr>
          <w:rFonts w:ascii="Times New Roman" w:hAnsi="Times New Roman"/>
          <w:b/>
          <w:sz w:val="20"/>
        </w:rPr>
        <w:t>Control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6.07</w:t>
      </w:r>
      <w:r>
        <w:rPr>
          <w:rFonts w:ascii="Times New Roman" w:hAnsi="Times New Roman"/>
          <w:sz w:val="20"/>
        </w:rPr>
        <w:t> </w:t>
      </w:r>
      <w:r>
        <w:rPr>
          <w:rFonts w:ascii="Times New Roman" w:hAnsi="Times New Roman"/>
          <w:b/>
          <w:sz w:val="20"/>
        </w:rPr>
        <w:t>Undertaking to Pay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240" w:after="0"/>
        <w:jc w:val="center"/>
        <w:rPr>
          <w:rFonts w:ascii="Times New Roman" w:hAnsi="Times New Roman"/>
          <w:b/>
          <w:sz w:val="20"/>
        </w:rPr>
      </w:pPr>
      <w:r>
        <w:rPr>
          <w:rFonts w:ascii="Times New Roman" w:hAnsi="Times New Roman"/>
          <w:b/>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7.01</w:t>
      </w:r>
      <w:r>
        <w:rPr>
          <w:rFonts w:ascii="Times New Roman" w:hAnsi="Times New Roman"/>
          <w:sz w:val="20"/>
        </w:rPr>
        <w:t> </w:t>
      </w:r>
      <w:r>
        <w:rPr>
          <w:rFonts w:ascii="Times New Roman" w:hAnsi="Times New Roman"/>
          <w:b/>
          <w:sz w:val="20"/>
        </w:rPr>
        <w:t>Certain Duties and Responsibilities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prior to the occurrence of an Event of Default with respect to the Securities of a series and after the curing of all Events of Default with respect to the Securities of that series that may have occurred, shall undertake to perform with respect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 provision of this Indenture shall be construed to relieve the Trustee from liability for its own negligent action, its own negligent failure to act, or its own willful misconduct, except that: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 prior to the occurrence of an Event of Default with respect to the Securities of a series and after the curing or waiving of all such Events of Default with respect to that series that may have occurred: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Trustee shall not be liable to any Securityholder or to any other Person for any error of judgment made in good faith by a Responsible Officer or Responsible Officers of the Trustee, unless it shall be proved that the Trustee was negligent in ascertaining the pertinent facts;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 The Trustee shall not be required to give any bond or surety in respect of the performance of its powers or duties hereunder;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 The permissive right of the Trustee to do things enumerated in this Indenture shall not be construed as a duty of the Trustee; and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 No Trustee shall have any duty or responsibility for any act or omission of any other Trustee appointed with respect to a series of Securities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7.02</w:t>
      </w:r>
      <w:r>
        <w:rPr>
          <w:rFonts w:ascii="Times New Roman" w:hAnsi="Times New Roman"/>
          <w:sz w:val="20"/>
        </w:rPr>
        <w:t> </w:t>
      </w:r>
      <w:r>
        <w:rPr>
          <w:rFonts w:ascii="Times New Roman" w:hAnsi="Times New Roman"/>
          <w:b/>
          <w:sz w:val="20"/>
        </w:rPr>
        <w:t>Certain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7.01: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Trustee shall not be liable for any action taken or omitted to be taken by it in good faith and believed by it to be authorized or within the discretion or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acceptable to the Trustee against such costs, expenses or liabilities as a condition to so proceeding. The reasonable expense of every such examination shall be paid by the Company or, if paid by the Trustee, shall be repaid by the Company upon demand;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 In no event shall the Trustee be responsible or liable for special, indirect, incidental, punitive or consequential loss or damage of any kind whatsoever (including, but not limited to, loss of profit) irrespective of whether the Trustee has been advised of the likelihood of such loss or damage and regardless of the form of action. The provisions of this Section 7.02(i) shall survive the termination or discharge of this Indenture and the resignation or removal of the Trustee; and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 The Trustee may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w:t>
      </w:r>
      <w:r>
        <w:rPr>
          <w:rFonts w:ascii="Times New Roman" w:hAnsi="Times New Roman"/>
          <w:b/>
          <w:sz w:val="20"/>
        </w:rPr>
        <w:t>Trustee Not Responsible for Recitals or Issuance or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Trustee makes no representations as to the validity or sufficiency of this Indenture or of the Securities.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7.04</w:t>
      </w:r>
      <w:r>
        <w:rPr>
          <w:rFonts w:ascii="Times New Roman" w:hAnsi="Times New Roman"/>
          <w:sz w:val="20"/>
        </w:rPr>
        <w:t> </w:t>
      </w:r>
      <w:r>
        <w:rPr>
          <w:rFonts w:ascii="Times New Roman" w:hAnsi="Times New Roman"/>
          <w:b/>
          <w:sz w:val="20"/>
        </w:rPr>
        <w:t>May Hold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or any paying agent or Security Registrar, in its individual or any other capacity, may become the owner or pledgee of Securities with the same rights it would have if it were not Trustee, paying agent or Security Registrar.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7.05</w:t>
      </w:r>
      <w:r>
        <w:rPr>
          <w:rFonts w:ascii="Times New Roman" w:hAnsi="Times New Roman"/>
          <w:sz w:val="20"/>
        </w:rPr>
        <w:t> </w:t>
      </w:r>
      <w:r>
        <w:rPr>
          <w:rFonts w:ascii="Times New Roman" w:hAnsi="Times New Roman"/>
          <w:b/>
          <w:sz w:val="20"/>
        </w:rPr>
        <w:t>Moneys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11.05, all moneys received by the Trustee shall, until used or applied as herein provided, be held in trust for the purposes for which they were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received, but need not be segregated from other funds except to the extent required by law. The Trustee shall be under no liability for interest on any moneys received by it hereunder except such as it may agree with the Company to pay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7.06</w:t>
      </w:r>
      <w:r>
        <w:rPr>
          <w:rFonts w:ascii="Times New Roman" w:hAnsi="Times New Roman"/>
          <w:sz w:val="20"/>
        </w:rPr>
        <w:t> </w:t>
      </w:r>
      <w:r>
        <w:rPr>
          <w:rFonts w:ascii="Times New Roman" w:hAnsi="Times New Roman"/>
          <w:b/>
          <w:sz w:val="20"/>
        </w:rPr>
        <w:t>Compensation and Reimbursement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Company need not reimburse any expense or indemnify against any loss or liability incurred by the Trustee or by any officer, director, employee, shareholder or agent of the Trustee through negligence or bad faith.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7.07</w:t>
      </w:r>
      <w:r>
        <w:rPr>
          <w:rFonts w:ascii="Times New Roman" w:hAnsi="Times New Roman"/>
          <w:sz w:val="20"/>
        </w:rPr>
        <w:t> </w:t>
      </w:r>
      <w:r>
        <w:rPr>
          <w:rFonts w:ascii="Times New Roman" w:hAnsi="Times New Roman"/>
          <w:b/>
          <w:sz w:val="20"/>
        </w:rPr>
        <w:t>Reliance on Officer</w:t>
      </w:r>
      <w:r>
        <w:rPr>
          <w:rFonts w:ascii="Times New Roman" w:hAnsi="Times New Roman"/>
          <w:sz w:val="20"/>
        </w:rPr>
        <w:t>’</w:t>
      </w:r>
      <w:r>
        <w:rPr>
          <w:rFonts w:ascii="Times New Roman" w:hAnsi="Times New Roman"/>
          <w:b/>
          <w:sz w:val="20"/>
        </w:rPr>
        <w:t>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will, in the absence of gross negligence or willful misconduct on the part of the Trustee, be deemed to be conclusively proved and established by an Officer’s Certificate delivered to the Trustee and such certificate, in the absence of gross negligence or willful misconduct on the part of the Trustee, shall be full warrant to the Trustee for any action taken, suffered or omitted to be taken by it under the provisions of this Indenture upon the faith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7.08</w:t>
      </w:r>
      <w:r>
        <w:rPr>
          <w:rFonts w:ascii="Times New Roman" w:hAnsi="Times New Roman"/>
          <w:sz w:val="20"/>
        </w:rPr>
        <w:t> </w:t>
      </w:r>
      <w:r>
        <w:rPr>
          <w:rFonts w:ascii="Times New Roman" w:hAnsi="Times New Roman"/>
          <w:b/>
          <w:sz w:val="20"/>
        </w:rPr>
        <w:t>Disqualification; Conflicting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has or shall acquire any “conflicting interest” within the meaning of Section 310(b) of the Trust Indenture Act, the Trustee and the Company shall in all respects comply with the provisions of Section 310(b) of the Trust Indenture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7.09</w:t>
      </w:r>
      <w:r>
        <w:rPr>
          <w:rFonts w:ascii="Times New Roman" w:hAnsi="Times New Roman"/>
          <w:sz w:val="20"/>
        </w:rPr>
        <w:t> </w:t>
      </w:r>
      <w:r>
        <w:rPr>
          <w:rFonts w:ascii="Times New Roman" w:hAnsi="Times New Roman"/>
          <w:b/>
          <w:sz w:val="20"/>
        </w:rPr>
        <w:t>Corporate Trustee Required; 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 </w:t>
      </w:r>
    </w:p>
    <w:p>
      <w:pPr>
        <w:pStyle w:val="TextBody"/>
        <w:bidi w:val="0"/>
        <w:spacing w:before="240" w:after="0"/>
        <w:jc w:val="left"/>
        <w:rPr>
          <w:rFonts w:ascii="Times New Roman" w:hAnsi="Times New Roman"/>
          <w:sz w:val="20"/>
        </w:rPr>
      </w:pPr>
      <w:r>
        <w:rPr>
          <w:rFonts w:ascii="Times New Roman" w:hAnsi="Times New Roman"/>
          <w:sz w:val="20"/>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7.10</w:t>
      </w:r>
      <w:r>
        <w:rPr>
          <w:rFonts w:ascii="Times New Roman" w:hAnsi="Times New Roman"/>
          <w:sz w:val="20"/>
        </w:rPr>
        <w:t> </w:t>
      </w:r>
      <w:r>
        <w:rPr>
          <w:rFonts w:ascii="Times New Roman" w:hAnsi="Times New Roman"/>
          <w:b/>
          <w:sz w:val="20"/>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case at any time any one of the following shall occur: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Trustee shall fail to comply with the provisions of Section 7.08 after written request therefor by the Company or by any Securityholder who has been a bona fide holder of a Security or Securities for at least six months; or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Trustee shall cease to be eligible in accordance with the provisions of Section 7.09 and shall fail to resign after written request therefor by the Company or by any such Securityholder; or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resignation or removal of the Trustee and appointment of a successor trustee with respect to the Securities of a series pursuant to any of the provisions of this Section shall become effective upon acceptance of appointment by the successor trustee as provided in Section 7.11.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 Any successor trustee appointed pursuant to this Section may be appointed with respect to the Securities of one or more series or all of such series, and at any time there shall be only one Trustee with respect to the Securities of any particular series.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7.11</w:t>
      </w:r>
      <w:r>
        <w:rPr>
          <w:rFonts w:ascii="Times New Roman" w:hAnsi="Times New Roman"/>
          <w:sz w:val="20"/>
        </w:rPr>
        <w:t> </w:t>
      </w:r>
      <w:r>
        <w:rPr>
          <w:rFonts w:ascii="Times New Roman" w:hAnsi="Times New Roman"/>
          <w:b/>
          <w:sz w:val="20"/>
        </w:rPr>
        <w:t>Acceptance of Appointment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 Upon request of any such successor trustee, the Company shall execute any and all instruments for more fully and certainly vesting in and confirming to such successor trustee all such rights, powers and trusts referred to in paragraph (a) or (b) of this Section, as the case may be.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 No successor trustee shall accept its appointment unless at the time of such acceptance such successor trustee shall be qualified and eligible under this Article.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7.12</w:t>
      </w:r>
      <w:r>
        <w:rPr>
          <w:rFonts w:ascii="Times New Roman" w:hAnsi="Times New Roman"/>
          <w:sz w:val="20"/>
        </w:rPr>
        <w:t> </w:t>
      </w:r>
      <w:r>
        <w:rPr>
          <w:rFonts w:ascii="Times New Roman" w:hAnsi="Times New Roman"/>
          <w:b/>
          <w:sz w:val="20"/>
        </w:rPr>
        <w:t>Merger, Conversion, Consolidation or Succession to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entity into which the Trustee may be merged or converted or with which it may be consolidated, or any entity resulting from any merger, conversion or consolidation to which the Trustee shall be a party, or any entity succeeding to all or substantially all the corporate trust business of the Trustee, including the administration of the trust created by this Indenture, shall be the successor of the Trustee hereunder, provided that such entity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7.13</w:t>
      </w:r>
      <w:r>
        <w:rPr>
          <w:rFonts w:ascii="Times New Roman" w:hAnsi="Times New Roman"/>
          <w:sz w:val="20"/>
        </w:rPr>
        <w:t> </w:t>
      </w:r>
      <w:r>
        <w:rPr>
          <w:rFonts w:ascii="Times New Roman" w:hAnsi="Times New Roman"/>
          <w:b/>
          <w:sz w:val="20"/>
        </w:rPr>
        <w:t>Preferential Collection of Claims Against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7.14</w:t>
      </w:r>
      <w:r>
        <w:rPr>
          <w:rFonts w:ascii="Times New Roman" w:hAnsi="Times New Roman"/>
          <w:sz w:val="20"/>
        </w:rPr>
        <w:t> </w:t>
      </w:r>
      <w:r>
        <w:rPr>
          <w:rFonts w:ascii="Times New Roman" w:hAnsi="Times New Roman"/>
          <w:b/>
          <w:sz w:val="20"/>
        </w:rPr>
        <w:t>Notice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hAnsi="Times New Roman"/>
          <w:i/>
          <w:sz w:val="20"/>
        </w:rPr>
        <w:t>provided, however</w:t>
      </w:r>
      <w:r>
        <w:rPr>
          <w:rFonts w:ascii="Times New Roman" w:hAnsi="Times New Roman"/>
          <w:sz w:val="20"/>
        </w:rPr>
        <w:t xml:space="preserve">, that, except in the case of a default in the payment of the principal of (or premium, if any) or interest on any Security, the Trustee shall be protected in withholding such notice if and so long as a Responsible Officer of the Trustee in good faith determines that the withholding of such notice is in the interest of the Securityholders.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240" w:after="0"/>
        <w:jc w:val="center"/>
        <w:rPr>
          <w:rFonts w:ascii="Times New Roman" w:hAnsi="Times New Roman"/>
          <w:b/>
          <w:sz w:val="20"/>
        </w:rPr>
      </w:pPr>
      <w:r>
        <w:rPr>
          <w:rFonts w:ascii="Times New Roman" w:hAnsi="Times New Roman"/>
          <w:b/>
          <w:sz w:val="20"/>
        </w:rPr>
        <w:t xml:space="preserve">CONCERNING THE SECURITYHOLDERS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w:t>
      </w:r>
      <w:r>
        <w:rPr>
          <w:rFonts w:ascii="Times New Roman" w:hAnsi="Times New Roman"/>
          <w:b/>
          <w:sz w:val="20"/>
        </w:rPr>
        <w:t>Evidence of Action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w:t>
      </w:r>
      <w:r>
        <w:rPr>
          <w:rFonts w:ascii="Times New Roman" w:hAnsi="Times New Roman"/>
          <w:b/>
          <w:sz w:val="20"/>
        </w:rPr>
        <w:t>Proof of Execution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fact and date of the execution by any such Person of any instrument may be proved in any reasonable manner acceptable to the Trustee.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ownership of Securities shall be proved by the Security Register of such Securities or by a certificate of the Security Registrar thereof.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require such additional proof of any matter referred to in this Section as it shall deem necessary.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8.03</w:t>
      </w:r>
      <w:r>
        <w:rPr>
          <w:rFonts w:ascii="Times New Roman" w:hAnsi="Times New Roman"/>
          <w:sz w:val="20"/>
        </w:rPr>
        <w:t> </w:t>
      </w:r>
      <w:r>
        <w:rPr>
          <w:rFonts w:ascii="Times New Roman" w:hAnsi="Times New Roman"/>
          <w:b/>
          <w:sz w:val="20"/>
        </w:rPr>
        <w:t>Who May be Deemed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8.04</w:t>
      </w:r>
      <w:r>
        <w:rPr>
          <w:rFonts w:ascii="Times New Roman" w:hAnsi="Times New Roman"/>
          <w:sz w:val="20"/>
        </w:rPr>
        <w:t> </w:t>
      </w:r>
      <w:r>
        <w:rPr>
          <w:rFonts w:ascii="Times New Roman" w:hAnsi="Times New Roman"/>
          <w:b/>
          <w:sz w:val="20"/>
        </w:rPr>
        <w:t>Certain Securities Owned by Company Disregarded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8.05</w:t>
      </w:r>
      <w:r>
        <w:rPr>
          <w:rFonts w:ascii="Times New Roman" w:hAnsi="Times New Roman"/>
          <w:sz w:val="20"/>
        </w:rPr>
        <w:t> </w:t>
      </w:r>
      <w:r>
        <w:rPr>
          <w:rFonts w:ascii="Times New Roman" w:hAnsi="Times New Roman"/>
          <w:b/>
          <w:sz w:val="20"/>
        </w:rPr>
        <w:t>Actions Binding on Future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24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9.01</w:t>
      </w:r>
      <w:r>
        <w:rPr>
          <w:rFonts w:ascii="Times New Roman" w:hAnsi="Times New Roman"/>
          <w:sz w:val="20"/>
        </w:rPr>
        <w:t> </w:t>
      </w:r>
      <w:r>
        <w:rPr>
          <w:rFonts w:ascii="Times New Roman" w:hAnsi="Times New Roman"/>
          <w:b/>
          <w:sz w:val="20"/>
        </w:rPr>
        <w:t>Supplemental Indentures Without the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 to cure any ambiguity, defect, or inconsistency herein or in the Securities of any series;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 to comply with Article Ten;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 to provide for uncertificated Securities in addition to or in place of certificated Securities;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 to add to, delete from, or revise the conditions, limitations, and restrictions on the authorized amount, terms, or purposes of issue, authentication, and delivery of Securities, as herein set forth;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 to make any change that does not adversely affect the rights of any Securityholder in any material respect;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 to evidence and provide for the acceptance of appointment hereunder by a successor trustee; or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comply with any requirements of the Commission or any successor in connection with the qualification of this Indenture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supplemental indenture authorized by the provisions of this Section may be executed by the Company and the Trustee without the consent of the holders of any of the Securities at the time Outstanding, notwithstanding any of the provisions of Section 9.02.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9.02</w:t>
      </w:r>
      <w:r>
        <w:rPr>
          <w:rFonts w:ascii="Times New Roman" w:hAnsi="Times New Roman"/>
          <w:sz w:val="20"/>
        </w:rPr>
        <w:t> </w:t>
      </w:r>
      <w:r>
        <w:rPr>
          <w:rFonts w:ascii="Times New Roman" w:hAnsi="Times New Roman"/>
          <w:b/>
          <w:sz w:val="20"/>
        </w:rPr>
        <w:t>Supplemental Indentures With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the consent (evidenced as provided in Section 8.01) of the holders of not less than a majority in aggregate principal amount of the Securities of each series affected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Securityholders of any series affected thereby under this Section to approve the particular form of any proposed supplemental indenture, but it shall be sufficient if such consent shall approve the substance thereof. The Trustee may in its discretion, but shall not be obligated to, enter into any such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9.03</w:t>
      </w:r>
      <w:r>
        <w:rPr>
          <w:rFonts w:ascii="Times New Roman" w:hAnsi="Times New Roman"/>
          <w:sz w:val="20"/>
        </w:rPr>
        <w:t> </w:t>
      </w:r>
      <w:r>
        <w:rPr>
          <w:rFonts w:ascii="Times New Roman" w:hAnsi="Times New Roman"/>
          <w:b/>
          <w:sz w:val="20"/>
        </w:rPr>
        <w:t>Effect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9.04</w:t>
      </w:r>
      <w:r>
        <w:rPr>
          <w:rFonts w:ascii="Times New Roman" w:hAnsi="Times New Roman"/>
          <w:sz w:val="20"/>
        </w:rPr>
        <w:t> </w:t>
      </w:r>
      <w:r>
        <w:rPr>
          <w:rFonts w:ascii="Times New Roman" w:hAnsi="Times New Roman"/>
          <w:b/>
          <w:sz w:val="20"/>
        </w:rPr>
        <w:t>Securities Affected by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9.05</w:t>
      </w:r>
      <w:r>
        <w:rPr>
          <w:rFonts w:ascii="Times New Roman" w:hAnsi="Times New Roman"/>
          <w:sz w:val="20"/>
        </w:rPr>
        <w:t> </w:t>
      </w:r>
      <w:r>
        <w:rPr>
          <w:rFonts w:ascii="Times New Roman" w:hAnsi="Times New Roman"/>
          <w:b/>
          <w:sz w:val="20"/>
        </w:rPr>
        <w:t>Execution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accompanied by its Board Resolutions authorizing the execution of any such supplemental indenture, and upon the filing with the Trustee of evidence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240" w:after="0"/>
        <w:jc w:val="center"/>
        <w:rPr>
          <w:rFonts w:ascii="Times New Roman" w:hAnsi="Times New Roman"/>
          <w:b/>
          <w:sz w:val="20"/>
        </w:rPr>
      </w:pPr>
      <w:r>
        <w:rPr>
          <w:rFonts w:ascii="Times New Roman" w:hAnsi="Times New Roman"/>
          <w:b/>
          <w:sz w:val="20"/>
        </w:rPr>
        <w:t xml:space="preserve">SUCCESSOR ENTITY </w:t>
      </w:r>
    </w:p>
    <w:p>
      <w:pPr>
        <w:pStyle w:val="TextBody"/>
        <w:bidi w:val="0"/>
        <w:spacing w:before="120" w:after="0"/>
        <w:jc w:val="left"/>
        <w:rPr>
          <w:rFonts w:ascii="Times New Roman" w:hAnsi="Times New Roman"/>
          <w:b/>
          <w:sz w:val="20"/>
        </w:rPr>
      </w:pPr>
      <w:r>
        <w:rPr>
          <w:rFonts w:ascii="Times New Roman" w:hAnsi="Times New Roman"/>
          <w:b/>
          <w:sz w:val="20"/>
        </w:rPr>
        <w:t xml:space="preserve">Section 10.01 Company May Consolidate, Etc.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10.02</w:t>
      </w:r>
      <w:r>
        <w:rPr>
          <w:rFonts w:ascii="Times New Roman" w:hAnsi="Times New Roman"/>
          <w:sz w:val="20"/>
        </w:rPr>
        <w:t> </w:t>
      </w:r>
      <w:r>
        <w:rPr>
          <w:rFonts w:ascii="Times New Roman" w:hAnsi="Times New Roman"/>
          <w:b/>
          <w:sz w:val="20"/>
        </w:rPr>
        <w:t>Successor Entity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case of any such consolidation, merger, sale, conveyance, transfer or other disposition, such changes in phraseology and form (but not in substance) may be made in the Securities thereafter to be issued as may be appropriate.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24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11.01</w:t>
      </w:r>
      <w:r>
        <w:rPr>
          <w:rFonts w:ascii="Times New Roman" w:hAnsi="Times New Roman"/>
          <w:sz w:val="20"/>
        </w:rPr>
        <w:t> </w:t>
      </w:r>
      <w:r>
        <w:rPr>
          <w:rFonts w:ascii="Times New Roman" w:hAnsi="Times New Roman"/>
          <w:b/>
          <w:sz w:val="20"/>
        </w:rPr>
        <w:t>Satisfaction and 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11.02</w:t>
      </w:r>
      <w:r>
        <w:rPr>
          <w:rFonts w:ascii="Times New Roman" w:hAnsi="Times New Roman"/>
          <w:sz w:val="20"/>
        </w:rPr>
        <w:t> </w:t>
      </w:r>
      <w:r>
        <w:rPr>
          <w:rFonts w:ascii="Times New Roman" w:hAnsi="Times New Roman"/>
          <w:b/>
          <w:sz w:val="20"/>
        </w:rPr>
        <w:t>Discharge of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 </w:t>
      </w:r>
    </w:p>
    <w:p>
      <w:pPr>
        <w:pStyle w:val="TextBody"/>
        <w:bidi w:val="0"/>
        <w:spacing w:before="240" w:after="0"/>
        <w:jc w:val="left"/>
        <w:rPr>
          <w:rFonts w:ascii="Times New Roman" w:hAnsi="Times New Roman"/>
          <w:sz w:val="20"/>
        </w:rPr>
      </w:pPr>
      <w:r>
        <w:rPr>
          <w:rFonts w:ascii="Times New Roman" w:hAnsi="Times New Roman"/>
          <w:sz w:val="20"/>
        </w:rPr>
        <w:t xml:space="preserve">Thereafter, Sections 7.06 and 11.05 shall survive.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11.03</w:t>
      </w:r>
      <w:r>
        <w:rPr>
          <w:rFonts w:ascii="Times New Roman" w:hAnsi="Times New Roman"/>
          <w:sz w:val="20"/>
        </w:rPr>
        <w:t> </w:t>
      </w:r>
      <w:r>
        <w:rPr>
          <w:rFonts w:ascii="Times New Roman" w:hAnsi="Times New Roman"/>
          <w:b/>
          <w:sz w:val="20"/>
        </w:rPr>
        <w:t>Deposited Moneys to be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11.04</w:t>
      </w:r>
      <w:r>
        <w:rPr>
          <w:rFonts w:ascii="Times New Roman" w:hAnsi="Times New Roman"/>
          <w:sz w:val="20"/>
        </w:rPr>
        <w:t> </w:t>
      </w:r>
      <w:r>
        <w:rPr>
          <w:rFonts w:ascii="Times New Roman" w:hAnsi="Times New Roman"/>
          <w:b/>
          <w:sz w:val="20"/>
        </w:rPr>
        <w:t>Payment of Moneys Held by 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11.05</w:t>
      </w:r>
      <w:r>
        <w:rPr>
          <w:rFonts w:ascii="Times New Roman" w:hAnsi="Times New Roman"/>
          <w:sz w:val="20"/>
        </w:rPr>
        <w:t> </w:t>
      </w:r>
      <w:r>
        <w:rPr>
          <w:rFonts w:ascii="Times New Roman" w:hAnsi="Times New Roman"/>
          <w:b/>
          <w:sz w:val="20"/>
        </w:rPr>
        <w:t>Repayment to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240" w:after="0"/>
        <w:jc w:val="center"/>
        <w:rPr>
          <w:rFonts w:ascii="Times New Roman" w:hAnsi="Times New Roman"/>
          <w:b/>
          <w:sz w:val="20"/>
        </w:rPr>
      </w:pPr>
      <w:r>
        <w:rPr>
          <w:rFonts w:ascii="Times New Roman" w:hAnsi="Times New Roman"/>
          <w:b/>
          <w:sz w:val="20"/>
        </w:rPr>
        <w:t xml:space="preserve">IMMUNITY OF INCORPORATORS, STOCKHOLDERS, OFFICERS AND DIRECTORS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12.01</w:t>
      </w:r>
      <w:r>
        <w:rPr>
          <w:rFonts w:ascii="Times New Roman" w:hAnsi="Times New Roman"/>
          <w:sz w:val="20"/>
        </w:rPr>
        <w:t> </w:t>
      </w:r>
      <w:r>
        <w:rPr>
          <w:rFonts w:ascii="Times New Roman" w:hAnsi="Times New Roman"/>
          <w:b/>
          <w:sz w:val="20"/>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13.01</w:t>
      </w:r>
      <w:r>
        <w:rPr>
          <w:rFonts w:ascii="Times New Roman" w:hAnsi="Times New Roman"/>
          <w:sz w:val="20"/>
        </w:rPr>
        <w:t> </w:t>
      </w:r>
      <w:r>
        <w:rPr>
          <w:rFonts w:ascii="Times New Roman" w:hAnsi="Times New Roman"/>
          <w:b/>
          <w:sz w:val="20"/>
        </w:rPr>
        <w:t>Effect on 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the covenants, stipulations, promises and agreements in this Indenture made by or on behalf of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13.02</w:t>
      </w:r>
      <w:r>
        <w:rPr>
          <w:rFonts w:ascii="Times New Roman" w:hAnsi="Times New Roman"/>
          <w:sz w:val="20"/>
        </w:rPr>
        <w:t> </w:t>
      </w:r>
      <w:r>
        <w:rPr>
          <w:rFonts w:ascii="Times New Roman" w:hAnsi="Times New Roman"/>
          <w:b/>
          <w:sz w:val="20"/>
        </w:rPr>
        <w:t>Actions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13.03</w:t>
      </w:r>
      <w:r>
        <w:rPr>
          <w:rFonts w:ascii="Times New Roman" w:hAnsi="Times New Roman"/>
          <w:sz w:val="20"/>
        </w:rPr>
        <w:t> </w:t>
      </w:r>
      <w:r>
        <w:rPr>
          <w:rFonts w:ascii="Times New Roman" w:hAnsi="Times New Roman"/>
          <w:b/>
          <w:sz w:val="20"/>
        </w:rPr>
        <w:t>Surrender of Company Powers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13.04</w:t>
      </w:r>
      <w:r>
        <w:rPr>
          <w:rFonts w:ascii="Times New Roman" w:hAnsi="Times New Roman"/>
          <w:sz w:val="20"/>
        </w:rPr>
        <w:t> </w:t>
      </w:r>
      <w:r>
        <w:rPr>
          <w:rFonts w:ascii="Times New Roman" w:hAnsi="Times New Roman"/>
          <w:b/>
          <w:sz w:val="20"/>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Abivax SA, Attn: Chief Financial Officer, 7-11 boulevard Haussmann, 76009 Paris, France.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13.05</w:t>
      </w:r>
      <w:r>
        <w:rPr>
          <w:rFonts w:ascii="Times New Roman" w:hAnsi="Times New Roman"/>
          <w:sz w:val="20"/>
        </w:rPr>
        <w:t> </w:t>
      </w:r>
      <w:r>
        <w:rPr>
          <w:rFonts w:ascii="Times New Roman" w:hAnsi="Times New Roman"/>
          <w:b/>
          <w:sz w:val="20"/>
        </w:rPr>
        <w:t>Governing Law; Jury Trial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and each Security shall be governed by, and construed in accordance with, the internal laws of the State of New York, except to the extent that the Trust Indenture Act is applicable.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13.06</w:t>
      </w:r>
      <w:r>
        <w:rPr>
          <w:rFonts w:ascii="Times New Roman" w:hAnsi="Times New Roman"/>
          <w:sz w:val="20"/>
        </w:rPr>
        <w:t> </w:t>
      </w:r>
      <w:r>
        <w:rPr>
          <w:rFonts w:ascii="Times New Roman" w:hAnsi="Times New Roman"/>
          <w:b/>
          <w:sz w:val="20"/>
        </w:rPr>
        <w:t>Treatment of Securities as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intended that the Securities will be treated as indebtedness and not as equity for federal income tax purposes. The provisions of this Indenture shall be interpreted to further this intention.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13.07</w:t>
      </w:r>
      <w:r>
        <w:rPr>
          <w:rFonts w:ascii="Times New Roman" w:hAnsi="Times New Roman"/>
          <w:sz w:val="20"/>
        </w:rPr>
        <w:t> </w:t>
      </w:r>
      <w:r>
        <w:rPr>
          <w:rFonts w:ascii="Times New Roman" w:hAnsi="Times New Roman"/>
          <w:b/>
          <w:sz w:val="20"/>
        </w:rPr>
        <w:t>Certificates and Opinions as to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13.08</w:t>
      </w:r>
      <w:r>
        <w:rPr>
          <w:rFonts w:ascii="Times New Roman" w:hAnsi="Times New Roman"/>
          <w:sz w:val="20"/>
        </w:rPr>
        <w:t> </w:t>
      </w:r>
      <w:r>
        <w:rPr>
          <w:rFonts w:ascii="Times New Roman" w:hAnsi="Times New Roman"/>
          <w:b/>
          <w:sz w:val="20"/>
        </w:rPr>
        <w:t>Payments on Business 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13.09</w:t>
      </w:r>
      <w:r>
        <w:rPr>
          <w:rFonts w:ascii="Times New Roman" w:hAnsi="Times New Roman"/>
          <w:sz w:val="20"/>
        </w:rPr>
        <w:t> </w:t>
      </w:r>
      <w:r>
        <w:rPr>
          <w:rFonts w:ascii="Times New Roman" w:hAnsi="Times New Roman"/>
          <w:b/>
          <w:sz w:val="20"/>
        </w:rPr>
        <w:t>Conflict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that any provision of this Indenture limits, qualifies or conflicts with the duties imposed by Section 318(c) of the Trust Indenture Act, such imposed duties shall control.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13.10</w:t>
      </w:r>
      <w:r>
        <w:rPr>
          <w:rFonts w:ascii="Times New Roman" w:hAnsi="Times New Roman"/>
          <w:sz w:val="20"/>
        </w:rPr>
        <w:t> </w:t>
      </w:r>
      <w:r>
        <w:rPr>
          <w:rFonts w:ascii="Times New Roman" w:hAnsi="Times New Roman"/>
          <w:b/>
          <w:sz w:val="20"/>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13.11</w:t>
      </w:r>
      <w:r>
        <w:rPr>
          <w:rFonts w:ascii="Times New Roman" w:hAnsi="Times New Roman"/>
          <w:sz w:val="20"/>
        </w:rPr>
        <w:t> </w:t>
      </w:r>
      <w:r>
        <w:rPr>
          <w:rFonts w:ascii="Times New Roman" w:hAnsi="Times New Roman"/>
          <w:b/>
          <w:sz w:val="20"/>
        </w:rPr>
        <w:t>Separability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13.12</w:t>
      </w:r>
      <w:r>
        <w:rPr>
          <w:rFonts w:ascii="Times New Roman" w:hAnsi="Times New Roman"/>
          <w:sz w:val="20"/>
        </w:rPr>
        <w:t> </w:t>
      </w:r>
      <w:r>
        <w:rPr>
          <w:rFonts w:ascii="Times New Roman" w:hAnsi="Times New Roman"/>
          <w:b/>
          <w:sz w:val="20"/>
        </w:rPr>
        <w:t>Compliance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13.13</w:t>
      </w:r>
      <w:r>
        <w:rPr>
          <w:rFonts w:ascii="Times New Roman" w:hAnsi="Times New Roman"/>
          <w:sz w:val="20"/>
        </w:rPr>
        <w:t> </w:t>
      </w:r>
      <w:r>
        <w:rPr>
          <w:rFonts w:ascii="Times New Roman" w:hAnsi="Times New Roman"/>
          <w:b/>
          <w:sz w:val="20"/>
        </w:rPr>
        <w:t>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13.14</w:t>
      </w:r>
      <w:r>
        <w:rPr>
          <w:rFonts w:ascii="Times New Roman" w:hAnsi="Times New Roman"/>
          <w:sz w:val="20"/>
        </w:rPr>
        <w:t> </w:t>
      </w:r>
      <w:r>
        <w:rPr>
          <w:rFonts w:ascii="Times New Roman" w:hAnsi="Times New Roman"/>
          <w:b/>
          <w:sz w:val="20"/>
        </w:rPr>
        <w:t>Force Majeure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epidemics, pandemics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13.15 Table of Contents; Headings.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and headings of the articles and sections of this Indenture have been inserted for convenience of reference only, are not intended to be considered a part hereof, and will not modify or restrict any of the terms or provisions hereof.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71"/>
        <w:gridCol w:w="121"/>
        <w:gridCol w:w="2690"/>
      </w:tblGrid>
      <w:tr>
        <w:trPr/>
        <w:tc>
          <w:tcPr>
            <w:tcW w:w="12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w:t>
            </w:r>
            <w:r>
              <w:rPr>
                <w:b/>
                <w:sz w:val="20"/>
              </w:rPr>
              <w:t>BIVAX</w:t>
            </w:r>
            <w:r>
              <w:rPr>
                <w:b/>
              </w:rPr>
              <w:t xml:space="preserve"> SA</w:t>
            </w:r>
          </w:p>
        </w:tc>
      </w:tr>
      <w:tr>
        <w:trPr>
          <w:trHeight w:val="240" w:hRule="atLeast"/>
        </w:trPr>
        <w:tc>
          <w:tcPr>
            <w:tcW w:w="1271" w:type="dxa"/>
            <w:tcBorders/>
            <w:vAlign w:val="center"/>
          </w:tcPr>
          <w:p>
            <w:pPr>
              <w:pStyle w:val="TableContents"/>
              <w:bidi w:val="0"/>
              <w:spacing w:before="0" w:after="283"/>
              <w:jc w:val="left"/>
              <w:rPr>
                <w:sz w:val="4"/>
                <w:szCs w:val="4"/>
              </w:rPr>
            </w:pPr>
            <w:r>
              <w:rPr>
                <w:sz w:val="4"/>
                <w:szCs w:val="4"/>
              </w:rPr>
            </w:r>
          </w:p>
        </w:tc>
        <w:tc>
          <w:tcPr>
            <w:tcW w:w="2811" w:type="dxa"/>
            <w:gridSpan w:val="2"/>
            <w:tcBorders/>
            <w:vAlign w:val="center"/>
          </w:tcPr>
          <w:p>
            <w:pPr>
              <w:pStyle w:val="TableContents"/>
              <w:bidi w:val="0"/>
              <w:spacing w:before="0" w:after="283"/>
              <w:jc w:val="left"/>
              <w:rPr>
                <w:sz w:val="4"/>
                <w:szCs w:val="4"/>
              </w:rPr>
            </w:pPr>
            <w:r>
              <w:rPr>
                <w:sz w:val="4"/>
                <w:szCs w:val="4"/>
              </w:rPr>
            </w:r>
          </w:p>
        </w:tc>
      </w:tr>
      <w:tr>
        <w:trPr/>
        <w:tc>
          <w:tcPr>
            <w:tcW w:w="1271"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2690" w:type="dxa"/>
            <w:tcBorders/>
          </w:tcPr>
          <w:p>
            <w:pPr>
              <w:pStyle w:val="TableContents"/>
              <w:pBdr>
                <w:bottom w:val="single" w:sz="2" w:space="1" w:color="000000"/>
              </w:pBdr>
              <w:bidi w:val="0"/>
              <w:spacing w:before="0" w:after="20"/>
              <w:jc w:val="left"/>
              <w:rPr/>
            </w:pPr>
            <w:r>
              <w:rPr/>
              <w:t> </w:t>
            </w:r>
          </w:p>
        </w:tc>
      </w:tr>
      <w:tr>
        <w:trPr/>
        <w:tc>
          <w:tcPr>
            <w:tcW w:w="1271" w:type="dxa"/>
            <w:tcBorders/>
          </w:tcPr>
          <w:p>
            <w:pPr>
              <w:pStyle w:val="TableContents"/>
              <w:bidi w:val="0"/>
              <w:spacing w:before="0" w:after="283"/>
              <w:jc w:val="left"/>
              <w:rPr/>
            </w:pPr>
            <w:r>
              <w:rPr/>
              <w:t>Name:</w:t>
            </w:r>
          </w:p>
        </w:tc>
        <w:tc>
          <w:tcPr>
            <w:tcW w:w="121" w:type="dxa"/>
            <w:tcBorders/>
            <w:vAlign w:val="bottom"/>
          </w:tcPr>
          <w:p>
            <w:pPr>
              <w:pStyle w:val="TableContents"/>
              <w:bidi w:val="0"/>
              <w:spacing w:before="0" w:after="283"/>
              <w:jc w:val="left"/>
              <w:rPr/>
            </w:pPr>
            <w:r>
              <w:rPr/>
              <w:t> </w:t>
            </w:r>
          </w:p>
        </w:tc>
        <w:tc>
          <w:tcPr>
            <w:tcW w:w="2690" w:type="dxa"/>
            <w:tcBorders/>
          </w:tcPr>
          <w:p>
            <w:pPr>
              <w:pStyle w:val="TableContents"/>
              <w:bidi w:val="0"/>
              <w:spacing w:before="0" w:after="283"/>
              <w:jc w:val="left"/>
              <w:rPr>
                <w:sz w:val="4"/>
                <w:szCs w:val="4"/>
              </w:rPr>
            </w:pPr>
            <w:r>
              <w:rPr>
                <w:sz w:val="4"/>
                <w:szCs w:val="4"/>
              </w:rPr>
            </w:r>
          </w:p>
        </w:tc>
      </w:tr>
      <w:tr>
        <w:trPr/>
        <w:tc>
          <w:tcPr>
            <w:tcW w:w="1271" w:type="dxa"/>
            <w:tcBorders/>
          </w:tcPr>
          <w:p>
            <w:pPr>
              <w:pStyle w:val="TableContents"/>
              <w:bidi w:val="0"/>
              <w:spacing w:before="0" w:after="283"/>
              <w:jc w:val="left"/>
              <w:rPr/>
            </w:pPr>
            <w:r>
              <w:rPr/>
              <w:t>Title:</w:t>
            </w:r>
          </w:p>
        </w:tc>
        <w:tc>
          <w:tcPr>
            <w:tcW w:w="121" w:type="dxa"/>
            <w:tcBorders/>
            <w:vAlign w:val="bottom"/>
          </w:tcPr>
          <w:p>
            <w:pPr>
              <w:pStyle w:val="TableContents"/>
              <w:bidi w:val="0"/>
              <w:spacing w:before="0" w:after="283"/>
              <w:jc w:val="left"/>
              <w:rPr/>
            </w:pPr>
            <w:r>
              <w:rPr/>
              <w:t> </w:t>
            </w:r>
          </w:p>
        </w:tc>
        <w:tc>
          <w:tcPr>
            <w:tcW w:w="2690"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U.S. B</w:t>
            </w:r>
            <w:r>
              <w:rPr>
                <w:b/>
                <w:sz w:val="20"/>
              </w:rPr>
              <w:t>ANK</w:t>
            </w:r>
            <w:r>
              <w:rPr>
                <w:b/>
              </w:rPr>
              <w:t xml:space="preserve"> T</w:t>
            </w:r>
            <w:r>
              <w:rPr>
                <w:b/>
                <w:sz w:val="20"/>
              </w:rPr>
              <w:t>RUST</w:t>
            </w:r>
            <w:r>
              <w:rPr>
                <w:b/>
              </w:rPr>
              <w:t xml:space="preserve"> C</w:t>
            </w:r>
            <w:r>
              <w:rPr>
                <w:b/>
                <w:sz w:val="20"/>
              </w:rPr>
              <w:t>OMPANY</w:t>
            </w:r>
            <w:r>
              <w:rPr>
                <w:b/>
              </w:rPr>
              <w:t>, N</w:t>
            </w:r>
            <w:r>
              <w:rPr>
                <w:b/>
                <w:sz w:val="20"/>
              </w:rPr>
              <w:t>ATIONAL</w:t>
            </w:r>
            <w:r>
              <w:rPr>
                <w:b/>
              </w:rPr>
              <w:t xml:space="preserve"> A</w:t>
            </w:r>
            <w:r>
              <w:rPr>
                <w:b/>
                <w:sz w:val="20"/>
              </w:rPr>
              <w:t>SSOCIATION</w:t>
            </w:r>
            <w:r>
              <w:rPr>
                <w:b/>
              </w:rPr>
              <w:t>,</w:t>
            </w:r>
            <w:r>
              <w:rPr/>
              <w:t xml:space="preserve"> as Trustee</w:t>
            </w:r>
          </w:p>
        </w:tc>
      </w:tr>
      <w:tr>
        <w:trPr>
          <w:trHeight w:val="240" w:hRule="atLeast"/>
        </w:trPr>
        <w:tc>
          <w:tcPr>
            <w:tcW w:w="1271" w:type="dxa"/>
            <w:tcBorders/>
            <w:vAlign w:val="center"/>
          </w:tcPr>
          <w:p>
            <w:pPr>
              <w:pStyle w:val="TableContents"/>
              <w:bidi w:val="0"/>
              <w:spacing w:before="0" w:after="283"/>
              <w:jc w:val="left"/>
              <w:rPr>
                <w:sz w:val="4"/>
                <w:szCs w:val="4"/>
              </w:rPr>
            </w:pPr>
            <w:r>
              <w:rPr>
                <w:sz w:val="4"/>
                <w:szCs w:val="4"/>
              </w:rPr>
            </w:r>
          </w:p>
        </w:tc>
        <w:tc>
          <w:tcPr>
            <w:tcW w:w="2811" w:type="dxa"/>
            <w:gridSpan w:val="2"/>
            <w:tcBorders/>
            <w:vAlign w:val="center"/>
          </w:tcPr>
          <w:p>
            <w:pPr>
              <w:pStyle w:val="TableContents"/>
              <w:bidi w:val="0"/>
              <w:spacing w:before="0" w:after="283"/>
              <w:jc w:val="left"/>
              <w:rPr>
                <w:sz w:val="4"/>
                <w:szCs w:val="4"/>
              </w:rPr>
            </w:pPr>
            <w:r>
              <w:rPr>
                <w:sz w:val="4"/>
                <w:szCs w:val="4"/>
              </w:rPr>
            </w:r>
          </w:p>
        </w:tc>
      </w:tr>
      <w:tr>
        <w:trPr/>
        <w:tc>
          <w:tcPr>
            <w:tcW w:w="1271"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2690" w:type="dxa"/>
            <w:tcBorders/>
          </w:tcPr>
          <w:p>
            <w:pPr>
              <w:pStyle w:val="TableContents"/>
              <w:pBdr>
                <w:bottom w:val="single" w:sz="2" w:space="1" w:color="000000"/>
              </w:pBdr>
              <w:bidi w:val="0"/>
              <w:spacing w:before="0" w:after="20"/>
              <w:jc w:val="left"/>
              <w:rPr/>
            </w:pPr>
            <w:r>
              <w:rPr/>
              <w:t> </w:t>
            </w:r>
          </w:p>
        </w:tc>
      </w:tr>
      <w:tr>
        <w:trPr/>
        <w:tc>
          <w:tcPr>
            <w:tcW w:w="1271" w:type="dxa"/>
            <w:tcBorders/>
          </w:tcPr>
          <w:p>
            <w:pPr>
              <w:pStyle w:val="TableContents"/>
              <w:bidi w:val="0"/>
              <w:spacing w:before="0" w:after="283"/>
              <w:jc w:val="left"/>
              <w:rPr/>
            </w:pPr>
            <w:r>
              <w:rPr/>
              <w:t>Name:</w:t>
            </w:r>
          </w:p>
        </w:tc>
        <w:tc>
          <w:tcPr>
            <w:tcW w:w="121" w:type="dxa"/>
            <w:tcBorders/>
            <w:vAlign w:val="bottom"/>
          </w:tcPr>
          <w:p>
            <w:pPr>
              <w:pStyle w:val="TableContents"/>
              <w:bidi w:val="0"/>
              <w:spacing w:before="0" w:after="283"/>
              <w:jc w:val="left"/>
              <w:rPr/>
            </w:pPr>
            <w:r>
              <w:rPr/>
              <w:t> </w:t>
            </w:r>
          </w:p>
        </w:tc>
        <w:tc>
          <w:tcPr>
            <w:tcW w:w="2690" w:type="dxa"/>
            <w:tcBorders/>
          </w:tcPr>
          <w:p>
            <w:pPr>
              <w:pStyle w:val="TableContents"/>
              <w:bidi w:val="0"/>
              <w:spacing w:before="0" w:after="283"/>
              <w:jc w:val="left"/>
              <w:rPr>
                <w:sz w:val="4"/>
                <w:szCs w:val="4"/>
              </w:rPr>
            </w:pPr>
            <w:r>
              <w:rPr>
                <w:sz w:val="4"/>
                <w:szCs w:val="4"/>
              </w:rPr>
            </w:r>
          </w:p>
        </w:tc>
      </w:tr>
      <w:tr>
        <w:trPr/>
        <w:tc>
          <w:tcPr>
            <w:tcW w:w="1271" w:type="dxa"/>
            <w:tcBorders/>
          </w:tcPr>
          <w:p>
            <w:pPr>
              <w:pStyle w:val="TableContents"/>
              <w:bidi w:val="0"/>
              <w:spacing w:before="0" w:after="283"/>
              <w:jc w:val="left"/>
              <w:rPr/>
            </w:pPr>
            <w:r>
              <w:rPr/>
              <w:t>Title:</w:t>
            </w:r>
          </w:p>
        </w:tc>
        <w:tc>
          <w:tcPr>
            <w:tcW w:w="121" w:type="dxa"/>
            <w:tcBorders/>
            <w:vAlign w:val="bottom"/>
          </w:tcPr>
          <w:p>
            <w:pPr>
              <w:pStyle w:val="TableContents"/>
              <w:bidi w:val="0"/>
              <w:spacing w:before="0" w:after="283"/>
              <w:jc w:val="left"/>
              <w:rPr/>
            </w:pPr>
            <w:r>
              <w:rPr/>
              <w:t> </w:t>
            </w:r>
          </w:p>
        </w:tc>
        <w:tc>
          <w:tcPr>
            <w:tcW w:w="269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Indenture]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CROSS-REFERENCE TABLE (1)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55"/>
        <w:gridCol w:w="232"/>
        <w:gridCol w:w="3568"/>
      </w:tblGrid>
      <w:tr>
        <w:trPr/>
        <w:tc>
          <w:tcPr>
            <w:tcW w:w="3955"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3568" w:type="dxa"/>
            <w:tcBorders/>
            <w:vAlign w:val="center"/>
          </w:tcPr>
          <w:p>
            <w:pPr>
              <w:pStyle w:val="TableContents"/>
              <w:bidi w:val="0"/>
              <w:spacing w:before="0" w:after="283"/>
              <w:jc w:val="left"/>
              <w:rPr>
                <w:sz w:val="4"/>
                <w:szCs w:val="4"/>
              </w:rPr>
            </w:pPr>
            <w:r>
              <w:rPr>
                <w:sz w:val="4"/>
                <w:szCs w:val="4"/>
              </w:rPr>
            </w:r>
          </w:p>
        </w:tc>
      </w:tr>
      <w:tr>
        <w:trPr/>
        <w:tc>
          <w:tcPr>
            <w:tcW w:w="39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 of Trust Indenture Act of 1939, as Amended</w:t>
            </w:r>
          </w:p>
        </w:tc>
        <w:tc>
          <w:tcPr>
            <w:tcW w:w="232" w:type="dxa"/>
            <w:tcBorders/>
            <w:vAlign w:val="bottom"/>
          </w:tcPr>
          <w:p>
            <w:pPr>
              <w:pStyle w:val="TableContents"/>
              <w:bidi w:val="0"/>
              <w:spacing w:before="0" w:after="283"/>
              <w:jc w:val="left"/>
              <w:rPr/>
            </w:pPr>
            <w:r>
              <w:rPr/>
              <w:t>  </w:t>
            </w:r>
          </w:p>
        </w:tc>
        <w:tc>
          <w:tcPr>
            <w:tcW w:w="35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 of Indenture</w:t>
            </w:r>
          </w:p>
        </w:tc>
      </w:tr>
      <w:tr>
        <w:trPr/>
        <w:tc>
          <w:tcPr>
            <w:tcW w:w="3955" w:type="dxa"/>
            <w:tcBorders/>
            <w:shd w:fill="CCEEFF" w:val="clear"/>
          </w:tcPr>
          <w:p>
            <w:pPr>
              <w:pStyle w:val="TableContents"/>
              <w:bidi w:val="0"/>
              <w:spacing w:before="0" w:after="283"/>
              <w:jc w:val="left"/>
              <w:rPr/>
            </w:pPr>
            <w:r>
              <w:rPr/>
              <w:t>310(a)</w:t>
            </w:r>
          </w:p>
        </w:tc>
        <w:tc>
          <w:tcPr>
            <w:tcW w:w="232" w:type="dxa"/>
            <w:tcBorders/>
            <w:shd w:fill="CCEEFF" w:val="clear"/>
            <w:vAlign w:val="bottom"/>
          </w:tcPr>
          <w:p>
            <w:pPr>
              <w:pStyle w:val="TableContents"/>
              <w:bidi w:val="0"/>
              <w:spacing w:before="0" w:after="283"/>
              <w:jc w:val="left"/>
              <w:rPr/>
            </w:pPr>
            <w:r>
              <w:rPr/>
              <w:t>  </w:t>
            </w:r>
          </w:p>
        </w:tc>
        <w:tc>
          <w:tcPr>
            <w:tcW w:w="3568" w:type="dxa"/>
            <w:tcBorders/>
            <w:shd w:fill="CCEEFF" w:val="clear"/>
            <w:vAlign w:val="bottom"/>
          </w:tcPr>
          <w:p>
            <w:pPr>
              <w:pStyle w:val="TableContents"/>
              <w:bidi w:val="0"/>
              <w:spacing w:before="0" w:after="283"/>
              <w:jc w:val="left"/>
              <w:rPr/>
            </w:pPr>
            <w:r>
              <w:rPr/>
              <w:t>7.09</w:t>
            </w:r>
          </w:p>
        </w:tc>
      </w:tr>
      <w:tr>
        <w:trPr/>
        <w:tc>
          <w:tcPr>
            <w:tcW w:w="3955" w:type="dxa"/>
            <w:tcBorders/>
          </w:tcPr>
          <w:p>
            <w:pPr>
              <w:pStyle w:val="TableContents"/>
              <w:bidi w:val="0"/>
              <w:spacing w:before="0" w:after="283"/>
              <w:jc w:val="left"/>
              <w:rPr/>
            </w:pPr>
            <w:r>
              <w:rPr/>
              <w:t>310(b)</w:t>
            </w:r>
          </w:p>
        </w:tc>
        <w:tc>
          <w:tcPr>
            <w:tcW w:w="232" w:type="dxa"/>
            <w:tcBorders/>
            <w:vAlign w:val="bottom"/>
          </w:tcPr>
          <w:p>
            <w:pPr>
              <w:pStyle w:val="TableContents"/>
              <w:bidi w:val="0"/>
              <w:spacing w:before="0" w:after="283"/>
              <w:jc w:val="left"/>
              <w:rPr/>
            </w:pPr>
            <w:r>
              <w:rPr/>
              <w:t>  </w:t>
            </w:r>
          </w:p>
        </w:tc>
        <w:tc>
          <w:tcPr>
            <w:tcW w:w="3568" w:type="dxa"/>
            <w:tcBorders/>
            <w:vAlign w:val="bottom"/>
          </w:tcPr>
          <w:p>
            <w:pPr>
              <w:pStyle w:val="TableContents"/>
              <w:bidi w:val="0"/>
              <w:spacing w:before="0" w:after="283"/>
              <w:jc w:val="left"/>
              <w:rPr/>
            </w:pPr>
            <w:r>
              <w:rPr/>
              <w:t>7.08</w:t>
            </w:r>
          </w:p>
        </w:tc>
      </w:tr>
      <w:tr>
        <w:trPr/>
        <w:tc>
          <w:tcPr>
            <w:tcW w:w="3955"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3568" w:type="dxa"/>
            <w:tcBorders/>
            <w:shd w:fill="CCEEFF" w:val="clear"/>
            <w:vAlign w:val="bottom"/>
          </w:tcPr>
          <w:p>
            <w:pPr>
              <w:pStyle w:val="TableContents"/>
              <w:bidi w:val="0"/>
              <w:spacing w:before="0" w:after="283"/>
              <w:jc w:val="left"/>
              <w:rPr/>
            </w:pPr>
            <w:r>
              <w:rPr/>
              <w:t>7.10</w:t>
            </w:r>
          </w:p>
        </w:tc>
      </w:tr>
      <w:tr>
        <w:trPr/>
        <w:tc>
          <w:tcPr>
            <w:tcW w:w="3955" w:type="dxa"/>
            <w:tcBorders/>
          </w:tcPr>
          <w:p>
            <w:pPr>
              <w:pStyle w:val="TableContents"/>
              <w:bidi w:val="0"/>
              <w:spacing w:before="0" w:after="283"/>
              <w:jc w:val="left"/>
              <w:rPr/>
            </w:pPr>
            <w:r>
              <w:rPr/>
              <w:t>310(c)</w:t>
            </w:r>
          </w:p>
        </w:tc>
        <w:tc>
          <w:tcPr>
            <w:tcW w:w="232" w:type="dxa"/>
            <w:tcBorders/>
            <w:vAlign w:val="bottom"/>
          </w:tcPr>
          <w:p>
            <w:pPr>
              <w:pStyle w:val="TableContents"/>
              <w:bidi w:val="0"/>
              <w:spacing w:before="0" w:after="283"/>
              <w:jc w:val="left"/>
              <w:rPr/>
            </w:pPr>
            <w:r>
              <w:rPr/>
              <w:t>  </w:t>
            </w:r>
          </w:p>
        </w:tc>
        <w:tc>
          <w:tcPr>
            <w:tcW w:w="3568" w:type="dxa"/>
            <w:tcBorders/>
            <w:vAlign w:val="bottom"/>
          </w:tcPr>
          <w:p>
            <w:pPr>
              <w:pStyle w:val="TableContents"/>
              <w:bidi w:val="0"/>
              <w:spacing w:before="0" w:after="283"/>
              <w:jc w:val="left"/>
              <w:rPr/>
            </w:pPr>
            <w:r>
              <w:rPr/>
              <w:t>Inapplicable</w:t>
            </w:r>
          </w:p>
        </w:tc>
      </w:tr>
      <w:tr>
        <w:trPr/>
        <w:tc>
          <w:tcPr>
            <w:tcW w:w="3955" w:type="dxa"/>
            <w:tcBorders/>
            <w:shd w:fill="CCEEFF" w:val="clear"/>
          </w:tcPr>
          <w:p>
            <w:pPr>
              <w:pStyle w:val="TableContents"/>
              <w:bidi w:val="0"/>
              <w:spacing w:before="0" w:after="283"/>
              <w:jc w:val="left"/>
              <w:rPr/>
            </w:pPr>
            <w:r>
              <w:rPr/>
              <w:t>311(a)</w:t>
            </w:r>
          </w:p>
        </w:tc>
        <w:tc>
          <w:tcPr>
            <w:tcW w:w="232" w:type="dxa"/>
            <w:tcBorders/>
            <w:shd w:fill="CCEEFF" w:val="clear"/>
            <w:vAlign w:val="bottom"/>
          </w:tcPr>
          <w:p>
            <w:pPr>
              <w:pStyle w:val="TableContents"/>
              <w:bidi w:val="0"/>
              <w:spacing w:before="0" w:after="283"/>
              <w:jc w:val="left"/>
              <w:rPr/>
            </w:pPr>
            <w:r>
              <w:rPr/>
              <w:t>  </w:t>
            </w:r>
          </w:p>
        </w:tc>
        <w:tc>
          <w:tcPr>
            <w:tcW w:w="3568" w:type="dxa"/>
            <w:tcBorders/>
            <w:shd w:fill="CCEEFF" w:val="clear"/>
            <w:vAlign w:val="bottom"/>
          </w:tcPr>
          <w:p>
            <w:pPr>
              <w:pStyle w:val="TableContents"/>
              <w:bidi w:val="0"/>
              <w:spacing w:before="0" w:after="283"/>
              <w:jc w:val="left"/>
              <w:rPr/>
            </w:pPr>
            <w:r>
              <w:rPr/>
              <w:t>7.13</w:t>
            </w:r>
          </w:p>
        </w:tc>
      </w:tr>
      <w:tr>
        <w:trPr/>
        <w:tc>
          <w:tcPr>
            <w:tcW w:w="3955" w:type="dxa"/>
            <w:tcBorders/>
          </w:tcPr>
          <w:p>
            <w:pPr>
              <w:pStyle w:val="TableContents"/>
              <w:bidi w:val="0"/>
              <w:spacing w:before="0" w:after="283"/>
              <w:jc w:val="left"/>
              <w:rPr/>
            </w:pPr>
            <w:r>
              <w:rPr/>
              <w:t>311(b)</w:t>
            </w:r>
          </w:p>
        </w:tc>
        <w:tc>
          <w:tcPr>
            <w:tcW w:w="232" w:type="dxa"/>
            <w:tcBorders/>
            <w:vAlign w:val="bottom"/>
          </w:tcPr>
          <w:p>
            <w:pPr>
              <w:pStyle w:val="TableContents"/>
              <w:bidi w:val="0"/>
              <w:spacing w:before="0" w:after="283"/>
              <w:jc w:val="left"/>
              <w:rPr/>
            </w:pPr>
            <w:r>
              <w:rPr/>
              <w:t>  </w:t>
            </w:r>
          </w:p>
        </w:tc>
        <w:tc>
          <w:tcPr>
            <w:tcW w:w="3568" w:type="dxa"/>
            <w:tcBorders/>
            <w:vAlign w:val="bottom"/>
          </w:tcPr>
          <w:p>
            <w:pPr>
              <w:pStyle w:val="TableContents"/>
              <w:bidi w:val="0"/>
              <w:spacing w:before="0" w:after="283"/>
              <w:jc w:val="left"/>
              <w:rPr/>
            </w:pPr>
            <w:r>
              <w:rPr/>
              <w:t>7.13</w:t>
            </w:r>
          </w:p>
        </w:tc>
      </w:tr>
      <w:tr>
        <w:trPr/>
        <w:tc>
          <w:tcPr>
            <w:tcW w:w="3955" w:type="dxa"/>
            <w:tcBorders/>
            <w:shd w:fill="CCEEFF" w:val="clear"/>
          </w:tcPr>
          <w:p>
            <w:pPr>
              <w:pStyle w:val="TableContents"/>
              <w:bidi w:val="0"/>
              <w:spacing w:before="0" w:after="283"/>
              <w:jc w:val="left"/>
              <w:rPr/>
            </w:pPr>
            <w:r>
              <w:rPr/>
              <w:t>311(c)</w:t>
            </w:r>
          </w:p>
        </w:tc>
        <w:tc>
          <w:tcPr>
            <w:tcW w:w="232" w:type="dxa"/>
            <w:tcBorders/>
            <w:shd w:fill="CCEEFF" w:val="clear"/>
            <w:vAlign w:val="bottom"/>
          </w:tcPr>
          <w:p>
            <w:pPr>
              <w:pStyle w:val="TableContents"/>
              <w:bidi w:val="0"/>
              <w:spacing w:before="0" w:after="283"/>
              <w:jc w:val="left"/>
              <w:rPr/>
            </w:pPr>
            <w:r>
              <w:rPr/>
              <w:t>  </w:t>
            </w:r>
          </w:p>
        </w:tc>
        <w:tc>
          <w:tcPr>
            <w:tcW w:w="3568" w:type="dxa"/>
            <w:tcBorders/>
            <w:shd w:fill="CCEEFF" w:val="clear"/>
            <w:vAlign w:val="bottom"/>
          </w:tcPr>
          <w:p>
            <w:pPr>
              <w:pStyle w:val="TableContents"/>
              <w:bidi w:val="0"/>
              <w:spacing w:before="0" w:after="283"/>
              <w:jc w:val="left"/>
              <w:rPr/>
            </w:pPr>
            <w:r>
              <w:rPr/>
              <w:t>Inapplicable</w:t>
            </w:r>
          </w:p>
        </w:tc>
      </w:tr>
      <w:tr>
        <w:trPr/>
        <w:tc>
          <w:tcPr>
            <w:tcW w:w="3955" w:type="dxa"/>
            <w:tcBorders/>
          </w:tcPr>
          <w:p>
            <w:pPr>
              <w:pStyle w:val="TableContents"/>
              <w:bidi w:val="0"/>
              <w:spacing w:before="0" w:after="283"/>
              <w:jc w:val="left"/>
              <w:rPr/>
            </w:pPr>
            <w:r>
              <w:rPr/>
              <w:t>312(a)</w:t>
            </w:r>
          </w:p>
        </w:tc>
        <w:tc>
          <w:tcPr>
            <w:tcW w:w="232" w:type="dxa"/>
            <w:tcBorders/>
            <w:vAlign w:val="bottom"/>
          </w:tcPr>
          <w:p>
            <w:pPr>
              <w:pStyle w:val="TableContents"/>
              <w:bidi w:val="0"/>
              <w:spacing w:before="0" w:after="283"/>
              <w:jc w:val="left"/>
              <w:rPr/>
            </w:pPr>
            <w:r>
              <w:rPr/>
              <w:t>  </w:t>
            </w:r>
          </w:p>
        </w:tc>
        <w:tc>
          <w:tcPr>
            <w:tcW w:w="3568" w:type="dxa"/>
            <w:tcBorders/>
            <w:vAlign w:val="bottom"/>
          </w:tcPr>
          <w:p>
            <w:pPr>
              <w:pStyle w:val="TableContents"/>
              <w:bidi w:val="0"/>
              <w:spacing w:before="0" w:after="283"/>
              <w:jc w:val="left"/>
              <w:rPr/>
            </w:pPr>
            <w:r>
              <w:rPr/>
              <w:t>5.01</w:t>
            </w:r>
          </w:p>
        </w:tc>
      </w:tr>
      <w:tr>
        <w:trPr/>
        <w:tc>
          <w:tcPr>
            <w:tcW w:w="3955"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3568" w:type="dxa"/>
            <w:tcBorders/>
            <w:shd w:fill="CCEEFF" w:val="clear"/>
            <w:vAlign w:val="bottom"/>
          </w:tcPr>
          <w:p>
            <w:pPr>
              <w:pStyle w:val="TableContents"/>
              <w:bidi w:val="0"/>
              <w:spacing w:before="0" w:after="283"/>
              <w:jc w:val="left"/>
              <w:rPr/>
            </w:pPr>
            <w:r>
              <w:rPr/>
              <w:t>5.02(a)</w:t>
            </w:r>
          </w:p>
        </w:tc>
      </w:tr>
      <w:tr>
        <w:trPr/>
        <w:tc>
          <w:tcPr>
            <w:tcW w:w="3955" w:type="dxa"/>
            <w:tcBorders/>
          </w:tcPr>
          <w:p>
            <w:pPr>
              <w:pStyle w:val="TableContents"/>
              <w:bidi w:val="0"/>
              <w:spacing w:before="0" w:after="283"/>
              <w:jc w:val="left"/>
              <w:rPr/>
            </w:pPr>
            <w:r>
              <w:rPr/>
              <w:t>312(b)</w:t>
            </w:r>
          </w:p>
        </w:tc>
        <w:tc>
          <w:tcPr>
            <w:tcW w:w="232" w:type="dxa"/>
            <w:tcBorders/>
            <w:vAlign w:val="bottom"/>
          </w:tcPr>
          <w:p>
            <w:pPr>
              <w:pStyle w:val="TableContents"/>
              <w:bidi w:val="0"/>
              <w:spacing w:before="0" w:after="283"/>
              <w:jc w:val="left"/>
              <w:rPr/>
            </w:pPr>
            <w:r>
              <w:rPr/>
              <w:t>  </w:t>
            </w:r>
          </w:p>
        </w:tc>
        <w:tc>
          <w:tcPr>
            <w:tcW w:w="3568" w:type="dxa"/>
            <w:tcBorders/>
            <w:vAlign w:val="bottom"/>
          </w:tcPr>
          <w:p>
            <w:pPr>
              <w:pStyle w:val="TableContents"/>
              <w:bidi w:val="0"/>
              <w:spacing w:before="0" w:after="283"/>
              <w:jc w:val="left"/>
              <w:rPr/>
            </w:pPr>
            <w:r>
              <w:rPr/>
              <w:t>5.02(c)</w:t>
            </w:r>
          </w:p>
        </w:tc>
      </w:tr>
      <w:tr>
        <w:trPr/>
        <w:tc>
          <w:tcPr>
            <w:tcW w:w="3955" w:type="dxa"/>
            <w:tcBorders/>
            <w:shd w:fill="CCEEFF" w:val="clear"/>
          </w:tcPr>
          <w:p>
            <w:pPr>
              <w:pStyle w:val="TableContents"/>
              <w:bidi w:val="0"/>
              <w:spacing w:before="0" w:after="283"/>
              <w:jc w:val="left"/>
              <w:rPr/>
            </w:pPr>
            <w:r>
              <w:rPr/>
              <w:t>312(c)</w:t>
            </w:r>
          </w:p>
        </w:tc>
        <w:tc>
          <w:tcPr>
            <w:tcW w:w="232" w:type="dxa"/>
            <w:tcBorders/>
            <w:shd w:fill="CCEEFF" w:val="clear"/>
            <w:vAlign w:val="bottom"/>
          </w:tcPr>
          <w:p>
            <w:pPr>
              <w:pStyle w:val="TableContents"/>
              <w:bidi w:val="0"/>
              <w:spacing w:before="0" w:after="283"/>
              <w:jc w:val="left"/>
              <w:rPr/>
            </w:pPr>
            <w:r>
              <w:rPr/>
              <w:t>  </w:t>
            </w:r>
          </w:p>
        </w:tc>
        <w:tc>
          <w:tcPr>
            <w:tcW w:w="3568" w:type="dxa"/>
            <w:tcBorders/>
            <w:shd w:fill="CCEEFF" w:val="clear"/>
            <w:vAlign w:val="bottom"/>
          </w:tcPr>
          <w:p>
            <w:pPr>
              <w:pStyle w:val="TableContents"/>
              <w:bidi w:val="0"/>
              <w:spacing w:before="0" w:after="283"/>
              <w:jc w:val="left"/>
              <w:rPr/>
            </w:pPr>
            <w:r>
              <w:rPr/>
              <w:t>5.02(c)</w:t>
            </w:r>
          </w:p>
        </w:tc>
      </w:tr>
      <w:tr>
        <w:trPr/>
        <w:tc>
          <w:tcPr>
            <w:tcW w:w="3955" w:type="dxa"/>
            <w:tcBorders/>
          </w:tcPr>
          <w:p>
            <w:pPr>
              <w:pStyle w:val="TableContents"/>
              <w:bidi w:val="0"/>
              <w:spacing w:before="0" w:after="283"/>
              <w:jc w:val="left"/>
              <w:rPr/>
            </w:pPr>
            <w:r>
              <w:rPr/>
              <w:t>313(a)</w:t>
            </w:r>
          </w:p>
        </w:tc>
        <w:tc>
          <w:tcPr>
            <w:tcW w:w="232" w:type="dxa"/>
            <w:tcBorders/>
            <w:vAlign w:val="bottom"/>
          </w:tcPr>
          <w:p>
            <w:pPr>
              <w:pStyle w:val="TableContents"/>
              <w:bidi w:val="0"/>
              <w:spacing w:before="0" w:after="283"/>
              <w:jc w:val="left"/>
              <w:rPr/>
            </w:pPr>
            <w:r>
              <w:rPr/>
              <w:t>  </w:t>
            </w:r>
          </w:p>
        </w:tc>
        <w:tc>
          <w:tcPr>
            <w:tcW w:w="3568" w:type="dxa"/>
            <w:tcBorders/>
            <w:vAlign w:val="bottom"/>
          </w:tcPr>
          <w:p>
            <w:pPr>
              <w:pStyle w:val="TableContents"/>
              <w:bidi w:val="0"/>
              <w:spacing w:before="0" w:after="283"/>
              <w:jc w:val="left"/>
              <w:rPr/>
            </w:pPr>
            <w:r>
              <w:rPr/>
              <w:t>5.04(a)</w:t>
            </w:r>
          </w:p>
        </w:tc>
      </w:tr>
      <w:tr>
        <w:trPr/>
        <w:tc>
          <w:tcPr>
            <w:tcW w:w="3955" w:type="dxa"/>
            <w:tcBorders/>
            <w:shd w:fill="CCEEFF" w:val="clear"/>
          </w:tcPr>
          <w:p>
            <w:pPr>
              <w:pStyle w:val="TableContents"/>
              <w:bidi w:val="0"/>
              <w:spacing w:before="0" w:after="283"/>
              <w:jc w:val="left"/>
              <w:rPr/>
            </w:pPr>
            <w:r>
              <w:rPr/>
              <w:t>313(b)</w:t>
            </w:r>
          </w:p>
        </w:tc>
        <w:tc>
          <w:tcPr>
            <w:tcW w:w="232" w:type="dxa"/>
            <w:tcBorders/>
            <w:shd w:fill="CCEEFF" w:val="clear"/>
            <w:vAlign w:val="bottom"/>
          </w:tcPr>
          <w:p>
            <w:pPr>
              <w:pStyle w:val="TableContents"/>
              <w:bidi w:val="0"/>
              <w:spacing w:before="0" w:after="283"/>
              <w:jc w:val="left"/>
              <w:rPr/>
            </w:pPr>
            <w:r>
              <w:rPr/>
              <w:t>  </w:t>
            </w:r>
          </w:p>
        </w:tc>
        <w:tc>
          <w:tcPr>
            <w:tcW w:w="3568" w:type="dxa"/>
            <w:tcBorders/>
            <w:shd w:fill="CCEEFF" w:val="clear"/>
            <w:vAlign w:val="bottom"/>
          </w:tcPr>
          <w:p>
            <w:pPr>
              <w:pStyle w:val="TableContents"/>
              <w:bidi w:val="0"/>
              <w:spacing w:before="0" w:after="283"/>
              <w:jc w:val="left"/>
              <w:rPr/>
            </w:pPr>
            <w:r>
              <w:rPr/>
              <w:t>5.04(b)</w:t>
            </w:r>
          </w:p>
        </w:tc>
      </w:tr>
      <w:tr>
        <w:trPr/>
        <w:tc>
          <w:tcPr>
            <w:tcW w:w="3955" w:type="dxa"/>
            <w:tcBorders/>
          </w:tcPr>
          <w:p>
            <w:pPr>
              <w:pStyle w:val="TableContents"/>
              <w:bidi w:val="0"/>
              <w:spacing w:before="0" w:after="283"/>
              <w:jc w:val="left"/>
              <w:rPr/>
            </w:pPr>
            <w:r>
              <w:rPr/>
              <w:t>313(c)</w:t>
            </w:r>
          </w:p>
        </w:tc>
        <w:tc>
          <w:tcPr>
            <w:tcW w:w="232" w:type="dxa"/>
            <w:tcBorders/>
            <w:vAlign w:val="bottom"/>
          </w:tcPr>
          <w:p>
            <w:pPr>
              <w:pStyle w:val="TableContents"/>
              <w:bidi w:val="0"/>
              <w:spacing w:before="0" w:after="283"/>
              <w:jc w:val="left"/>
              <w:rPr/>
            </w:pPr>
            <w:r>
              <w:rPr/>
              <w:t>  </w:t>
            </w:r>
          </w:p>
        </w:tc>
        <w:tc>
          <w:tcPr>
            <w:tcW w:w="3568" w:type="dxa"/>
            <w:tcBorders/>
            <w:vAlign w:val="bottom"/>
          </w:tcPr>
          <w:p>
            <w:pPr>
              <w:pStyle w:val="TableContents"/>
              <w:bidi w:val="0"/>
              <w:spacing w:before="0" w:after="283"/>
              <w:jc w:val="left"/>
              <w:rPr/>
            </w:pPr>
            <w:r>
              <w:rPr/>
              <w:t>5.04(a)</w:t>
            </w:r>
          </w:p>
        </w:tc>
      </w:tr>
      <w:tr>
        <w:trPr/>
        <w:tc>
          <w:tcPr>
            <w:tcW w:w="3955"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3568" w:type="dxa"/>
            <w:tcBorders/>
            <w:shd w:fill="CCEEFF" w:val="clear"/>
            <w:vAlign w:val="bottom"/>
          </w:tcPr>
          <w:p>
            <w:pPr>
              <w:pStyle w:val="TableContents"/>
              <w:bidi w:val="0"/>
              <w:spacing w:before="0" w:after="283"/>
              <w:jc w:val="left"/>
              <w:rPr/>
            </w:pPr>
            <w:r>
              <w:rPr/>
              <w:t>5.04(b)</w:t>
            </w:r>
          </w:p>
        </w:tc>
      </w:tr>
      <w:tr>
        <w:trPr/>
        <w:tc>
          <w:tcPr>
            <w:tcW w:w="3955" w:type="dxa"/>
            <w:tcBorders/>
          </w:tcPr>
          <w:p>
            <w:pPr>
              <w:pStyle w:val="TableContents"/>
              <w:bidi w:val="0"/>
              <w:spacing w:before="0" w:after="283"/>
              <w:jc w:val="left"/>
              <w:rPr/>
            </w:pPr>
            <w:r>
              <w:rPr/>
              <w:t>313(d)</w:t>
            </w:r>
          </w:p>
        </w:tc>
        <w:tc>
          <w:tcPr>
            <w:tcW w:w="232" w:type="dxa"/>
            <w:tcBorders/>
            <w:vAlign w:val="bottom"/>
          </w:tcPr>
          <w:p>
            <w:pPr>
              <w:pStyle w:val="TableContents"/>
              <w:bidi w:val="0"/>
              <w:spacing w:before="0" w:after="283"/>
              <w:jc w:val="left"/>
              <w:rPr/>
            </w:pPr>
            <w:r>
              <w:rPr/>
              <w:t>  </w:t>
            </w:r>
          </w:p>
        </w:tc>
        <w:tc>
          <w:tcPr>
            <w:tcW w:w="3568" w:type="dxa"/>
            <w:tcBorders/>
            <w:vAlign w:val="bottom"/>
          </w:tcPr>
          <w:p>
            <w:pPr>
              <w:pStyle w:val="TableContents"/>
              <w:bidi w:val="0"/>
              <w:spacing w:before="0" w:after="283"/>
              <w:jc w:val="left"/>
              <w:rPr/>
            </w:pPr>
            <w:r>
              <w:rPr/>
              <w:t>5.04(c)</w:t>
            </w:r>
          </w:p>
        </w:tc>
      </w:tr>
      <w:tr>
        <w:trPr/>
        <w:tc>
          <w:tcPr>
            <w:tcW w:w="3955" w:type="dxa"/>
            <w:tcBorders/>
            <w:shd w:fill="CCEEFF" w:val="clear"/>
          </w:tcPr>
          <w:p>
            <w:pPr>
              <w:pStyle w:val="TableContents"/>
              <w:bidi w:val="0"/>
              <w:spacing w:before="0" w:after="283"/>
              <w:jc w:val="left"/>
              <w:rPr/>
            </w:pPr>
            <w:r>
              <w:rPr/>
              <w:t>314(a)</w:t>
            </w:r>
          </w:p>
        </w:tc>
        <w:tc>
          <w:tcPr>
            <w:tcW w:w="232" w:type="dxa"/>
            <w:tcBorders/>
            <w:shd w:fill="CCEEFF" w:val="clear"/>
            <w:vAlign w:val="bottom"/>
          </w:tcPr>
          <w:p>
            <w:pPr>
              <w:pStyle w:val="TableContents"/>
              <w:bidi w:val="0"/>
              <w:spacing w:before="0" w:after="283"/>
              <w:jc w:val="left"/>
              <w:rPr/>
            </w:pPr>
            <w:r>
              <w:rPr/>
              <w:t>  </w:t>
            </w:r>
          </w:p>
        </w:tc>
        <w:tc>
          <w:tcPr>
            <w:tcW w:w="3568" w:type="dxa"/>
            <w:tcBorders/>
            <w:shd w:fill="CCEEFF" w:val="clear"/>
            <w:vAlign w:val="bottom"/>
          </w:tcPr>
          <w:p>
            <w:pPr>
              <w:pStyle w:val="TableContents"/>
              <w:bidi w:val="0"/>
              <w:spacing w:before="0" w:after="283"/>
              <w:jc w:val="left"/>
              <w:rPr/>
            </w:pPr>
            <w:r>
              <w:rPr/>
              <w:t>5.03</w:t>
            </w:r>
          </w:p>
        </w:tc>
      </w:tr>
      <w:tr>
        <w:trPr/>
        <w:tc>
          <w:tcPr>
            <w:tcW w:w="3955"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3568" w:type="dxa"/>
            <w:tcBorders/>
            <w:vAlign w:val="bottom"/>
          </w:tcPr>
          <w:p>
            <w:pPr>
              <w:pStyle w:val="TableContents"/>
              <w:bidi w:val="0"/>
              <w:spacing w:before="0" w:after="283"/>
              <w:jc w:val="left"/>
              <w:rPr/>
            </w:pPr>
            <w:r>
              <w:rPr/>
              <w:t>13.12</w:t>
            </w:r>
          </w:p>
        </w:tc>
      </w:tr>
      <w:tr>
        <w:trPr/>
        <w:tc>
          <w:tcPr>
            <w:tcW w:w="3955" w:type="dxa"/>
            <w:tcBorders/>
            <w:shd w:fill="CCEEFF" w:val="clear"/>
          </w:tcPr>
          <w:p>
            <w:pPr>
              <w:pStyle w:val="TableContents"/>
              <w:bidi w:val="0"/>
              <w:spacing w:before="0" w:after="283"/>
              <w:jc w:val="left"/>
              <w:rPr/>
            </w:pPr>
            <w:r>
              <w:rPr/>
              <w:t>314(b)</w:t>
            </w:r>
          </w:p>
        </w:tc>
        <w:tc>
          <w:tcPr>
            <w:tcW w:w="232" w:type="dxa"/>
            <w:tcBorders/>
            <w:shd w:fill="CCEEFF" w:val="clear"/>
            <w:vAlign w:val="bottom"/>
          </w:tcPr>
          <w:p>
            <w:pPr>
              <w:pStyle w:val="TableContents"/>
              <w:bidi w:val="0"/>
              <w:spacing w:before="0" w:after="283"/>
              <w:jc w:val="left"/>
              <w:rPr/>
            </w:pPr>
            <w:r>
              <w:rPr/>
              <w:t>  </w:t>
            </w:r>
          </w:p>
        </w:tc>
        <w:tc>
          <w:tcPr>
            <w:tcW w:w="3568" w:type="dxa"/>
            <w:tcBorders/>
            <w:shd w:fill="CCEEFF" w:val="clear"/>
            <w:vAlign w:val="bottom"/>
          </w:tcPr>
          <w:p>
            <w:pPr>
              <w:pStyle w:val="TableContents"/>
              <w:bidi w:val="0"/>
              <w:spacing w:before="0" w:after="283"/>
              <w:jc w:val="left"/>
              <w:rPr/>
            </w:pPr>
            <w:r>
              <w:rPr/>
              <w:t>Inapplicable</w:t>
            </w:r>
          </w:p>
        </w:tc>
      </w:tr>
      <w:tr>
        <w:trPr/>
        <w:tc>
          <w:tcPr>
            <w:tcW w:w="3955" w:type="dxa"/>
            <w:tcBorders/>
          </w:tcPr>
          <w:p>
            <w:pPr>
              <w:pStyle w:val="TableContents"/>
              <w:bidi w:val="0"/>
              <w:spacing w:before="0" w:after="283"/>
              <w:jc w:val="left"/>
              <w:rPr/>
            </w:pPr>
            <w:r>
              <w:rPr/>
              <w:t>314(c)</w:t>
            </w:r>
          </w:p>
        </w:tc>
        <w:tc>
          <w:tcPr>
            <w:tcW w:w="232" w:type="dxa"/>
            <w:tcBorders/>
            <w:vAlign w:val="bottom"/>
          </w:tcPr>
          <w:p>
            <w:pPr>
              <w:pStyle w:val="TableContents"/>
              <w:bidi w:val="0"/>
              <w:spacing w:before="0" w:after="283"/>
              <w:jc w:val="left"/>
              <w:rPr/>
            </w:pPr>
            <w:r>
              <w:rPr/>
              <w:t>  </w:t>
            </w:r>
          </w:p>
        </w:tc>
        <w:tc>
          <w:tcPr>
            <w:tcW w:w="3568" w:type="dxa"/>
            <w:tcBorders/>
            <w:vAlign w:val="bottom"/>
          </w:tcPr>
          <w:p>
            <w:pPr>
              <w:pStyle w:val="TableContents"/>
              <w:bidi w:val="0"/>
              <w:spacing w:before="0" w:after="283"/>
              <w:jc w:val="left"/>
              <w:rPr/>
            </w:pPr>
            <w:r>
              <w:rPr/>
              <w:t>13.07(a)</w:t>
            </w:r>
          </w:p>
        </w:tc>
      </w:tr>
      <w:tr>
        <w:trPr/>
        <w:tc>
          <w:tcPr>
            <w:tcW w:w="3955" w:type="dxa"/>
            <w:tcBorders/>
            <w:shd w:fill="CCEEFF" w:val="clear"/>
          </w:tcPr>
          <w:p>
            <w:pPr>
              <w:pStyle w:val="TableContents"/>
              <w:bidi w:val="0"/>
              <w:spacing w:before="0" w:after="283"/>
              <w:jc w:val="left"/>
              <w:rPr/>
            </w:pPr>
            <w:r>
              <w:rPr/>
              <w:t>314(d)</w:t>
            </w:r>
          </w:p>
        </w:tc>
        <w:tc>
          <w:tcPr>
            <w:tcW w:w="232" w:type="dxa"/>
            <w:tcBorders/>
            <w:shd w:fill="CCEEFF" w:val="clear"/>
            <w:vAlign w:val="bottom"/>
          </w:tcPr>
          <w:p>
            <w:pPr>
              <w:pStyle w:val="TableContents"/>
              <w:bidi w:val="0"/>
              <w:spacing w:before="0" w:after="283"/>
              <w:jc w:val="left"/>
              <w:rPr/>
            </w:pPr>
            <w:r>
              <w:rPr/>
              <w:t>  </w:t>
            </w:r>
          </w:p>
        </w:tc>
        <w:tc>
          <w:tcPr>
            <w:tcW w:w="3568" w:type="dxa"/>
            <w:tcBorders/>
            <w:shd w:fill="CCEEFF" w:val="clear"/>
            <w:vAlign w:val="bottom"/>
          </w:tcPr>
          <w:p>
            <w:pPr>
              <w:pStyle w:val="TableContents"/>
              <w:bidi w:val="0"/>
              <w:spacing w:before="0" w:after="283"/>
              <w:jc w:val="left"/>
              <w:rPr/>
            </w:pPr>
            <w:r>
              <w:rPr/>
              <w:t>Inapplicable</w:t>
            </w:r>
          </w:p>
        </w:tc>
      </w:tr>
      <w:tr>
        <w:trPr/>
        <w:tc>
          <w:tcPr>
            <w:tcW w:w="3955" w:type="dxa"/>
            <w:tcBorders/>
          </w:tcPr>
          <w:p>
            <w:pPr>
              <w:pStyle w:val="TableContents"/>
              <w:bidi w:val="0"/>
              <w:spacing w:before="0" w:after="283"/>
              <w:jc w:val="left"/>
              <w:rPr/>
            </w:pPr>
            <w:r>
              <w:rPr/>
              <w:t>314(e)</w:t>
            </w:r>
          </w:p>
        </w:tc>
        <w:tc>
          <w:tcPr>
            <w:tcW w:w="232" w:type="dxa"/>
            <w:tcBorders/>
            <w:vAlign w:val="bottom"/>
          </w:tcPr>
          <w:p>
            <w:pPr>
              <w:pStyle w:val="TableContents"/>
              <w:bidi w:val="0"/>
              <w:spacing w:before="0" w:after="283"/>
              <w:jc w:val="left"/>
              <w:rPr/>
            </w:pPr>
            <w:r>
              <w:rPr/>
              <w:t>  </w:t>
            </w:r>
          </w:p>
        </w:tc>
        <w:tc>
          <w:tcPr>
            <w:tcW w:w="3568" w:type="dxa"/>
            <w:tcBorders/>
            <w:vAlign w:val="bottom"/>
          </w:tcPr>
          <w:p>
            <w:pPr>
              <w:pStyle w:val="TableContents"/>
              <w:bidi w:val="0"/>
              <w:spacing w:before="0" w:after="283"/>
              <w:jc w:val="left"/>
              <w:rPr/>
            </w:pPr>
            <w:r>
              <w:rPr/>
              <w:t>13.07(b)</w:t>
            </w:r>
          </w:p>
        </w:tc>
      </w:tr>
      <w:tr>
        <w:trPr/>
        <w:tc>
          <w:tcPr>
            <w:tcW w:w="3955" w:type="dxa"/>
            <w:tcBorders/>
            <w:shd w:fill="CCEEFF" w:val="clear"/>
          </w:tcPr>
          <w:p>
            <w:pPr>
              <w:pStyle w:val="TableContents"/>
              <w:bidi w:val="0"/>
              <w:spacing w:before="0" w:after="283"/>
              <w:jc w:val="left"/>
              <w:rPr/>
            </w:pPr>
            <w:r>
              <w:rPr/>
              <w:t>314(f)</w:t>
            </w:r>
          </w:p>
        </w:tc>
        <w:tc>
          <w:tcPr>
            <w:tcW w:w="232" w:type="dxa"/>
            <w:tcBorders/>
            <w:shd w:fill="CCEEFF" w:val="clear"/>
            <w:vAlign w:val="bottom"/>
          </w:tcPr>
          <w:p>
            <w:pPr>
              <w:pStyle w:val="TableContents"/>
              <w:bidi w:val="0"/>
              <w:spacing w:before="0" w:after="283"/>
              <w:jc w:val="left"/>
              <w:rPr/>
            </w:pPr>
            <w:r>
              <w:rPr/>
              <w:t>  </w:t>
            </w:r>
          </w:p>
        </w:tc>
        <w:tc>
          <w:tcPr>
            <w:tcW w:w="3568" w:type="dxa"/>
            <w:tcBorders/>
            <w:shd w:fill="CCEEFF" w:val="clear"/>
            <w:vAlign w:val="bottom"/>
          </w:tcPr>
          <w:p>
            <w:pPr>
              <w:pStyle w:val="TableContents"/>
              <w:bidi w:val="0"/>
              <w:spacing w:before="0" w:after="283"/>
              <w:jc w:val="left"/>
              <w:rPr/>
            </w:pPr>
            <w:r>
              <w:rPr/>
              <w:t>Inapplicable</w:t>
            </w:r>
          </w:p>
        </w:tc>
      </w:tr>
      <w:tr>
        <w:trPr/>
        <w:tc>
          <w:tcPr>
            <w:tcW w:w="3955" w:type="dxa"/>
            <w:tcBorders/>
          </w:tcPr>
          <w:p>
            <w:pPr>
              <w:pStyle w:val="TableContents"/>
              <w:bidi w:val="0"/>
              <w:spacing w:before="0" w:after="283"/>
              <w:jc w:val="left"/>
              <w:rPr/>
            </w:pPr>
            <w:r>
              <w:rPr/>
              <w:t>315(a)</w:t>
            </w:r>
          </w:p>
        </w:tc>
        <w:tc>
          <w:tcPr>
            <w:tcW w:w="232" w:type="dxa"/>
            <w:tcBorders/>
            <w:vAlign w:val="bottom"/>
          </w:tcPr>
          <w:p>
            <w:pPr>
              <w:pStyle w:val="TableContents"/>
              <w:bidi w:val="0"/>
              <w:spacing w:before="0" w:after="283"/>
              <w:jc w:val="left"/>
              <w:rPr/>
            </w:pPr>
            <w:r>
              <w:rPr/>
              <w:t>  </w:t>
            </w:r>
          </w:p>
        </w:tc>
        <w:tc>
          <w:tcPr>
            <w:tcW w:w="3568" w:type="dxa"/>
            <w:tcBorders/>
            <w:vAlign w:val="bottom"/>
          </w:tcPr>
          <w:p>
            <w:pPr>
              <w:pStyle w:val="TableContents"/>
              <w:bidi w:val="0"/>
              <w:spacing w:before="0" w:after="283"/>
              <w:jc w:val="left"/>
              <w:rPr/>
            </w:pPr>
            <w:r>
              <w:rPr/>
              <w:t>7.01(a)</w:t>
            </w:r>
          </w:p>
        </w:tc>
      </w:tr>
      <w:tr>
        <w:trPr/>
        <w:tc>
          <w:tcPr>
            <w:tcW w:w="3955"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3568" w:type="dxa"/>
            <w:tcBorders/>
            <w:shd w:fill="CCEEFF" w:val="clear"/>
            <w:vAlign w:val="bottom"/>
          </w:tcPr>
          <w:p>
            <w:pPr>
              <w:pStyle w:val="TableContents"/>
              <w:bidi w:val="0"/>
              <w:spacing w:before="0" w:after="283"/>
              <w:jc w:val="left"/>
              <w:rPr/>
            </w:pPr>
            <w:r>
              <w:rPr/>
              <w:t>7.01(b)</w:t>
            </w:r>
          </w:p>
        </w:tc>
      </w:tr>
      <w:tr>
        <w:trPr/>
        <w:tc>
          <w:tcPr>
            <w:tcW w:w="3955" w:type="dxa"/>
            <w:tcBorders/>
          </w:tcPr>
          <w:p>
            <w:pPr>
              <w:pStyle w:val="TableContents"/>
              <w:bidi w:val="0"/>
              <w:spacing w:before="0" w:after="283"/>
              <w:jc w:val="left"/>
              <w:rPr/>
            </w:pPr>
            <w:r>
              <w:rPr/>
              <w:t>315(b)</w:t>
            </w:r>
          </w:p>
        </w:tc>
        <w:tc>
          <w:tcPr>
            <w:tcW w:w="232" w:type="dxa"/>
            <w:tcBorders/>
            <w:vAlign w:val="bottom"/>
          </w:tcPr>
          <w:p>
            <w:pPr>
              <w:pStyle w:val="TableContents"/>
              <w:bidi w:val="0"/>
              <w:spacing w:before="0" w:after="283"/>
              <w:jc w:val="left"/>
              <w:rPr/>
            </w:pPr>
            <w:r>
              <w:rPr/>
              <w:t>  </w:t>
            </w:r>
          </w:p>
        </w:tc>
        <w:tc>
          <w:tcPr>
            <w:tcW w:w="3568" w:type="dxa"/>
            <w:tcBorders/>
            <w:vAlign w:val="bottom"/>
          </w:tcPr>
          <w:p>
            <w:pPr>
              <w:pStyle w:val="TableContents"/>
              <w:bidi w:val="0"/>
              <w:spacing w:before="0" w:after="283"/>
              <w:jc w:val="left"/>
              <w:rPr/>
            </w:pPr>
            <w:r>
              <w:rPr/>
              <w:t>7.14</w:t>
            </w:r>
          </w:p>
        </w:tc>
      </w:tr>
      <w:tr>
        <w:trPr/>
        <w:tc>
          <w:tcPr>
            <w:tcW w:w="3955" w:type="dxa"/>
            <w:tcBorders/>
            <w:shd w:fill="CCEEFF" w:val="clear"/>
          </w:tcPr>
          <w:p>
            <w:pPr>
              <w:pStyle w:val="TableContents"/>
              <w:bidi w:val="0"/>
              <w:spacing w:before="0" w:after="283"/>
              <w:jc w:val="left"/>
              <w:rPr/>
            </w:pPr>
            <w:r>
              <w:rPr/>
              <w:t>315(c)</w:t>
            </w:r>
          </w:p>
        </w:tc>
        <w:tc>
          <w:tcPr>
            <w:tcW w:w="232" w:type="dxa"/>
            <w:tcBorders/>
            <w:shd w:fill="CCEEFF" w:val="clear"/>
            <w:vAlign w:val="bottom"/>
          </w:tcPr>
          <w:p>
            <w:pPr>
              <w:pStyle w:val="TableContents"/>
              <w:bidi w:val="0"/>
              <w:spacing w:before="0" w:after="283"/>
              <w:jc w:val="left"/>
              <w:rPr/>
            </w:pPr>
            <w:r>
              <w:rPr/>
              <w:t>  </w:t>
            </w:r>
          </w:p>
        </w:tc>
        <w:tc>
          <w:tcPr>
            <w:tcW w:w="3568" w:type="dxa"/>
            <w:tcBorders/>
            <w:shd w:fill="CCEEFF" w:val="clear"/>
            <w:vAlign w:val="bottom"/>
          </w:tcPr>
          <w:p>
            <w:pPr>
              <w:pStyle w:val="TableContents"/>
              <w:bidi w:val="0"/>
              <w:spacing w:before="0" w:after="283"/>
              <w:jc w:val="left"/>
              <w:rPr/>
            </w:pPr>
            <w:r>
              <w:rPr/>
              <w:t>7.01</w:t>
            </w:r>
          </w:p>
        </w:tc>
      </w:tr>
      <w:tr>
        <w:trPr/>
        <w:tc>
          <w:tcPr>
            <w:tcW w:w="3955" w:type="dxa"/>
            <w:tcBorders/>
          </w:tcPr>
          <w:p>
            <w:pPr>
              <w:pStyle w:val="TableContents"/>
              <w:bidi w:val="0"/>
              <w:spacing w:before="0" w:after="283"/>
              <w:jc w:val="left"/>
              <w:rPr/>
            </w:pPr>
            <w:r>
              <w:rPr/>
              <w:t>315(d)</w:t>
            </w:r>
          </w:p>
        </w:tc>
        <w:tc>
          <w:tcPr>
            <w:tcW w:w="232" w:type="dxa"/>
            <w:tcBorders/>
            <w:vAlign w:val="bottom"/>
          </w:tcPr>
          <w:p>
            <w:pPr>
              <w:pStyle w:val="TableContents"/>
              <w:bidi w:val="0"/>
              <w:spacing w:before="0" w:after="283"/>
              <w:jc w:val="left"/>
              <w:rPr/>
            </w:pPr>
            <w:r>
              <w:rPr/>
              <w:t>  </w:t>
            </w:r>
          </w:p>
        </w:tc>
        <w:tc>
          <w:tcPr>
            <w:tcW w:w="3568" w:type="dxa"/>
            <w:tcBorders/>
            <w:vAlign w:val="bottom"/>
          </w:tcPr>
          <w:p>
            <w:pPr>
              <w:pStyle w:val="TableContents"/>
              <w:bidi w:val="0"/>
              <w:spacing w:before="0" w:after="283"/>
              <w:jc w:val="left"/>
              <w:rPr/>
            </w:pPr>
            <w:r>
              <w:rPr/>
              <w:t>7.01(b)</w:t>
            </w:r>
          </w:p>
        </w:tc>
      </w:tr>
      <w:tr>
        <w:trPr/>
        <w:tc>
          <w:tcPr>
            <w:tcW w:w="3955" w:type="dxa"/>
            <w:tcBorders/>
            <w:shd w:fill="CCEEFF" w:val="clear"/>
          </w:tcPr>
          <w:p>
            <w:pPr>
              <w:pStyle w:val="TableContents"/>
              <w:bidi w:val="0"/>
              <w:spacing w:before="0" w:after="283"/>
              <w:jc w:val="left"/>
              <w:rPr/>
            </w:pPr>
            <w:r>
              <w:rPr/>
              <w:t>315(e)</w:t>
            </w:r>
          </w:p>
        </w:tc>
        <w:tc>
          <w:tcPr>
            <w:tcW w:w="232" w:type="dxa"/>
            <w:tcBorders/>
            <w:shd w:fill="CCEEFF" w:val="clear"/>
            <w:vAlign w:val="bottom"/>
          </w:tcPr>
          <w:p>
            <w:pPr>
              <w:pStyle w:val="TableContents"/>
              <w:bidi w:val="0"/>
              <w:spacing w:before="0" w:after="283"/>
              <w:jc w:val="left"/>
              <w:rPr/>
            </w:pPr>
            <w:r>
              <w:rPr/>
              <w:t>  </w:t>
            </w:r>
          </w:p>
        </w:tc>
        <w:tc>
          <w:tcPr>
            <w:tcW w:w="3568" w:type="dxa"/>
            <w:tcBorders/>
            <w:shd w:fill="CCEEFF" w:val="clear"/>
            <w:vAlign w:val="bottom"/>
          </w:tcPr>
          <w:p>
            <w:pPr>
              <w:pStyle w:val="TableContents"/>
              <w:bidi w:val="0"/>
              <w:spacing w:before="0" w:after="283"/>
              <w:jc w:val="left"/>
              <w:rPr/>
            </w:pPr>
            <w:r>
              <w:rPr/>
              <w:t>6.07</w:t>
            </w:r>
          </w:p>
        </w:tc>
      </w:tr>
      <w:tr>
        <w:trPr/>
        <w:tc>
          <w:tcPr>
            <w:tcW w:w="3955" w:type="dxa"/>
            <w:tcBorders/>
          </w:tcPr>
          <w:p>
            <w:pPr>
              <w:pStyle w:val="TableContents"/>
              <w:bidi w:val="0"/>
              <w:spacing w:before="0" w:after="283"/>
              <w:jc w:val="left"/>
              <w:rPr/>
            </w:pPr>
            <w:r>
              <w:rPr/>
              <w:t>316(a)</w:t>
            </w:r>
          </w:p>
        </w:tc>
        <w:tc>
          <w:tcPr>
            <w:tcW w:w="232" w:type="dxa"/>
            <w:tcBorders/>
            <w:vAlign w:val="bottom"/>
          </w:tcPr>
          <w:p>
            <w:pPr>
              <w:pStyle w:val="TableContents"/>
              <w:bidi w:val="0"/>
              <w:spacing w:before="0" w:after="283"/>
              <w:jc w:val="left"/>
              <w:rPr/>
            </w:pPr>
            <w:r>
              <w:rPr/>
              <w:t>  </w:t>
            </w:r>
          </w:p>
        </w:tc>
        <w:tc>
          <w:tcPr>
            <w:tcW w:w="3568" w:type="dxa"/>
            <w:tcBorders/>
            <w:vAlign w:val="bottom"/>
          </w:tcPr>
          <w:p>
            <w:pPr>
              <w:pStyle w:val="TableContents"/>
              <w:bidi w:val="0"/>
              <w:spacing w:before="0" w:after="283"/>
              <w:jc w:val="left"/>
              <w:rPr/>
            </w:pPr>
            <w:r>
              <w:rPr/>
              <w:t>6.06</w:t>
            </w:r>
          </w:p>
        </w:tc>
      </w:tr>
      <w:tr>
        <w:trPr/>
        <w:tc>
          <w:tcPr>
            <w:tcW w:w="3955"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3568" w:type="dxa"/>
            <w:tcBorders/>
            <w:shd w:fill="CCEEFF" w:val="clear"/>
            <w:vAlign w:val="bottom"/>
          </w:tcPr>
          <w:p>
            <w:pPr>
              <w:pStyle w:val="TableContents"/>
              <w:bidi w:val="0"/>
              <w:spacing w:before="0" w:after="283"/>
              <w:jc w:val="left"/>
              <w:rPr/>
            </w:pPr>
            <w:r>
              <w:rPr/>
              <w:t>8.04</w:t>
            </w:r>
          </w:p>
        </w:tc>
      </w:tr>
      <w:tr>
        <w:trPr/>
        <w:tc>
          <w:tcPr>
            <w:tcW w:w="3955" w:type="dxa"/>
            <w:tcBorders/>
          </w:tcPr>
          <w:p>
            <w:pPr>
              <w:pStyle w:val="TableContents"/>
              <w:bidi w:val="0"/>
              <w:spacing w:before="0" w:after="283"/>
              <w:jc w:val="left"/>
              <w:rPr/>
            </w:pPr>
            <w:r>
              <w:rPr/>
              <w:t>316(b)</w:t>
            </w:r>
          </w:p>
        </w:tc>
        <w:tc>
          <w:tcPr>
            <w:tcW w:w="232" w:type="dxa"/>
            <w:tcBorders/>
            <w:vAlign w:val="bottom"/>
          </w:tcPr>
          <w:p>
            <w:pPr>
              <w:pStyle w:val="TableContents"/>
              <w:bidi w:val="0"/>
              <w:spacing w:before="0" w:after="283"/>
              <w:jc w:val="left"/>
              <w:rPr/>
            </w:pPr>
            <w:r>
              <w:rPr/>
              <w:t>  </w:t>
            </w:r>
          </w:p>
        </w:tc>
        <w:tc>
          <w:tcPr>
            <w:tcW w:w="3568" w:type="dxa"/>
            <w:tcBorders/>
            <w:vAlign w:val="bottom"/>
          </w:tcPr>
          <w:p>
            <w:pPr>
              <w:pStyle w:val="TableContents"/>
              <w:bidi w:val="0"/>
              <w:spacing w:before="0" w:after="283"/>
              <w:jc w:val="left"/>
              <w:rPr/>
            </w:pPr>
            <w:r>
              <w:rPr/>
              <w:t>6.04</w:t>
            </w:r>
          </w:p>
        </w:tc>
      </w:tr>
      <w:tr>
        <w:trPr/>
        <w:tc>
          <w:tcPr>
            <w:tcW w:w="3955" w:type="dxa"/>
            <w:tcBorders/>
            <w:shd w:fill="CCEEFF" w:val="clear"/>
          </w:tcPr>
          <w:p>
            <w:pPr>
              <w:pStyle w:val="TableContents"/>
              <w:bidi w:val="0"/>
              <w:spacing w:before="0" w:after="283"/>
              <w:jc w:val="left"/>
              <w:rPr/>
            </w:pPr>
            <w:r>
              <w:rPr/>
              <w:t>316(c)</w:t>
            </w:r>
          </w:p>
        </w:tc>
        <w:tc>
          <w:tcPr>
            <w:tcW w:w="232" w:type="dxa"/>
            <w:tcBorders/>
            <w:shd w:fill="CCEEFF" w:val="clear"/>
            <w:vAlign w:val="bottom"/>
          </w:tcPr>
          <w:p>
            <w:pPr>
              <w:pStyle w:val="TableContents"/>
              <w:bidi w:val="0"/>
              <w:spacing w:before="0" w:after="283"/>
              <w:jc w:val="left"/>
              <w:rPr/>
            </w:pPr>
            <w:r>
              <w:rPr/>
              <w:t>  </w:t>
            </w:r>
          </w:p>
        </w:tc>
        <w:tc>
          <w:tcPr>
            <w:tcW w:w="3568" w:type="dxa"/>
            <w:tcBorders/>
            <w:shd w:fill="CCEEFF" w:val="clear"/>
            <w:vAlign w:val="bottom"/>
          </w:tcPr>
          <w:p>
            <w:pPr>
              <w:pStyle w:val="TableContents"/>
              <w:bidi w:val="0"/>
              <w:spacing w:before="0" w:after="283"/>
              <w:jc w:val="left"/>
              <w:rPr/>
            </w:pPr>
            <w:r>
              <w:rPr/>
              <w:t>8.01</w:t>
            </w:r>
          </w:p>
        </w:tc>
      </w:tr>
      <w:tr>
        <w:trPr/>
        <w:tc>
          <w:tcPr>
            <w:tcW w:w="3955" w:type="dxa"/>
            <w:tcBorders/>
          </w:tcPr>
          <w:p>
            <w:pPr>
              <w:pStyle w:val="TableContents"/>
              <w:bidi w:val="0"/>
              <w:spacing w:before="0" w:after="283"/>
              <w:jc w:val="left"/>
              <w:rPr/>
            </w:pPr>
            <w:r>
              <w:rPr/>
              <w:t>317(a)</w:t>
            </w:r>
          </w:p>
        </w:tc>
        <w:tc>
          <w:tcPr>
            <w:tcW w:w="232" w:type="dxa"/>
            <w:tcBorders/>
            <w:vAlign w:val="bottom"/>
          </w:tcPr>
          <w:p>
            <w:pPr>
              <w:pStyle w:val="TableContents"/>
              <w:bidi w:val="0"/>
              <w:spacing w:before="0" w:after="283"/>
              <w:jc w:val="left"/>
              <w:rPr/>
            </w:pPr>
            <w:r>
              <w:rPr/>
              <w:t>  </w:t>
            </w:r>
          </w:p>
        </w:tc>
        <w:tc>
          <w:tcPr>
            <w:tcW w:w="3568" w:type="dxa"/>
            <w:tcBorders/>
            <w:vAlign w:val="bottom"/>
          </w:tcPr>
          <w:p>
            <w:pPr>
              <w:pStyle w:val="TableContents"/>
              <w:bidi w:val="0"/>
              <w:spacing w:before="0" w:after="283"/>
              <w:jc w:val="left"/>
              <w:rPr/>
            </w:pPr>
            <w:r>
              <w:rPr/>
              <w:t>6.02</w:t>
            </w:r>
          </w:p>
        </w:tc>
      </w:tr>
      <w:tr>
        <w:trPr/>
        <w:tc>
          <w:tcPr>
            <w:tcW w:w="3955" w:type="dxa"/>
            <w:tcBorders/>
            <w:shd w:fill="CCEEFF" w:val="clear"/>
          </w:tcPr>
          <w:p>
            <w:pPr>
              <w:pStyle w:val="TableContents"/>
              <w:bidi w:val="0"/>
              <w:spacing w:before="0" w:after="283"/>
              <w:jc w:val="left"/>
              <w:rPr/>
            </w:pPr>
            <w:r>
              <w:rPr/>
              <w:t>317(b)</w:t>
            </w:r>
          </w:p>
        </w:tc>
        <w:tc>
          <w:tcPr>
            <w:tcW w:w="232" w:type="dxa"/>
            <w:tcBorders/>
            <w:shd w:fill="CCEEFF" w:val="clear"/>
            <w:vAlign w:val="bottom"/>
          </w:tcPr>
          <w:p>
            <w:pPr>
              <w:pStyle w:val="TableContents"/>
              <w:bidi w:val="0"/>
              <w:spacing w:before="0" w:after="283"/>
              <w:jc w:val="left"/>
              <w:rPr/>
            </w:pPr>
            <w:r>
              <w:rPr/>
              <w:t>  </w:t>
            </w:r>
          </w:p>
        </w:tc>
        <w:tc>
          <w:tcPr>
            <w:tcW w:w="3568" w:type="dxa"/>
            <w:tcBorders/>
            <w:shd w:fill="CCEEFF" w:val="clear"/>
            <w:vAlign w:val="bottom"/>
          </w:tcPr>
          <w:p>
            <w:pPr>
              <w:pStyle w:val="TableContents"/>
              <w:bidi w:val="0"/>
              <w:spacing w:before="0" w:after="283"/>
              <w:jc w:val="left"/>
              <w:rPr/>
            </w:pPr>
            <w:r>
              <w:rPr/>
              <w:t>4.03</w:t>
            </w:r>
          </w:p>
        </w:tc>
      </w:tr>
      <w:tr>
        <w:trPr/>
        <w:tc>
          <w:tcPr>
            <w:tcW w:w="3955" w:type="dxa"/>
            <w:tcBorders/>
          </w:tcPr>
          <w:p>
            <w:pPr>
              <w:pStyle w:val="TableContents"/>
              <w:bidi w:val="0"/>
              <w:spacing w:before="0" w:after="283"/>
              <w:jc w:val="left"/>
              <w:rPr/>
            </w:pPr>
            <w:r>
              <w:rPr/>
              <w:t>318(a)</w:t>
            </w:r>
          </w:p>
        </w:tc>
        <w:tc>
          <w:tcPr>
            <w:tcW w:w="232" w:type="dxa"/>
            <w:tcBorders/>
            <w:vAlign w:val="bottom"/>
          </w:tcPr>
          <w:p>
            <w:pPr>
              <w:pStyle w:val="TableContents"/>
              <w:bidi w:val="0"/>
              <w:spacing w:before="0" w:after="283"/>
              <w:jc w:val="left"/>
              <w:rPr/>
            </w:pPr>
            <w:r>
              <w:rPr/>
              <w:t>  </w:t>
            </w:r>
          </w:p>
        </w:tc>
        <w:tc>
          <w:tcPr>
            <w:tcW w:w="3568" w:type="dxa"/>
            <w:tcBorders/>
            <w:vAlign w:val="bottom"/>
          </w:tcPr>
          <w:p>
            <w:pPr>
              <w:pStyle w:val="TableContents"/>
              <w:bidi w:val="0"/>
              <w:spacing w:before="0" w:after="283"/>
              <w:jc w:val="left"/>
              <w:rPr/>
            </w:pPr>
            <w:r>
              <w:rPr/>
              <w:t>13.09</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Cross-Reference Table does not constitute part of the Indenture and shall not have any bearing on the interpretation of any of its terms or provisions.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TextBody"/>
        <w:bidi w:val="0"/>
        <w:spacing w:before="0" w:after="0"/>
        <w:jc w:val="right"/>
        <w:rPr>
          <w:rFonts w:ascii="Times New Roman" w:hAnsi="Times New Roman"/>
          <w:b/>
          <w:sz w:val="20"/>
        </w:rPr>
      </w:pPr>
      <w:bookmarkStart w:id="26" w:name="d86113dex51.htm"/>
      <w:bookmarkStart w:id="27" w:name="ksd86113dex51"/>
      <w:bookmarkEnd w:id="26"/>
      <w:bookmarkEnd w:id="27"/>
      <w:r>
        <w:rPr>
          <w:rFonts w:ascii="Times New Roman" w:hAnsi="Times New Roman"/>
          <w:b/>
          <w:sz w:val="20"/>
        </w:rPr>
        <w:t xml:space="preserve">Exhibit 5.1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June 30, 2026 </w:t>
      </w:r>
    </w:p>
    <w:p>
      <w:pPr>
        <w:pStyle w:val="TextBody"/>
        <w:bidi w:val="0"/>
        <w:spacing w:before="240" w:after="0"/>
        <w:jc w:val="left"/>
        <w:rPr>
          <w:rFonts w:ascii="Times New Roman" w:hAnsi="Times New Roman"/>
          <w:b/>
          <w:sz w:val="20"/>
        </w:rPr>
      </w:pPr>
      <w:r>
        <w:rPr>
          <w:rFonts w:ascii="Times New Roman" w:hAnsi="Times New Roman"/>
          <w:b/>
          <w:sz w:val="20"/>
        </w:rPr>
        <w:t xml:space="preserve">Abivax S.A. </w:t>
      </w:r>
    </w:p>
    <w:p>
      <w:pPr>
        <w:pStyle w:val="TextBody"/>
        <w:bidi w:val="0"/>
        <w:spacing w:before="0" w:after="0"/>
        <w:jc w:val="left"/>
        <w:rPr>
          <w:rFonts w:ascii="Times New Roman" w:hAnsi="Times New Roman"/>
          <w:sz w:val="20"/>
        </w:rPr>
      </w:pPr>
      <w:r>
        <w:rPr>
          <w:rFonts w:ascii="Times New Roman" w:hAnsi="Times New Roman"/>
          <w:sz w:val="20"/>
        </w:rPr>
        <w:t xml:space="preserve">7-11 boulevard Haussmann </w:t>
      </w:r>
    </w:p>
    <w:p>
      <w:pPr>
        <w:pStyle w:val="TextBody"/>
        <w:bidi w:val="0"/>
        <w:spacing w:before="0" w:after="0"/>
        <w:jc w:val="left"/>
        <w:rPr>
          <w:rFonts w:ascii="Times New Roman" w:hAnsi="Times New Roman"/>
          <w:sz w:val="20"/>
        </w:rPr>
      </w:pPr>
      <w:r>
        <w:rPr>
          <w:rFonts w:ascii="Times New Roman" w:hAnsi="Times New Roman"/>
          <w:sz w:val="20"/>
        </w:rPr>
        <w:t xml:space="preserve">75009 Paris </w:t>
      </w:r>
    </w:p>
    <w:p>
      <w:pPr>
        <w:pStyle w:val="TextBody"/>
        <w:bidi w:val="0"/>
        <w:spacing w:before="0" w:after="0"/>
        <w:jc w:val="left"/>
        <w:rPr>
          <w:rFonts w:ascii="Times New Roman" w:hAnsi="Times New Roman"/>
          <w:sz w:val="20"/>
        </w:rPr>
      </w:pPr>
      <w:r>
        <w:rPr>
          <w:rFonts w:ascii="Times New Roman" w:hAnsi="Times New Roman"/>
          <w:sz w:val="20"/>
        </w:rPr>
        <w:t xml:space="preserve">France </w:t>
      </w:r>
    </w:p>
    <w:p>
      <w:pPr>
        <w:pStyle w:val="TextBody"/>
        <w:bidi w:val="0"/>
        <w:spacing w:before="36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We are acting as special French counsel to Abivax S.A., a </w:t>
      </w:r>
      <w:r>
        <w:rPr>
          <w:rFonts w:ascii="Times New Roman" w:hAnsi="Times New Roman"/>
          <w:i/>
          <w:sz w:val="20"/>
        </w:rPr>
        <w:t>société</w:t>
      </w:r>
      <w:r>
        <w:rPr>
          <w:rFonts w:ascii="Times New Roman" w:hAnsi="Times New Roman"/>
          <w:sz w:val="20"/>
        </w:rPr>
        <w:t xml:space="preserve"> </w:t>
      </w:r>
      <w:r>
        <w:rPr>
          <w:rFonts w:ascii="Times New Roman" w:hAnsi="Times New Roman"/>
          <w:i/>
          <w:sz w:val="20"/>
        </w:rPr>
        <w:t>anonyme</w:t>
      </w:r>
      <w:r>
        <w:rPr>
          <w:rFonts w:ascii="Times New Roman" w:hAnsi="Times New Roman"/>
          <w:sz w:val="20"/>
        </w:rPr>
        <w:t xml:space="preserve"> organized under the laws of France (the “</w:t>
      </w:r>
      <w:r>
        <w:rPr>
          <w:rFonts w:ascii="Times New Roman" w:hAnsi="Times New Roman"/>
          <w:b/>
          <w:sz w:val="20"/>
        </w:rPr>
        <w:t>Company</w:t>
      </w:r>
      <w:r>
        <w:rPr>
          <w:rFonts w:ascii="Times New Roman" w:hAnsi="Times New Roman"/>
          <w:sz w:val="20"/>
        </w:rPr>
        <w:t>”), in connection with the authorization of the possible issuance and sale from time to time, on a delayed basis, pursuant to Rule 415 under the Securities Act of 1933, as amended (the “</w:t>
      </w:r>
      <w:r>
        <w:rPr>
          <w:rFonts w:ascii="Times New Roman" w:hAnsi="Times New Roman"/>
          <w:b/>
          <w:sz w:val="20"/>
        </w:rPr>
        <w:t>Securities Act</w:t>
      </w:r>
      <w:r>
        <w:rPr>
          <w:rFonts w:ascii="Times New Roman" w:hAnsi="Times New Roman"/>
          <w:sz w:val="20"/>
        </w:rPr>
        <w:t>”), by the Company of (i) ordinary shares of the Company (the “</w:t>
      </w:r>
      <w:r>
        <w:rPr>
          <w:rFonts w:ascii="Times New Roman" w:hAnsi="Times New Roman"/>
          <w:b/>
          <w:sz w:val="20"/>
        </w:rPr>
        <w:t>Ordinary Shares</w:t>
      </w:r>
      <w:r>
        <w:rPr>
          <w:rFonts w:ascii="Times New Roman" w:hAnsi="Times New Roman"/>
          <w:sz w:val="20"/>
        </w:rPr>
        <w:t>”); (ii) American Depositary Shares representing Ordinary Shares (the “</w:t>
      </w:r>
      <w:r>
        <w:rPr>
          <w:rFonts w:ascii="Times New Roman" w:hAnsi="Times New Roman"/>
          <w:b/>
          <w:sz w:val="20"/>
        </w:rPr>
        <w:t>American Depositary Shares</w:t>
      </w:r>
      <w:r>
        <w:rPr>
          <w:rFonts w:ascii="Times New Roman" w:hAnsi="Times New Roman"/>
          <w:sz w:val="20"/>
        </w:rPr>
        <w:t>”); and/or (iii) senior notes convertible into American Depositary Shares (the “</w:t>
      </w:r>
      <w:r>
        <w:rPr>
          <w:rFonts w:ascii="Times New Roman" w:hAnsi="Times New Roman"/>
          <w:b/>
          <w:sz w:val="20"/>
        </w:rPr>
        <w:t>Notes</w:t>
      </w:r>
      <w:r>
        <w:rPr>
          <w:rFonts w:ascii="Times New Roman" w:hAnsi="Times New Roman"/>
          <w:sz w:val="20"/>
        </w:rPr>
        <w:t>”); and/or (iv) warrants to purchase Ordinary Shares (the “</w:t>
      </w:r>
      <w:r>
        <w:rPr>
          <w:rFonts w:ascii="Times New Roman" w:hAnsi="Times New Roman"/>
          <w:b/>
          <w:sz w:val="20"/>
        </w:rPr>
        <w:t>Warrants</w:t>
      </w:r>
      <w:r>
        <w:rPr>
          <w:rFonts w:ascii="Times New Roman" w:hAnsi="Times New Roman"/>
          <w:sz w:val="20"/>
        </w:rPr>
        <w:t>”, and together with the Ordinary Shares, the American Depositary Shares and the Notes, the “</w:t>
      </w:r>
      <w:r>
        <w:rPr>
          <w:rFonts w:ascii="Times New Roman" w:hAnsi="Times New Roman"/>
          <w:b/>
          <w:sz w:val="20"/>
        </w:rPr>
        <w:t>Securities</w:t>
      </w:r>
      <w:r>
        <w:rPr>
          <w:rFonts w:ascii="Times New Roman" w:hAnsi="Times New Roman"/>
          <w:sz w:val="20"/>
        </w:rPr>
        <w:t>”), in each case as contemplated by the Registration Statement on Form F-3ASR as filed by the Company with the United States Securities and Exchange Commission (the “</w:t>
      </w:r>
      <w:r>
        <w:rPr>
          <w:rFonts w:ascii="Times New Roman" w:hAnsi="Times New Roman"/>
          <w:b/>
          <w:sz w:val="20"/>
        </w:rPr>
        <w:t>Commission</w:t>
      </w:r>
      <w:r>
        <w:rPr>
          <w:rFonts w:ascii="Times New Roman" w:hAnsi="Times New Roman"/>
          <w:sz w:val="20"/>
        </w:rPr>
        <w:t>”) to which this opinion (the “</w:t>
      </w:r>
      <w:r>
        <w:rPr>
          <w:rFonts w:ascii="Times New Roman" w:hAnsi="Times New Roman"/>
          <w:b/>
          <w:sz w:val="20"/>
        </w:rPr>
        <w:t>Opinion</w:t>
      </w:r>
      <w:r>
        <w:rPr>
          <w:rFonts w:ascii="Times New Roman" w:hAnsi="Times New Roman"/>
          <w:sz w:val="20"/>
        </w:rPr>
        <w:t>”) is filed as an exhibit (as the same may be amended from time to time, the “</w:t>
      </w:r>
      <w:r>
        <w:rPr>
          <w:rFonts w:ascii="Times New Roman" w:hAnsi="Times New Roman"/>
          <w:b/>
          <w:sz w:val="20"/>
        </w:rPr>
        <w:t>Registration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opinions expressed herein, we have examined and relied on originals or copies, certified or otherwise identified to our satisfaction of such documents, records and such agreements, certificates and receipts of public officials, certificates of officers or other representatives of the Company and others, and such other documents as we have deemed relevant or necessary for purposes of such opinions. Based on the foregoing, and subject to the further limitations, qualifications and assumptions set forth herein, we are of the opinion that: </w:t>
      </w:r>
    </w:p>
    <w:p>
      <w:pPr>
        <w:pStyle w:val="TextBody"/>
        <w:bidi w:val="0"/>
        <w:spacing w:before="240" w:after="0"/>
        <w:jc w:val="left"/>
        <w:rPr>
          <w:rFonts w:ascii="Times New Roman" w:hAnsi="Times New Roman"/>
          <w:sz w:val="20"/>
        </w:rPr>
      </w:pPr>
      <w:r>
        <w:rPr>
          <w:rFonts w:ascii="Times New Roman" w:hAnsi="Times New Roman"/>
          <w:sz w:val="20"/>
        </w:rPr>
        <w:t>1.  The Ordinary Shares, when (a) the extraordinary shareholders’ meeting of the Company, the Board of Directors (</w:t>
      </w:r>
      <w:r>
        <w:rPr>
          <w:rFonts w:ascii="Times New Roman" w:hAnsi="Times New Roman"/>
          <w:i/>
          <w:sz w:val="20"/>
        </w:rPr>
        <w:t>Conseil d’Administration</w:t>
      </w:r>
      <w:r>
        <w:rPr>
          <w:rFonts w:ascii="Times New Roman" w:hAnsi="Times New Roman"/>
          <w:sz w:val="20"/>
        </w:rPr>
        <w:t>) of the Company (the “</w:t>
      </w:r>
      <w:r>
        <w:rPr>
          <w:rFonts w:ascii="Times New Roman" w:hAnsi="Times New Roman"/>
          <w:b/>
          <w:sz w:val="20"/>
        </w:rPr>
        <w:t>Board</w:t>
      </w:r>
      <w:r>
        <w:rPr>
          <w:rFonts w:ascii="Times New Roman" w:hAnsi="Times New Roman"/>
          <w:sz w:val="20"/>
        </w:rPr>
        <w:t>”) and, if applicable, the Chief Executive Officer (</w:t>
      </w:r>
      <w:r>
        <w:rPr>
          <w:rFonts w:ascii="Times New Roman" w:hAnsi="Times New Roman"/>
          <w:i/>
          <w:sz w:val="20"/>
        </w:rPr>
        <w:t>Directeur Général</w:t>
      </w:r>
      <w:r>
        <w:rPr>
          <w:rFonts w:ascii="Times New Roman" w:hAnsi="Times New Roman"/>
          <w:sz w:val="20"/>
        </w:rPr>
        <w:t>), will have taken all necessary corporate action to approve the issuance of, and establish the terms of, the offering of the Ordinary Shares and related matters, and (b) issued, sold and delivered in the manner and for the consideration stated in the applicable definitive purchase, underwriting, placement or similar agreement approved by the Board, as the case may be, upon payment of the consideration provided therein to the Company and issuance of the depositary certificate (</w:t>
      </w:r>
      <w:r>
        <w:rPr>
          <w:rFonts w:ascii="Times New Roman" w:hAnsi="Times New Roman"/>
          <w:i/>
          <w:sz w:val="20"/>
        </w:rPr>
        <w:t>certificat du dépositaire</w:t>
      </w:r>
      <w:r>
        <w:rPr>
          <w:rFonts w:ascii="Times New Roman" w:hAnsi="Times New Roman"/>
          <w:sz w:val="20"/>
        </w:rPr>
        <w:t xml:space="preserve">) in respect thereof,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2.  The American Depositary Shares, when (a) the extraordinary shareholders’ meeting of the Company, the Board and, if applicable, the Chief Executive Officer (</w:t>
      </w:r>
      <w:r>
        <w:rPr>
          <w:rFonts w:ascii="Times New Roman" w:hAnsi="Times New Roman"/>
          <w:i/>
          <w:sz w:val="20"/>
        </w:rPr>
        <w:t>Directeur Général</w:t>
      </w:r>
      <w:r>
        <w:rPr>
          <w:rFonts w:ascii="Times New Roman" w:hAnsi="Times New Roman"/>
          <w:sz w:val="20"/>
        </w:rPr>
        <w:t>), will have taken all necessary corporate action to approve the issuance of, and establish the terms of, the offering of the American Depositary Shares and related matters, and (b) issued, sold and delivered in the manner and for the consideration stated in the applicable definitive purchase, underwriting, placement or similar agreement approved by the Board, as the case may be, upon payment of the consideration provided therein to the Company and issuance of the depositary certificate (</w:t>
      </w:r>
      <w:r>
        <w:rPr>
          <w:rFonts w:ascii="Times New Roman" w:hAnsi="Times New Roman"/>
          <w:i/>
          <w:sz w:val="20"/>
        </w:rPr>
        <w:t>certificat du dépositaire</w:t>
      </w:r>
      <w:r>
        <w:rPr>
          <w:rFonts w:ascii="Times New Roman" w:hAnsi="Times New Roman"/>
          <w:sz w:val="20"/>
        </w:rPr>
        <w:t xml:space="preserve">) in respect thereof,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3.   The Notes, when (a) the extraordinary shareholders’ meeting of the Company, the Board and, if applicable, the Chief Executive Officer (</w:t>
      </w:r>
      <w:r>
        <w:rPr>
          <w:rFonts w:ascii="Times New Roman" w:hAnsi="Times New Roman"/>
          <w:i/>
          <w:sz w:val="20"/>
        </w:rPr>
        <w:t>Directeur Général</w:t>
      </w:r>
      <w:r>
        <w:rPr>
          <w:rFonts w:ascii="Times New Roman" w:hAnsi="Times New Roman"/>
          <w:sz w:val="20"/>
        </w:rPr>
        <w:t xml:space="preserve">), will have taken all necessary corporate action to approve the issuance of, and establish the terms of, the offering of the Notes and related matters, and (b) issued, sold and delivered in the manner and for the consideration stated in the applicable definitive purchase, underwriting, placement or similar agreement approved by the Board, as the case may be, upon payment of the consideration provided therein to the Company, will be validly issued. </w:t>
      </w:r>
    </w:p>
    <w:p>
      <w:pPr>
        <w:pStyle w:val="TextBody"/>
        <w:bidi w:val="0"/>
        <w:spacing w:before="240" w:after="0"/>
        <w:jc w:val="left"/>
        <w:rPr>
          <w:rFonts w:ascii="Times New Roman" w:hAnsi="Times New Roman"/>
          <w:sz w:val="20"/>
        </w:rPr>
      </w:pPr>
      <w:r>
        <w:rPr>
          <w:rFonts w:ascii="Times New Roman" w:hAnsi="Times New Roman"/>
          <w:sz w:val="20"/>
        </w:rPr>
        <w:t>4.  The Warrants, when (a) the extraordinary shareholders’ meeting of the Company, the Board and, if applicable, the Chief Executive Officer (</w:t>
      </w:r>
      <w:r>
        <w:rPr>
          <w:rFonts w:ascii="Times New Roman" w:hAnsi="Times New Roman"/>
          <w:i/>
          <w:sz w:val="20"/>
        </w:rPr>
        <w:t>Directeur Général</w:t>
      </w:r>
      <w:r>
        <w:rPr>
          <w:rFonts w:ascii="Times New Roman" w:hAnsi="Times New Roman"/>
          <w:sz w:val="20"/>
        </w:rPr>
        <w:t xml:space="preserve">), have taken all necessary corporate action to approve the issuance of, and establish the terms of, the offering of the Warrants and related matters, and (b) issued, sold and delivered in the manner and for the consideration stated in the applicable definitive purchase, underwriting, placement or similar agreement approved by the Board, as the case may be, upon payment of the consideration provided therein to the Company, will be validly issued. </w:t>
      </w:r>
    </w:p>
    <w:p>
      <w:pPr>
        <w:pStyle w:val="TextBody"/>
        <w:bidi w:val="0"/>
        <w:spacing w:before="240" w:after="0"/>
        <w:jc w:val="left"/>
        <w:rPr>
          <w:rFonts w:ascii="Times New Roman" w:hAnsi="Times New Roman"/>
          <w:sz w:val="20"/>
        </w:rPr>
      </w:pPr>
      <w:r>
        <w:rPr>
          <w:rFonts w:ascii="Times New Roman" w:hAnsi="Times New Roman"/>
          <w:sz w:val="20"/>
        </w:rPr>
        <w:t xml:space="preserve">The term “non-assessable”, which has no recognized meaning in French law, for the purposes of this Opinion means that no present or future holder of ordinary shares will be subject to personal liability, by reason of being such a holder, for additional payments or calls for further funds by the Company or any other person after the issuance of the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rendering the foregoing Opinion, we have assumed the genuineness of all signatures, the authenticity of all documents submitted to us as original documents, the conformity to original documents of all documents submitted to us as copies, the completeness and accuracy of all such documents as at the date of this Opinion, the legal capacity of natural persons who are signatories to the documents examined by us and the legal power and authority of all persons signing on behalf of the parties to all documents (other than the Company). We have further assumed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and any amendments thereto, will have become effective under the Securities Act (and will remain effective at the time of issuance of any Securities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prospectus supplement describing each class and/or series of Securities offered pursuant to the Registration Statement, to the extent required by applicable law and the relevant rules and regulations of the Commission will be timely filed with the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(iii)</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the resolutions authorizing the Company to issue, offer and sell the Securities as adopted by the extraordinary shareholders’ meeting of the Company, the Board and, if applicable, the Chief Executive Officer (</w:t>
            </w:r>
            <w:r>
              <w:rPr>
                <w:rFonts w:ascii="Times New Roman" w:hAnsi="Times New Roman"/>
                <w:i/>
                <w:sz w:val="20"/>
              </w:rPr>
              <w:t>Directeur Général</w:t>
            </w:r>
            <w:r>
              <w:rPr>
                <w:rFonts w:ascii="Times New Roman" w:hAnsi="Times New Roman"/>
                <w:sz w:val="20"/>
              </w:rPr>
              <w:t xml:space="preserve">), will be in full force and effect at all times at which the Securities are issued, offered or sold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(iv)</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the definitive terms of the Securities will have been established in accordance with the authorizing resolutions adopted by the ordinary and extraordinary shareholders’ meeting of the Company, the Board and, if applicable, the Chief Executive Officer (</w:t>
            </w:r>
            <w:r>
              <w:rPr>
                <w:rFonts w:ascii="Times New Roman" w:hAnsi="Times New Roman"/>
                <w:i/>
                <w:sz w:val="20"/>
              </w:rPr>
              <w:t>Directeur Général</w:t>
            </w:r>
            <w:r>
              <w:rPr>
                <w:rFonts w:ascii="Times New Roman" w:hAnsi="Times New Roman"/>
                <w:sz w:val="20"/>
              </w:rPr>
              <w:t xml:space="preserve">), the Company’s By-laws and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(v)</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issue and deliver the Securities in the manner contemplated in the Registration Statement and the amount of Securities issued will remain within the limits of the then authorized but unissued amounts of such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(vi)</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Securities will be issued in compliance with applicable securities and corporate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(vii)</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 agreement, indenture, purchase contract agreement or similar agreement will constitute the legal, valid and binding obligations of each of the parties thereto, enforceable against each such party in accordance with its terms under any applicable laws and, in any jurisdiction where any such obligation falls to be performed, and such performance will not be illegal or ineffective by virtue of the laws or doctrines of public policy of that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(viii)</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required authorizations of any kind (including corporate, legal, regulatory, governmental, contractual, etc.), will have been validly and unconditionally obtained by any appropriate means by each signatory to any deposit agreement, indenture, purchase contract agreement or similar agreement, and remain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(ix)</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all formalities, deeds, acts, and procedures required under any applicable laws (excluding, in respect of the Company only, the laws of France, but subject to the other assumptions set out herein) in order to ensure the validity between the parties and enforceability (</w:t>
            </w:r>
            <w:r>
              <w:rPr>
                <w:rFonts w:ascii="Times New Roman" w:hAnsi="Times New Roman"/>
                <w:i/>
                <w:sz w:val="20"/>
              </w:rPr>
              <w:t>opposabilité</w:t>
            </w:r>
            <w:r>
              <w:rPr>
                <w:rFonts w:ascii="Times New Roman" w:hAnsi="Times New Roman"/>
                <w:sz w:val="20"/>
              </w:rPr>
              <w:t xml:space="preserve">) of any deposit agreement, indenture, purchase contract agreement or similar agreement, will have been duly carried out and performed, except where no such formalities, deeds, acts, or procedures are required to this effect under said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(x)</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no oral modification of, or amendment or supplement (including any express or implied waiver, however arising) to, any of the agreements, documents or instruments used by us to form the basis of the Opinion expressed above, and that such documents are in full force and effect at all times at which the Securities are issued, offered, or sold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(xi)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electronic process used to establish, sign, keep and make available to the parties to any deposit agreement, indenture, purchase contract agreement or similar agreement, and any transfer document from time to time, will comply with the conditions required for such documents to produce the same effects and have the same value as a matter of proof as if they had been established, signed, kept and made available in hard copy, as provided for by articles 1366 and 1367 of the French Civil Code (and the related decree) and the last paragraph of article 1375 of the French Civil Code;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(xii)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board meetings and shareholders’ meeting authorizing the Company to issue, offer and sell the Securities were duly convened and held, the required quorums were, in each event, duly satisfied, and the directors were duly appointed and were validly exercising their term of office in accordance with the constitutive documents of the Company and all laws applicable to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(xiii)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no decision, proceedings, filing or request relating to any proceedings set out in Book VI of the French Commercial Code (</w:t>
            </w:r>
            <w:r>
              <w:rPr>
                <w:rFonts w:ascii="Times New Roman" w:hAnsi="Times New Roman"/>
                <w:i/>
                <w:sz w:val="20"/>
              </w:rPr>
              <w:t>Livre VI du Code de commerce</w:t>
            </w:r>
            <w:r>
              <w:rPr>
                <w:rFonts w:ascii="Times New Roman" w:hAnsi="Times New Roman"/>
                <w:sz w:val="20"/>
              </w:rPr>
              <w:t>) has been taken, initiated or filed against the Company, and the Company is not insolvent or unable to meet its liabilities either immediately or in the near future (</w:t>
            </w:r>
            <w:r>
              <w:rPr>
                <w:rFonts w:ascii="Times New Roman" w:hAnsi="Times New Roman"/>
                <w:i/>
                <w:sz w:val="20"/>
              </w:rPr>
              <w:t>en état de cessation des paiements</w:t>
            </w:r>
            <w:r>
              <w:rPr>
                <w:rFonts w:ascii="Times New Roman" w:hAnsi="Times New Roman"/>
                <w:sz w:val="20"/>
              </w:rPr>
              <w:t xml:space="preserve">) within the meaning of articles L. 620-1 to L. 670-8 of the French Commercial Code or any applicable insolvency law, and the Company will not become unable to do so as a result of entering into and performing its obligations under any deposit agreement, indenture, purchase contract agreement or similar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(xiv)</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corporate bodies of the Company and each of the persons holding a </w:t>
            </w:r>
            <w:r>
              <w:rPr>
                <w:rFonts w:ascii="Times New Roman" w:hAnsi="Times New Roman"/>
                <w:i/>
                <w:sz w:val="20"/>
              </w:rPr>
              <w:t>mandat social</w:t>
            </w:r>
            <w:r>
              <w:rPr>
                <w:rFonts w:ascii="Times New Roman" w:hAnsi="Times New Roman"/>
                <w:sz w:val="20"/>
              </w:rPr>
              <w:t xml:space="preserve"> (corporate management mandate) within the Company holds its position or mandate in each case in compliance with all applicable laws; all consents, formalities, or licenses for the performance of their roles have been obtained and are being complied with; the corporate resolutions pursuant to which each of the persons holding a </w:t>
            </w:r>
            <w:r>
              <w:rPr>
                <w:rFonts w:ascii="Times New Roman" w:hAnsi="Times New Roman"/>
                <w:i/>
                <w:sz w:val="20"/>
              </w:rPr>
              <w:t>mandat social</w:t>
            </w:r>
            <w:r>
              <w:rPr>
                <w:rFonts w:ascii="Times New Roman" w:hAnsi="Times New Roman"/>
                <w:sz w:val="20"/>
              </w:rPr>
              <w:t xml:space="preserve"> (corporate management mandate) was appointed have not been amended or revoked, and such corporate resolutions are in full force and effect as at the date hereof and, where applicable, were validly adopted by the competent corporate bodies of the Company (or legal entity holding a </w:t>
            </w:r>
            <w:r>
              <w:rPr>
                <w:rFonts w:ascii="Times New Roman" w:hAnsi="Times New Roman"/>
                <w:i/>
                <w:sz w:val="20"/>
              </w:rPr>
              <w:t>mandat social</w:t>
            </w:r>
            <w:r>
              <w:rPr>
                <w:rFonts w:ascii="Times New Roman" w:hAnsi="Times New Roman"/>
                <w:sz w:val="20"/>
              </w:rPr>
              <w:t xml:space="preserve"> (corporate management mandate) within the Company) convened, composed, held, or taken (as the case may be) in accordance with then-applicable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Opinion is furnished to you in connection with the legal matters enumerated above, speaks only as of the date hereof, and is limited to the laws of France as in effect on the date hereof as currently construed by the French </w:t>
      </w:r>
      <w:r>
        <w:rPr>
          <w:rFonts w:ascii="Times New Roman" w:hAnsi="Times New Roman"/>
          <w:i/>
          <w:sz w:val="20"/>
        </w:rPr>
        <w:t>Conseil Constitutionnel</w:t>
      </w:r>
      <w:r>
        <w:rPr>
          <w:rFonts w:ascii="Times New Roman" w:hAnsi="Times New Roman"/>
          <w:sz w:val="20"/>
        </w:rPr>
        <w:t xml:space="preserve">, </w:t>
      </w:r>
      <w:r>
        <w:rPr>
          <w:rFonts w:ascii="Times New Roman" w:hAnsi="Times New Roman"/>
          <w:i/>
          <w:sz w:val="20"/>
        </w:rPr>
        <w:t>Cour de Cassation</w:t>
      </w:r>
      <w:r>
        <w:rPr>
          <w:rFonts w:ascii="Times New Roman" w:hAnsi="Times New Roman"/>
          <w:sz w:val="20"/>
        </w:rPr>
        <w:t xml:space="preserve">, and </w:t>
      </w:r>
      <w:r>
        <w:rPr>
          <w:rFonts w:ascii="Times New Roman" w:hAnsi="Times New Roman"/>
          <w:i/>
          <w:sz w:val="20"/>
        </w:rPr>
        <w:t>Conseil d’État</w:t>
      </w:r>
      <w:r>
        <w:rPr>
          <w:rFonts w:ascii="Times New Roman" w:hAnsi="Times New Roman"/>
          <w:sz w:val="20"/>
        </w:rPr>
        <w:t xml:space="preserve"> in their decisions as published in major legal journals. We do not express any opinion as to any laws other than French laws as in effect on the date hereof. The Opinion is given as to matters of French law only and has been prepared without considering the implications of any laws of any jurisdiction (including those jurisdictions in which our firm has an office or correspondent) other than the French Republic. We express no opinion as to matters of fact. We did not establish or verify the accuracy of facts or the reasonableness of any statement or intention contained in the Registration Statement, or verify that no substantial fact or contractual stipulation has been omitted from the Registration Statement. This Opinion is strictly confined to the specific matters of French law expressly stated herein (as qualified by the qualifications and subject to the assumptions set forth in this matter), is not to be read as extending by implication to any other matter in connection with the Registration Statement, and should not be treated as detailed and comprehensive legal advice pertaining to any legal or tax matter in connection with the Registration Statement. In particular, but without limiting the generality of the foregoing, we express no opinion as to tax matters. We have not undertaken to inform you of any subsequent changes in French law, in the legal status of the Company, or any other fact that hereafter may come to our attention and would be likely to affect the matters evoked herein, and shall have no duty in this respect.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above is subject to the following 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(i)</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is subject to the effect of any laws or regulations relating to bankruptcy, insolvency, moratorium, </w:t>
            </w:r>
            <w:r>
              <w:rPr>
                <w:rFonts w:ascii="Times New Roman" w:hAnsi="Times New Roman"/>
                <w:i/>
                <w:sz w:val="20"/>
              </w:rPr>
              <w:t>ad hoc</w:t>
            </w:r>
            <w:r>
              <w:rPr>
                <w:rFonts w:ascii="Times New Roman" w:hAnsi="Times New Roman"/>
                <w:sz w:val="20"/>
              </w:rPr>
              <w:t xml:space="preserve"> mandate (</w:t>
            </w:r>
            <w:r>
              <w:rPr>
                <w:rFonts w:ascii="Times New Roman" w:hAnsi="Times New Roman"/>
                <w:i/>
                <w:sz w:val="20"/>
              </w:rPr>
              <w:t>mandat ad hoc</w:t>
            </w:r>
            <w:r>
              <w:rPr>
                <w:rFonts w:ascii="Times New Roman" w:hAnsi="Times New Roman"/>
                <w:sz w:val="20"/>
              </w:rPr>
              <w:t>), conciliation, accelerated judicial safeguard (</w:t>
            </w:r>
            <w:r>
              <w:rPr>
                <w:rFonts w:ascii="Times New Roman" w:hAnsi="Times New Roman"/>
                <w:i/>
                <w:sz w:val="20"/>
              </w:rPr>
              <w:t>procédure de sauvegarde accélérée</w:t>
            </w:r>
            <w:r>
              <w:rPr>
                <w:rFonts w:ascii="Times New Roman" w:hAnsi="Times New Roman"/>
                <w:sz w:val="20"/>
              </w:rPr>
              <w:t>), judicial recovery proceedings (</w:t>
            </w:r>
            <w:r>
              <w:rPr>
                <w:rFonts w:ascii="Times New Roman" w:hAnsi="Times New Roman"/>
                <w:i/>
                <w:sz w:val="20"/>
              </w:rPr>
              <w:t>redressement judiciaire</w:t>
            </w:r>
            <w:r>
              <w:rPr>
                <w:rFonts w:ascii="Times New Roman" w:hAnsi="Times New Roman"/>
                <w:sz w:val="20"/>
              </w:rPr>
              <w:t>) or judicial liquidation proceedings (</w:t>
            </w:r>
            <w:r>
              <w:rPr>
                <w:rFonts w:ascii="Times New Roman" w:hAnsi="Times New Roman"/>
                <w:i/>
                <w:sz w:val="20"/>
              </w:rPr>
              <w:t>liquidation judiciaire</w:t>
            </w:r>
            <w:r>
              <w:rPr>
                <w:rFonts w:ascii="Times New Roman" w:hAnsi="Times New Roman"/>
                <w:sz w:val="20"/>
              </w:rPr>
              <w:t>), winding-up, or any other analogous proceedings or circumstances and, as a general rule, subject to the effect of any laws or regulations amending and/or protecting the creditors’ rights. In particular, we do not express any opinion herein as to the enforceability and effectiveness of rights, obligations or recourses of any party to the documents examined by us in the event where one of the proceedings set out in Book VI of the French Commercial code (</w:t>
            </w:r>
            <w:r>
              <w:rPr>
                <w:rFonts w:ascii="Times New Roman" w:hAnsi="Times New Roman"/>
                <w:i/>
                <w:sz w:val="20"/>
              </w:rPr>
              <w:t>Livre VI du Code de commerce</w:t>
            </w:r>
            <w:r>
              <w:rPr>
                <w:rFonts w:ascii="Times New Roman" w:hAnsi="Times New Roman"/>
                <w:sz w:val="20"/>
              </w:rPr>
              <w:t xml:space="preserve">) would be initiated, or any other similar proceedings would be initiated in a foreign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(ii)</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is subject to French courts’ sovereign powers of interpretation of agreements (to find out the original intention of the parties when it has not been clearly stated) and appreciation of facts.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provisions of article 61-1 of the French Constitution, any person may, in connection with a proceeding pending before a court, argue that a law violates the rights and freedoms guaranteed by the Constitution. A provision declared unconstitutional on that basis would be repealed from the publication of the decision of the </w:t>
            </w:r>
            <w:r>
              <w:rPr>
                <w:rFonts w:ascii="Times New Roman" w:hAnsi="Times New Roman"/>
                <w:i/>
                <w:sz w:val="20"/>
              </w:rPr>
              <w:t xml:space="preserve">Conseil Constitutionnel </w:t>
            </w:r>
            <w:r>
              <w:rPr>
                <w:rFonts w:ascii="Times New Roman" w:hAnsi="Times New Roman"/>
                <w:sz w:val="20"/>
              </w:rPr>
              <w:t xml:space="preserve">or a later date fixed by the relevant decision.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left"/>
              <w:rPr/>
            </w:pPr>
            <w:r>
              <w:rPr/>
              <w:t> </w:t>
            </w:r>
          </w:p>
        </w:tc>
        <w:tc>
          <w:tcPr>
            <w:tcW w:w="9700" w:type="dxa"/>
            <w:tcBorders/>
          </w:tcPr>
          <w:p>
            <w:pPr>
              <w:pStyle w:val="TableContents"/>
              <w:bidi w:val="0"/>
              <w:spacing w:before="0" w:after="283"/>
              <w:jc w:val="left"/>
              <w:rPr/>
            </w:pPr>
            <w:r>
              <w:rPr/>
              <w:t xml:space="preserve">The </w:t>
            </w:r>
            <w:r>
              <w:rPr>
                <w:i/>
              </w:rPr>
              <w:t xml:space="preserve">Conseil Constitutionnel </w:t>
            </w:r>
            <w:r>
              <w:rPr/>
              <w:t xml:space="preserve">determines the conditions and limits within which the effects that the provision has produced are likely to be challenged. We express no opinion as to the conformity of any provisions of any law with the French Constitution or as to the impact of the unconstitutionality of any provision of any law on the documents examined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(iv)</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French courts are not bound by their previous judicial decisions or those of other courts, the case law may vary over time and, in some cases, result from </w:t>
            </w:r>
            <w:r>
              <w:rPr>
                <w:rFonts w:ascii="Times New Roman" w:hAnsi="Times New Roman"/>
                <w:i/>
                <w:sz w:val="20"/>
              </w:rPr>
              <w:t xml:space="preserve">ad hoc </w:t>
            </w:r>
            <w:r>
              <w:rPr>
                <w:rFonts w:ascii="Times New Roman" w:hAnsi="Times New Roman"/>
                <w:sz w:val="20"/>
              </w:rPr>
              <w:t xml:space="preserve">decisions.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to facts material to the opinions and assumptions expressed herein, we have relied upon written statements and representations of officers and other representatives of the Company. This Opinion is subject to the sovereign power of the French courts to interpret the facts and circumstances of any adjudication. This Opinion is given on the basis that it is to be governed by, and construed in accordance with, the laws of the Republic of France.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addressed to you solely for your benefit in connection with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It is not to be transmitted to anyone else nor is it to be relied upon by anyone else or for any other purpose or quoted or referred to in any public document (other than the Registration Statement) or filed with anyone without our prior written express consent.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Exhibit 5.1 to the Registration Statement and to the reference to Orrick Herrington &amp; Sutcliffe (Europe) LLP under the caption “Legal Matters” in the prospectus constituting a part of such Registration Statement. In giving such consent, we do not thereby admit that we are included in the category of persons whose consent is required under Section 7 of the Securities Act of 1933, as amended, or the rules and regulations of the U.S. Securities and Exchange Commission promulgated thereunder and we assume no duty or liability whatsoever to, and do not accept any client-attorney relationship with, any person or entity, other than the Company.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Orrick Herrington &amp; Sutcliffe (Europe)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left"/>
        <w:rPr/>
      </w:pPr>
      <w:bookmarkStart w:id="28" w:name="d86113dex52.htm"/>
      <w:bookmarkStart w:id="29" w:name="ksd86113dex52"/>
      <w:bookmarkEnd w:id="28"/>
      <w:bookmarkEnd w:id="29"/>
      <w:r>
        <w:rPr/>
        <w:drawing>
          <wp:inline distT="0" distB="0" distL="0" distR="0">
            <wp:extent cx="1205230" cy="4362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1205230" cy="436245"/>
                    </a:xfrm>
                    <a:prstGeom prst="rect">
                      <a:avLst/>
                    </a:prstGeom>
                  </pic:spPr>
                </pic:pic>
              </a:graphicData>
            </a:graphic>
          </wp:inline>
        </w:drawing>
      </w:r>
      <w:r>
        <w:rPr/>
        <w:t xml:space="preserve">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0"/>
        <w:gridCol w:w="123"/>
        <w:gridCol w:w="4792"/>
      </w:tblGrid>
      <w:tr>
        <w:trPr/>
        <w:tc>
          <w:tcPr>
            <w:tcW w:w="529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792" w:type="dxa"/>
            <w:tcBorders/>
            <w:vAlign w:val="center"/>
          </w:tcPr>
          <w:p>
            <w:pPr>
              <w:pStyle w:val="TableContents"/>
              <w:bidi w:val="0"/>
              <w:spacing w:before="0" w:after="283"/>
              <w:jc w:val="left"/>
              <w:rPr>
                <w:sz w:val="4"/>
                <w:szCs w:val="4"/>
              </w:rPr>
            </w:pPr>
            <w:r>
              <w:rPr>
                <w:sz w:val="4"/>
                <w:szCs w:val="4"/>
              </w:rPr>
            </w:r>
          </w:p>
        </w:tc>
      </w:tr>
      <w:tr>
        <w:trPr/>
        <w:tc>
          <w:tcPr>
            <w:tcW w:w="5290" w:type="dxa"/>
            <w:tcBorders/>
          </w:tcPr>
          <w:p>
            <w:pPr>
              <w:pStyle w:val="TableContents"/>
              <w:bidi w:val="0"/>
              <w:spacing w:before="0" w:after="0"/>
              <w:jc w:val="left"/>
              <w:rPr>
                <w:rFonts w:ascii="Times New Roman" w:hAnsi="Times New Roman"/>
                <w:sz w:val="20"/>
              </w:rPr>
            </w:pPr>
            <w:r>
              <w:rPr>
                <w:rFonts w:ascii="Times New Roman" w:hAnsi="Times New Roman"/>
                <w:sz w:val="20"/>
              </w:rPr>
              <w:t>Divakar Gupta</w:t>
            </w:r>
          </w:p>
          <w:p>
            <w:pPr>
              <w:pStyle w:val="TableContents"/>
              <w:bidi w:val="0"/>
              <w:spacing w:before="0" w:after="0"/>
              <w:jc w:val="left"/>
              <w:rPr>
                <w:rFonts w:ascii="Times New Roman" w:hAnsi="Times New Roman"/>
                <w:sz w:val="20"/>
              </w:rPr>
            </w:pPr>
            <w:r>
              <w:rPr>
                <w:rFonts w:ascii="Times New Roman" w:hAnsi="Times New Roman"/>
                <w:sz w:val="20"/>
              </w:rPr>
              <w:t>+1 212 479-6474</w:t>
            </w:r>
          </w:p>
          <w:p>
            <w:pPr>
              <w:pStyle w:val="TableContents"/>
              <w:bidi w:val="0"/>
              <w:spacing w:before="0" w:after="20"/>
              <w:jc w:val="left"/>
              <w:rPr>
                <w:rFonts w:ascii="Times New Roman" w:hAnsi="Times New Roman"/>
                <w:sz w:val="20"/>
              </w:rPr>
            </w:pPr>
            <w:r>
              <w:rPr>
                <w:rFonts w:ascii="Times New Roman" w:hAnsi="Times New Roman"/>
                <w:sz w:val="20"/>
              </w:rPr>
              <w:t>dgupta@cooley.com</w:t>
            </w:r>
          </w:p>
        </w:tc>
        <w:tc>
          <w:tcPr>
            <w:tcW w:w="123" w:type="dxa"/>
            <w:tcBorders/>
            <w:vAlign w:val="bottom"/>
          </w:tcPr>
          <w:p>
            <w:pPr>
              <w:pStyle w:val="TableContents"/>
              <w:bidi w:val="0"/>
              <w:spacing w:before="0" w:after="283"/>
              <w:jc w:val="left"/>
              <w:rPr/>
            </w:pPr>
            <w:r>
              <w:rPr/>
              <w:t>  </w:t>
            </w:r>
          </w:p>
        </w:tc>
        <w:tc>
          <w:tcPr>
            <w:tcW w:w="4792" w:type="dxa"/>
            <w:tcBorders/>
          </w:tcPr>
          <w:p>
            <w:pPr>
              <w:pStyle w:val="TableContents"/>
              <w:bidi w:val="0"/>
              <w:spacing w:before="0" w:after="283"/>
              <w:jc w:val="right"/>
              <w:rPr>
                <w:b/>
              </w:rPr>
            </w:pPr>
            <w:r>
              <w:rPr>
                <w:b/>
              </w:rPr>
              <w:t>Exhibit 5.2</w:t>
            </w:r>
          </w:p>
        </w:tc>
      </w:tr>
    </w:tbl>
    <w:p>
      <w:pPr>
        <w:pStyle w:val="TextBody"/>
        <w:bidi w:val="0"/>
        <w:spacing w:before="240" w:after="0"/>
        <w:jc w:val="left"/>
        <w:rPr>
          <w:rFonts w:ascii="Times New Roman" w:hAnsi="Times New Roman"/>
          <w:sz w:val="20"/>
        </w:rPr>
      </w:pPr>
      <w:r>
        <w:rPr>
          <w:rFonts w:ascii="Times New Roman" w:hAnsi="Times New Roman"/>
          <w:sz w:val="20"/>
        </w:rPr>
        <w:t xml:space="preserve">June 30, 2026 </w:t>
      </w:r>
    </w:p>
    <w:p>
      <w:pPr>
        <w:pStyle w:val="TextBody"/>
        <w:bidi w:val="0"/>
        <w:spacing w:before="240" w:after="0"/>
        <w:jc w:val="left"/>
        <w:rPr>
          <w:rFonts w:ascii="Times New Roman" w:hAnsi="Times New Roman"/>
          <w:sz w:val="20"/>
        </w:rPr>
      </w:pPr>
      <w:r>
        <w:rPr>
          <w:rFonts w:ascii="Times New Roman" w:hAnsi="Times New Roman"/>
          <w:sz w:val="20"/>
        </w:rPr>
        <w:t xml:space="preserve">Abivax SA </w:t>
      </w:r>
    </w:p>
    <w:p>
      <w:pPr>
        <w:pStyle w:val="TextBody"/>
        <w:bidi w:val="0"/>
        <w:spacing w:before="0" w:after="0"/>
        <w:jc w:val="left"/>
        <w:rPr>
          <w:rFonts w:ascii="Times New Roman" w:hAnsi="Times New Roman"/>
          <w:sz w:val="20"/>
        </w:rPr>
      </w:pPr>
      <w:r>
        <w:rPr>
          <w:rFonts w:ascii="Times New Roman" w:hAnsi="Times New Roman"/>
          <w:sz w:val="20"/>
        </w:rPr>
        <w:t xml:space="preserve">7-11 boulevard Haussmann </w:t>
      </w:r>
    </w:p>
    <w:p>
      <w:pPr>
        <w:pStyle w:val="TextBody"/>
        <w:bidi w:val="0"/>
        <w:spacing w:before="0" w:after="0"/>
        <w:jc w:val="left"/>
        <w:rPr>
          <w:rFonts w:ascii="Times New Roman" w:hAnsi="Times New Roman"/>
          <w:sz w:val="20"/>
        </w:rPr>
      </w:pPr>
      <w:r>
        <w:rPr>
          <w:rFonts w:ascii="Times New Roman" w:hAnsi="Times New Roman"/>
          <w:sz w:val="20"/>
        </w:rPr>
        <w:t xml:space="preserve">75009 Paris, France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special U.S. counsel to Abivax SA, a </w:t>
      </w:r>
      <w:r>
        <w:rPr>
          <w:rFonts w:ascii="Times New Roman" w:hAnsi="Times New Roman"/>
          <w:i/>
          <w:sz w:val="20"/>
        </w:rPr>
        <w:t>société</w:t>
      </w:r>
      <w:r>
        <w:rPr>
          <w:rFonts w:ascii="Times New Roman" w:hAnsi="Times New Roman"/>
          <w:sz w:val="20"/>
        </w:rPr>
        <w:t xml:space="preserve"> </w:t>
      </w:r>
      <w:r>
        <w:rPr>
          <w:rFonts w:ascii="Times New Roman" w:hAnsi="Times New Roman"/>
          <w:i/>
          <w:sz w:val="20"/>
        </w:rPr>
        <w:t xml:space="preserve">anonyme </w:t>
      </w:r>
      <w:r>
        <w:rPr>
          <w:rFonts w:ascii="Times New Roman" w:hAnsi="Times New Roman"/>
          <w:sz w:val="20"/>
        </w:rPr>
        <w:t>incorporated under the laws of the French Republic (the “</w:t>
      </w:r>
      <w:r>
        <w:rPr>
          <w:rFonts w:ascii="Times New Roman" w:hAnsi="Times New Roman"/>
          <w:b/>
          <w:i/>
          <w:sz w:val="20"/>
        </w:rPr>
        <w:t>Company</w:t>
      </w:r>
      <w:r>
        <w:rPr>
          <w:rFonts w:ascii="Times New Roman" w:hAnsi="Times New Roman"/>
          <w:sz w:val="20"/>
        </w:rPr>
        <w:t>”), in connection with the filing by the Company of a Registration Statement on Form F-3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The Registration Statement includes a prospectus (the “</w:t>
      </w:r>
      <w:r>
        <w:rPr>
          <w:rFonts w:ascii="Times New Roman" w:hAnsi="Times New Roman"/>
          <w:b/>
          <w:i/>
          <w:sz w:val="20"/>
        </w:rPr>
        <w:t>Base Prospectus</w:t>
      </w:r>
      <w:r>
        <w:rPr>
          <w:rFonts w:ascii="Times New Roman" w:hAnsi="Times New Roman"/>
          <w:sz w:val="20"/>
        </w:rPr>
        <w:t>”) that provides it will be supplemented in the future by one or more prospectus supplements (each, a “</w:t>
      </w:r>
      <w:r>
        <w:rPr>
          <w:rFonts w:ascii="Times New Roman" w:hAnsi="Times New Roman"/>
          <w:b/>
          <w:i/>
          <w:sz w:val="20"/>
        </w:rPr>
        <w:t>Prospectus Supplement</w:t>
      </w:r>
      <w:r>
        <w:rPr>
          <w:rFonts w:ascii="Times New Roman" w:hAnsi="Times New Roman"/>
          <w:sz w:val="20"/>
        </w:rPr>
        <w:t xml:space="preserve">”). The Registration Statement including the Base Prospectus (as supplemented from time to time by one or more Prospectus Supplements), will provide for the registration by the Company of the sale of the following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ordinary shares, nominal value 0.01 per share (the “</w:t>
            </w:r>
            <w:r>
              <w:rPr>
                <w:rFonts w:ascii="Times New Roman" w:hAnsi="Times New Roman"/>
                <w:b/>
                <w:i/>
                <w:sz w:val="20"/>
              </w:rPr>
              <w:t>Ordinary Shares</w:t>
            </w:r>
            <w:r>
              <w:rPr>
                <w:rFonts w:ascii="Times New Roman" w:hAnsi="Times New Roman"/>
                <w:sz w:val="20"/>
              </w:rPr>
              <w:t>”), including Ordinary Shares represented by American Depositary Shares (the “</w:t>
            </w:r>
            <w:r>
              <w:rPr>
                <w:rFonts w:ascii="Times New Roman" w:hAnsi="Times New Roman"/>
                <w:b/>
                <w:i/>
                <w:sz w:val="20"/>
              </w:rPr>
              <w:t>ADSs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debt securities, in one or more series (the “</w:t>
            </w:r>
            <w:r>
              <w:rPr>
                <w:rFonts w:ascii="Times New Roman" w:hAnsi="Times New Roman"/>
                <w:b/>
                <w:i/>
                <w:sz w:val="20"/>
              </w:rPr>
              <w:t>Debt Securities</w:t>
            </w:r>
            <w:r>
              <w:rPr>
                <w:rFonts w:ascii="Times New Roman" w:hAnsi="Times New Roman"/>
                <w:sz w:val="20"/>
              </w:rPr>
              <w:t>”), which may be issued pursuant to an indenture to be dated on or about the date of the first issuance of Debt Securities thereunder, by and between a trustee to be selected by the Company (the “</w:t>
            </w:r>
            <w:r>
              <w:rPr>
                <w:rFonts w:ascii="Times New Roman" w:hAnsi="Times New Roman"/>
                <w:b/>
                <w:i/>
                <w:sz w:val="20"/>
              </w:rPr>
              <w:t>Trustee</w:t>
            </w:r>
            <w:r>
              <w:rPr>
                <w:rFonts w:ascii="Times New Roman" w:hAnsi="Times New Roman"/>
                <w:sz w:val="20"/>
              </w:rPr>
              <w:t>”) and the Company in the form filed as Exhibit 4.4 to the Registration Statement and one or more indentures supplemental thereto with respect to any particular series of Debt Securities (the “</w:t>
            </w:r>
            <w:r>
              <w:rPr>
                <w:rFonts w:ascii="Times New Roman" w:hAnsi="Times New Roman"/>
                <w:b/>
                <w:i/>
                <w:sz w:val="20"/>
              </w:rPr>
              <w:t>Indenture</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warrants to purchase Ordinary Shares, ADSs, or Debt Securities (the “</w:t>
            </w:r>
            <w:r>
              <w:rPr>
                <w:rFonts w:ascii="Times New Roman" w:hAnsi="Times New Roman"/>
                <w:b/>
                <w:i/>
                <w:sz w:val="20"/>
              </w:rPr>
              <w:t>Warrants</w:t>
            </w:r>
            <w:r>
              <w:rPr>
                <w:rFonts w:ascii="Times New Roman" w:hAnsi="Times New Roman"/>
                <w:sz w:val="20"/>
              </w:rPr>
              <w:t>”), which may be issued under any separate warrant agreement to be entered into between the Company and one or more purchasers of such warrants (the “</w:t>
            </w:r>
            <w:r>
              <w:rPr>
                <w:rFonts w:ascii="Times New Roman" w:hAnsi="Times New Roman"/>
                <w:b/>
                <w:i/>
                <w:sz w:val="20"/>
              </w:rPr>
              <w:t>Warrant 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The Ordinary Shares, the Debt Securities and the Warrants are collectively referred to herein as the “</w:t>
      </w:r>
      <w:r>
        <w:rPr>
          <w:rFonts w:ascii="Times New Roman" w:hAnsi="Times New Roman"/>
          <w:b/>
          <w:i/>
          <w:sz w:val="20"/>
        </w:rPr>
        <w:t>Securities</w:t>
      </w:r>
      <w:r>
        <w:rPr>
          <w:rFonts w:ascii="Times New Roman" w:hAnsi="Times New Roman"/>
          <w:sz w:val="20"/>
        </w:rPr>
        <w:t xml:space="preserve">.” The Securities are being registered for offer and sale from time to time pursuant to Rule 415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this opinion, we have examined and relied upon the Registration Statement, the Base Prospectus and such other records, documents, certificates, opinions,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As to certain factual matters, we have relied upon a certificate of an officer of the Company and have not independently verified such matters. We are not hereby rendering any opinion with respect to any Ordinary Shares issuable upon the conversion or exercise, as applicable, of any Debt Securities or any Warrants.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552575" cy="561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8"/>
                    <a:stretch>
                      <a:fillRect/>
                    </a:stretch>
                  </pic:blipFill>
                  <pic:spPr bwMode="auto">
                    <a:xfrm>
                      <a:off x="0" y="0"/>
                      <a:ext cx="1552575" cy="561975"/>
                    </a:xfrm>
                    <a:prstGeom prst="rect">
                      <a:avLst/>
                    </a:prstGeom>
                  </pic:spPr>
                </pic:pic>
              </a:graphicData>
            </a:graphic>
          </wp:inline>
        </w:drawing>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Abivax SA </w:t>
      </w:r>
    </w:p>
    <w:p>
      <w:pPr>
        <w:pStyle w:val="TextBody"/>
        <w:bidi w:val="0"/>
        <w:spacing w:before="0" w:after="0"/>
        <w:jc w:val="left"/>
        <w:rPr>
          <w:rFonts w:ascii="Times New Roman" w:hAnsi="Times New Roman"/>
          <w:sz w:val="20"/>
        </w:rPr>
      </w:pPr>
      <w:r>
        <w:rPr>
          <w:rFonts w:ascii="Times New Roman" w:hAnsi="Times New Roman"/>
          <w:sz w:val="20"/>
        </w:rPr>
        <w:t xml:space="preserve">June 30,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have assumed that (i) the Company is validly existing under the laws of the French Republic, has the corporate power to enter into and perform its obligations under the Debt Securities, the Indenture and the Warrants in accordance with their terms, (ii) upon issuance, the Company will have duly authorized, executed and delivered the Debt Securities, the Indenture and the Warrants in accordance with its organizational documents and the laws of the French Republic, (iii) any Ordinary Shares issued upon conversion of the Debt Securities, or upon exercise of Warrants will be duly authorized, validly issued, fully paid and nonassessable, and (iv) the execution and delivery, and performance by the Company of its obligations under the Debt Securities, the Indenture and the Warrants will not violate the laws of the French Republic or any other applicable laws (excepting from such assumption the laws of the State of New York). We have also assumed that any Debt Securities offered under the Registration Statement and the related Indenture will be executed in the forms filed as exhibits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Our opinion herein is expressed solely with respect to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in reliance thereon, and subject to the assumptions, qualifications, limitations and exceptions set forth herein, we are of the opinion that: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With respect to any series of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has been duly executed and delivered by the Company and the Trustee and has been qualified under the Trust Indenture Act of 1939, as amended; (iv) the terms of the Debt Securities and their issuance and sale, including as to any Ordinary Shares to be issued on the conversion thereof, have been duly authorized by the Company by all necessary corporate action and the Indenture has been qualified under the Trust Indenture Act of 1939, as amended;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Company’s then operative articles of association (the “</w:t>
      </w:r>
      <w:r>
        <w:rPr>
          <w:rFonts w:ascii="Times New Roman" w:hAnsi="Times New Roman"/>
          <w:b/>
          <w:i/>
          <w:sz w:val="20"/>
        </w:rPr>
        <w:t>Articles of Association</w:t>
      </w:r>
      <w:r>
        <w:rPr>
          <w:rFonts w:ascii="Times New Roman" w:hAnsi="Times New Roman"/>
          <w:sz w:val="20"/>
        </w:rPr>
        <w:t xml:space="preserve">”),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With respect to the Warrants issued under a Warrant Agreement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Warrants and any Warrant Agreement have been duly authorized by the Company by all necessary corporate action; (iii) the applicable Warrant Agreement has been duly executed and delivered by the Company; (iv) the issuance and terms of the Warrants have been duly authorized by the Company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552575" cy="561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9"/>
                    <a:stretch>
                      <a:fillRect/>
                    </a:stretch>
                  </pic:blipFill>
                  <pic:spPr bwMode="auto">
                    <a:xfrm>
                      <a:off x="0" y="0"/>
                      <a:ext cx="1552575" cy="561975"/>
                    </a:xfrm>
                    <a:prstGeom prst="rect">
                      <a:avLst/>
                    </a:prstGeom>
                  </pic:spPr>
                </pic:pic>
              </a:graphicData>
            </a:graphic>
          </wp:inline>
        </w:drawing>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Abivax SA </w:t>
      </w:r>
    </w:p>
    <w:p>
      <w:pPr>
        <w:pStyle w:val="TextBody"/>
        <w:bidi w:val="0"/>
        <w:spacing w:before="0" w:after="0"/>
        <w:jc w:val="left"/>
        <w:rPr>
          <w:rFonts w:ascii="Times New Roman" w:hAnsi="Times New Roman"/>
          <w:sz w:val="20"/>
        </w:rPr>
      </w:pPr>
      <w:r>
        <w:rPr>
          <w:rFonts w:ascii="Times New Roman" w:hAnsi="Times New Roman"/>
          <w:sz w:val="20"/>
        </w:rPr>
        <w:t xml:space="preserve">June 30,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by all necessary corporate action; (v) the terms of the Warrants and of their issuance and sale have been duly established in conformity with the applicable Warrant Agreement and as described in the Registration Statement, the Base Prospectus and the related Prospectus Supplement(s), so as to be in compliance with and not violate any applicable law or result in a default under or breach of any agreement or instrument binding upon the Company, so as to be in conformity with the Articles of Association, and so as to comply with any requirement or restriction imposed by any court or governmental body having jurisdiction over the Company; and (vi) the Warrants have been duly executed and delivered by the Company pursuant to the applicable Warrant Agreement and delivered against payment therefor, then the Warrants, when issued and sold in accordance with the applicable Warrant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to the reference to our firm under the caption “Legal Matters” in the Base Prospectus. In giving such consent,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Cooley LLP</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Divakar Gupta</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Divakar Gupta</w:t>
            </w:r>
          </w:p>
        </w:tc>
      </w:tr>
    </w:tbl>
    <w:p>
      <w:pPr>
        <w:pStyle w:val="TextBody"/>
        <w:bidi w:val="0"/>
        <w:spacing w:before="0" w:after="0"/>
        <w:jc w:val="right"/>
        <w:rPr>
          <w:rFonts w:ascii="Times New Roman" w:hAnsi="Times New Roman"/>
          <w:b/>
          <w:sz w:val="20"/>
        </w:rPr>
      </w:pPr>
      <w:bookmarkStart w:id="30" w:name="d86113dex231.htm"/>
      <w:bookmarkStart w:id="31" w:name="ksd86113dex231"/>
      <w:bookmarkEnd w:id="30"/>
      <w:bookmarkEnd w:id="31"/>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F-3 of Abivax SA of our report dated March 23, 2026 relating to the financial statements, which appears in Abivax SA’s Annual Report on Form 20-F for the year ended December 31, 2025.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Audit </w:t>
      </w:r>
    </w:p>
    <w:p>
      <w:pPr>
        <w:pStyle w:val="TextBody"/>
        <w:bidi w:val="0"/>
        <w:spacing w:before="240" w:after="0"/>
        <w:jc w:val="left"/>
        <w:rPr>
          <w:rFonts w:ascii="Times New Roman" w:hAnsi="Times New Roman"/>
          <w:sz w:val="20"/>
        </w:rPr>
      </w:pPr>
      <w:r>
        <w:rPr>
          <w:rFonts w:ascii="Times New Roman" w:hAnsi="Times New Roman"/>
          <w:sz w:val="20"/>
        </w:rPr>
        <w:t xml:space="preserve">Neuilly-Sur-Seine, France </w:t>
      </w:r>
    </w:p>
    <w:p>
      <w:pPr>
        <w:pStyle w:val="TextBody"/>
        <w:bidi w:val="0"/>
        <w:spacing w:before="0" w:after="0"/>
        <w:jc w:val="left"/>
        <w:rPr>
          <w:rFonts w:ascii="Times New Roman" w:hAnsi="Times New Roman"/>
          <w:sz w:val="20"/>
        </w:rPr>
      </w:pPr>
      <w:r>
        <w:rPr>
          <w:rFonts w:ascii="Times New Roman" w:hAnsi="Times New Roman"/>
          <w:sz w:val="20"/>
        </w:rPr>
        <w:t xml:space="preserve">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TextBody"/>
        <w:bidi w:val="0"/>
        <w:spacing w:before="0" w:after="0"/>
        <w:jc w:val="right"/>
        <w:rPr>
          <w:rFonts w:ascii="Times New Roman" w:hAnsi="Times New Roman"/>
          <w:b/>
          <w:sz w:val="20"/>
        </w:rPr>
      </w:pPr>
      <w:bookmarkStart w:id="32" w:name="d86113dex251.htm"/>
      <w:bookmarkStart w:id="33" w:name="ksd86113dex251"/>
      <w:bookmarkEnd w:id="32"/>
      <w:bookmarkEnd w:id="33"/>
      <w:r>
        <w:rPr>
          <w:rFonts w:ascii="Times New Roman" w:hAnsi="Times New Roman"/>
          <w:b/>
          <w:sz w:val="20"/>
        </w:rPr>
        <w:t xml:space="preserve">Exhibit 25.1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20"/>
        </w:rPr>
        <w:t>SECURITIES</w:t>
      </w:r>
      <w:r>
        <w:rPr>
          <w:rFonts w:ascii="Times New Roman" w:hAnsi="Times New Roman"/>
          <w:b/>
          <w:sz w:val="36"/>
        </w:rPr>
        <w:t xml:space="preserve"> </w:t>
      </w:r>
      <w:r>
        <w:rPr>
          <w:rFonts w:ascii="Times New Roman" w:hAnsi="Times New Roman"/>
          <w:b/>
          <w:sz w:val="20"/>
        </w:rPr>
        <w:t>AND</w:t>
      </w:r>
      <w:r>
        <w:rPr>
          <w:rFonts w:ascii="Times New Roman" w:hAnsi="Times New Roman"/>
          <w:b/>
          <w:sz w:val="36"/>
        </w:rPr>
        <w:t xml:space="preserve"> </w:t>
      </w:r>
      <w:r>
        <w:rPr>
          <w:rFonts w:ascii="Times New Roman" w:hAnsi="Times New Roman"/>
          <w:b/>
          <w:sz w:val="20"/>
        </w:rPr>
        <w:t>EXCHANGE</w:t>
      </w:r>
      <w:r>
        <w:rPr>
          <w:rFonts w:ascii="Times New Roman" w:hAnsi="Times New Roman"/>
          <w:b/>
          <w:sz w:val="36"/>
        </w:rPr>
        <w:t xml:space="preserve"> </w:t>
      </w:r>
      <w:r>
        <w:rPr>
          <w:rFonts w:ascii="Times New Roman" w:hAnsi="Times New Roman"/>
          <w:b/>
          <w:sz w:val="20"/>
        </w:rPr>
        <w:t>COMMISSION</w:t>
      </w:r>
      <w:r>
        <w:rPr>
          <w:rFonts w:ascii="Times New Roman" w:hAnsi="Times New Roman"/>
          <w:b/>
          <w:sz w:val="36"/>
        </w:rPr>
        <w:t xml:space="preserve">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T-1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STATEMENT OF ELIGIBILITY UNDER </w:t>
      </w:r>
    </w:p>
    <w:p>
      <w:pPr>
        <w:pStyle w:val="TextBody"/>
        <w:bidi w:val="0"/>
        <w:spacing w:before="0" w:after="0"/>
        <w:jc w:val="center"/>
        <w:rPr>
          <w:rFonts w:ascii="Times New Roman" w:hAnsi="Times New Roman"/>
          <w:b/>
          <w:sz w:val="24"/>
        </w:rPr>
      </w:pPr>
      <w:r>
        <w:rPr>
          <w:rFonts w:ascii="Times New Roman" w:hAnsi="Times New Roman"/>
          <w:b/>
          <w:sz w:val="24"/>
        </w:rPr>
        <w:t xml:space="preserve">THE TRUST INDENTURE ACT OF 1939 </w:t>
      </w:r>
    </w:p>
    <w:p>
      <w:pPr>
        <w:pStyle w:val="TextBody"/>
        <w:bidi w:val="0"/>
        <w:spacing w:before="0" w:after="0"/>
        <w:jc w:val="center"/>
        <w:rPr>
          <w:rFonts w:ascii="Times New Roman" w:hAnsi="Times New Roman"/>
          <w:b/>
          <w:sz w:val="24"/>
        </w:rPr>
      </w:pPr>
      <w:r>
        <w:rPr>
          <w:rFonts w:ascii="Times New Roman" w:hAnsi="Times New Roman"/>
          <w:b/>
          <w:sz w:val="24"/>
        </w:rPr>
        <w:t xml:space="preserve">OF A CORPORATION DESIGNATED TO ACT AS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U.S. BANK TRUST COMPANY,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91-1821036 </w:t>
      </w:r>
    </w:p>
    <w:p>
      <w:pPr>
        <w:pStyle w:val="TextBody"/>
        <w:bidi w:val="0"/>
        <w:spacing w:before="0" w:after="0"/>
        <w:jc w:val="center"/>
        <w:rPr>
          <w:rFonts w:ascii="Times New Roman" w:hAnsi="Times New Roman"/>
          <w:b/>
          <w:sz w:val="16"/>
        </w:rPr>
      </w:pPr>
      <w:r>
        <w:rPr>
          <w:rFonts w:ascii="Times New Roman" w:hAnsi="Times New Roman"/>
          <w:b/>
          <w:sz w:val="16"/>
        </w:rPr>
        <w:t xml:space="preserve">I.R.S. Employer Identification No.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200 South 6th Street</w:t>
            </w:r>
          </w:p>
          <w:p>
            <w:pPr>
              <w:pStyle w:val="TableContents"/>
              <w:bidi w:val="0"/>
              <w:spacing w:before="0" w:after="20"/>
              <w:jc w:val="center"/>
              <w:rPr>
                <w:rFonts w:ascii="Times New Roman" w:hAnsi="Times New Roman"/>
                <w:b/>
                <w:sz w:val="20"/>
              </w:rPr>
            </w:pPr>
            <w:r>
              <w:rPr>
                <w:rFonts w:ascii="Times New Roman" w:hAnsi="Times New Roman"/>
                <w:b/>
                <w:sz w:val="20"/>
              </w:rPr>
              <w:t>Minneapolis, Minnesota</w:t>
            </w:r>
          </w:p>
        </w:tc>
        <w:tc>
          <w:tcPr>
            <w:tcW w:w="101" w:type="dxa"/>
            <w:tcBorders/>
            <w:vAlign w:val="bottom"/>
          </w:tcPr>
          <w:p>
            <w:pPr>
              <w:pStyle w:val="TableContents"/>
              <w:bidi w:val="0"/>
              <w:spacing w:before="0" w:after="283"/>
              <w:jc w:val="left"/>
              <w:rPr/>
            </w:pPr>
            <w:r>
              <w:rPr/>
              <w:t> </w:t>
            </w:r>
          </w:p>
        </w:tc>
        <w:tc>
          <w:tcPr>
            <w:tcW w:w="4950" w:type="dxa"/>
            <w:tcBorders/>
            <w:vAlign w:val="bottom"/>
          </w:tcPr>
          <w:p>
            <w:pPr>
              <w:pStyle w:val="TableContents"/>
              <w:bidi w:val="0"/>
              <w:spacing w:before="0" w:after="283"/>
              <w:jc w:val="center"/>
              <w:rPr>
                <w:b/>
              </w:rPr>
            </w:pPr>
            <w:r>
              <w:rPr>
                <w:b/>
              </w:rPr>
              <w:t>55402</w:t>
            </w:r>
          </w:p>
        </w:tc>
      </w:tr>
      <w:tr>
        <w:trPr/>
        <w:tc>
          <w:tcPr>
            <w:tcW w:w="5154" w:type="dxa"/>
            <w:tcBorders/>
          </w:tcPr>
          <w:p>
            <w:pPr>
              <w:pStyle w:val="TableContents"/>
              <w:bidi w:val="0"/>
              <w:spacing w:before="0" w:after="283"/>
              <w:jc w:val="center"/>
              <w:rPr>
                <w:b/>
              </w:rPr>
            </w:pPr>
            <w:r>
              <w:rPr>
                <w:b/>
              </w:rPr>
              <w:t>(Address of principal executive offices)</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Wally Jones </w:t>
      </w:r>
    </w:p>
    <w:p>
      <w:pPr>
        <w:pStyle w:val="TextBody"/>
        <w:bidi w:val="0"/>
        <w:spacing w:before="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60 Livingston Avenue </w:t>
      </w:r>
    </w:p>
    <w:p>
      <w:pPr>
        <w:pStyle w:val="TextBody"/>
        <w:bidi w:val="0"/>
        <w:spacing w:before="0" w:after="0"/>
        <w:jc w:val="center"/>
        <w:rPr>
          <w:rFonts w:ascii="Times New Roman" w:hAnsi="Times New Roman"/>
          <w:b/>
          <w:sz w:val="20"/>
        </w:rPr>
      </w:pPr>
      <w:r>
        <w:rPr>
          <w:rFonts w:ascii="Times New Roman" w:hAnsi="Times New Roman"/>
          <w:b/>
          <w:sz w:val="20"/>
        </w:rPr>
        <w:t xml:space="preserve">St. Paul, MN 55107 </w:t>
      </w:r>
    </w:p>
    <w:p>
      <w:pPr>
        <w:pStyle w:val="TextBody"/>
        <w:bidi w:val="0"/>
        <w:spacing w:before="0" w:after="0"/>
        <w:jc w:val="center"/>
        <w:rPr>
          <w:rFonts w:ascii="Times New Roman" w:hAnsi="Times New Roman"/>
          <w:b/>
          <w:sz w:val="20"/>
        </w:rPr>
      </w:pPr>
      <w:r>
        <w:rPr>
          <w:rFonts w:ascii="Times New Roman" w:hAnsi="Times New Roman"/>
          <w:b/>
          <w:sz w:val="20"/>
        </w:rPr>
        <w:t xml:space="preserve">(615) 251-0733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Abivax SA </w:t>
      </w:r>
    </w:p>
    <w:p>
      <w:pPr>
        <w:pStyle w:val="TextBody"/>
        <w:bidi w:val="0"/>
        <w:spacing w:before="0" w:after="0"/>
        <w:jc w:val="center"/>
        <w:rPr>
          <w:rFonts w:ascii="Times New Roman" w:hAnsi="Times New Roman"/>
          <w:b/>
          <w:sz w:val="16"/>
        </w:rPr>
      </w:pPr>
      <w:r>
        <w:rPr>
          <w:rFonts w:ascii="Times New Roman" w:hAnsi="Times New Roman"/>
          <w:b/>
          <w:sz w:val="16"/>
        </w:rPr>
        <w:t xml:space="preserve">(Issuer with respect to the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France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N/A</w:t>
            </w:r>
          </w:p>
        </w:tc>
      </w:tr>
      <w:tr>
        <w:trPr/>
        <w:tc>
          <w:tcPr>
            <w:tcW w:w="5154" w:type="dxa"/>
            <w:tcBorders/>
          </w:tcPr>
          <w:p>
            <w:pPr>
              <w:pStyle w:val="TableContents"/>
              <w:bidi w:val="0"/>
              <w:spacing w:before="0" w:after="283"/>
              <w:jc w:val="center"/>
              <w:rPr>
                <w:b/>
              </w:rPr>
            </w:pPr>
            <w:r>
              <w:rPr>
                <w:b/>
              </w:rPr>
              <w:t>(State or other jurisdiction of 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 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7-11 boulevard Haussmann</w:t>
            </w:r>
          </w:p>
          <w:p>
            <w:pPr>
              <w:pStyle w:val="TableContents"/>
              <w:bidi w:val="0"/>
              <w:spacing w:before="0" w:after="20"/>
              <w:jc w:val="center"/>
              <w:rPr>
                <w:rFonts w:ascii="Times New Roman" w:hAnsi="Times New Roman"/>
                <w:b/>
                <w:sz w:val="20"/>
              </w:rPr>
            </w:pPr>
            <w:r>
              <w:rPr>
                <w:rFonts w:ascii="Times New Roman" w:hAnsi="Times New Roman"/>
                <w:b/>
                <w:sz w:val="20"/>
              </w:rPr>
              <w:t>Paris. France</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76009</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the Indenture Securities)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FORM T-1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GENERAL INFORMATION</w:t>
            </w:r>
            <w:r>
              <w:rPr>
                <w:rFonts w:ascii="Times New Roman" w:hAnsi="Times New Roman"/>
                <w:b/>
                <w:i/>
                <w:sz w:val="20"/>
              </w:rPr>
              <w:t>.</w:t>
            </w:r>
            <w:r>
              <w:rPr>
                <w:rFonts w:ascii="Times New Roman" w:hAnsi="Times New Roman"/>
                <w:sz w:val="20"/>
              </w:rPr>
              <w:t xml:space="preserve"> Furnish the following information as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i/>
                <w:sz w:val="20"/>
              </w:rPr>
              <w:t>Name and address of each examining or supervising authority to which it is subject.</w:t>
            </w:r>
            <w:r>
              <w:rPr>
                <w:rFonts w:ascii="Times New Roman" w:hAnsi="Times New Roman"/>
                <w:sz w:val="20"/>
              </w:rPr>
              <w:t xml:space="preserve"> </w:t>
            </w:r>
          </w:p>
        </w:tc>
      </w:tr>
    </w:tbl>
    <w:p>
      <w:pPr>
        <w:pStyle w:val="TextBody"/>
        <w:bidi w:val="0"/>
        <w:spacing w:before="0" w:after="0"/>
        <w:jc w:val="left"/>
        <w:rPr>
          <w:rFonts w:ascii="Times New Roman" w:hAnsi="Times New Roman"/>
          <w:sz w:val="20"/>
        </w:rPr>
      </w:pPr>
      <w:r>
        <w:rPr>
          <w:rFonts w:ascii="Times New Roman" w:hAnsi="Times New Roman"/>
          <w:sz w:val="20"/>
        </w:rPr>
        <w:t xml:space="preserve">Comptroller of the Currency </w:t>
      </w:r>
    </w:p>
    <w:p>
      <w:pPr>
        <w:pStyle w:val="TextBody"/>
        <w:bidi w:val="0"/>
        <w:spacing w:before="0" w:after="0"/>
        <w:jc w:val="left"/>
        <w:rPr>
          <w:rFonts w:ascii="Times New Roman" w:hAnsi="Times New Roman"/>
          <w:sz w:val="20"/>
        </w:rPr>
      </w:pPr>
      <w:r>
        <w:rPr>
          <w:rFonts w:ascii="Times New Roman" w:hAnsi="Times New Roman"/>
          <w:sz w:val="20"/>
        </w:rPr>
        <w:t xml:space="preserve">Washington, D.C.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i/>
                <w:sz w:val="20"/>
              </w:rPr>
              <w:t>Whether it is authorized to exercise corporate trust powers.</w:t>
            </w:r>
            <w:r>
              <w:rPr>
                <w:rFonts w:ascii="Times New Roman" w:hAnsi="Times New Roman"/>
                <w:sz w:val="20"/>
              </w:rPr>
              <w:t xml:space="preserve"> </w:t>
            </w:r>
          </w:p>
        </w:tc>
      </w:tr>
    </w:tbl>
    <w:p>
      <w:pPr>
        <w:pStyle w:val="TextBody"/>
        <w:bidi w:val="0"/>
        <w:spacing w:before="0" w:after="0"/>
        <w:jc w:val="left"/>
        <w:rPr>
          <w:rFonts w:ascii="Times New Roman" w:hAnsi="Times New Roman"/>
          <w:sz w:val="20"/>
        </w:rPr>
      </w:pPr>
      <w:r>
        <w:rPr>
          <w:rFonts w:ascii="Times New Roman" w:hAnsi="Times New Roman"/>
          <w:sz w:val="20"/>
        </w:rPr>
        <w:t xml:space="preserve">Yes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AFFILIATIONS WITH THE OBLIGOR. </w:t>
            </w:r>
            <w:r>
              <w:rPr>
                <w:rFonts w:ascii="Times New Roman" w:hAnsi="Times New Roman"/>
                <w:i/>
                <w:sz w:val="20"/>
              </w:rPr>
              <w:t>If the obligor is an affiliate of the Trustee, describe each such affiliation.</w:t>
            </w:r>
            <w:r>
              <w:rPr>
                <w:rFonts w:ascii="Times New Roman" w:hAnsi="Times New Roman"/>
                <w:sz w:val="20"/>
              </w:rPr>
              <w:t xml:space="preserve"> </w:t>
            </w:r>
          </w:p>
        </w:tc>
      </w:tr>
    </w:tbl>
    <w:p>
      <w:pPr>
        <w:pStyle w:val="TextBody"/>
        <w:bidi w:val="0"/>
        <w:spacing w:before="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Items 3-15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Items 3-15 are not applicable because to the best of the Trustee’s knowledge, the obligor is not in default under any Indenture for which the Trustee acts as Trustee.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LIST OF EXHIBITS: </w:t>
            </w:r>
            <w:r>
              <w:rPr>
                <w:rFonts w:ascii="Times New Roman" w:hAnsi="Times New Roman"/>
                <w:i/>
                <w:sz w:val="20"/>
              </w:rPr>
              <w:t xml:space="preserve">List below all exhibits filed as a part of this statement of eligibility and qualification.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Articles of Association of the Trustee, attached as Exhibit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certificate of authority of the Trustee to commence business, attached as Exhibit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authorization of the Trustee to exercise corporate trust powers, included as Exhibit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existing bylaws of the Trustee, attached as Exhibit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each Indenture referred to in Item 4. Not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6.</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consent of the Trustee required by Section 321(b) of the Trust Indenture Act of 1939, attached as Exhibit 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7.</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 of Condition of the Trustee as of December 31, 2025, published pursuant to law or the requirements of its supervising or examining authority, attached as Exhibit 7.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Nashville, State of Tennessee on the 30th of June,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1"/>
        <w:gridCol w:w="61"/>
        <w:gridCol w:w="3640"/>
      </w:tblGrid>
      <w:tr>
        <w:trPr/>
        <w:tc>
          <w:tcPr>
            <w:tcW w:w="38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z w:val="4"/>
                <w:szCs w:val="4"/>
              </w:rPr>
            </w:pPr>
            <w:r>
              <w:rPr>
                <w:sz w:val="4"/>
                <w:szCs w:val="4"/>
              </w:rPr>
            </w:r>
          </w:p>
        </w:tc>
      </w:tr>
      <w:tr>
        <w:trPr>
          <w:trHeight w:val="240" w:hRule="atLeast"/>
        </w:trPr>
        <w:tc>
          <w:tcPr>
            <w:tcW w:w="381" w:type="dxa"/>
            <w:tcBorders/>
            <w:vAlign w:val="center"/>
          </w:tcPr>
          <w:p>
            <w:pPr>
              <w:pStyle w:val="TableContents"/>
              <w:bidi w:val="0"/>
              <w:spacing w:before="0" w:after="283"/>
              <w:jc w:val="left"/>
              <w:rPr>
                <w:sz w:val="4"/>
                <w:szCs w:val="4"/>
              </w:rPr>
            </w:pPr>
            <w:r>
              <w:rPr>
                <w:sz w:val="4"/>
                <w:szCs w:val="4"/>
              </w:rPr>
            </w:r>
          </w:p>
        </w:tc>
        <w:tc>
          <w:tcPr>
            <w:tcW w:w="3701" w:type="dxa"/>
            <w:gridSpan w:val="2"/>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0" w:type="dxa"/>
            <w:tcBorders>
              <w:bottom w:val="single" w:sz="2" w:space="0" w:color="000000"/>
            </w:tcBorders>
            <w:tcMar>
              <w:bottom w:w="28" w:type="dxa"/>
            </w:tcMar>
          </w:tcPr>
          <w:p>
            <w:pPr>
              <w:pStyle w:val="TableContents"/>
              <w:bidi w:val="0"/>
              <w:spacing w:before="0" w:after="283"/>
              <w:jc w:val="left"/>
              <w:rPr/>
            </w:pPr>
            <w:r>
              <w:rPr/>
              <w:t>/s/ Wally Jones</w:t>
            </w:r>
          </w:p>
        </w:tc>
      </w:tr>
      <w:tr>
        <w:trPr/>
        <w:tc>
          <w:tcPr>
            <w:tcW w:w="38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Wally Jones</w:t>
            </w:r>
          </w:p>
          <w:p>
            <w:pPr>
              <w:pStyle w:val="TableContents"/>
              <w:bidi w:val="0"/>
              <w:spacing w:before="0" w:after="20"/>
              <w:jc w:val="left"/>
              <w:rPr>
                <w:rFonts w:ascii="Times New Roman" w:hAnsi="Times New Roman"/>
                <w:sz w:val="20"/>
              </w:rPr>
            </w:pPr>
            <w:r>
              <w:rPr>
                <w:rFonts w:ascii="Times New Roman" w:hAnsi="Times New Roman"/>
                <w:sz w:val="20"/>
              </w:rPr>
              <w:t>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1 </w:t>
      </w:r>
    </w:p>
    <w:p>
      <w:pPr>
        <w:pStyle w:val="TextBody"/>
        <w:bidi w:val="0"/>
        <w:spacing w:before="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U. S. BANK TRUST COMPANY,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organizing an association (the “Association”) to perform any lawful activities of national banks, the undersigned enter into the following Articles of Association: </w:t>
      </w:r>
    </w:p>
    <w:p>
      <w:pPr>
        <w:pStyle w:val="TextBody"/>
        <w:bidi w:val="0"/>
        <w:spacing w:before="240" w:after="0"/>
        <w:jc w:val="left"/>
        <w:rPr>
          <w:rFonts w:ascii="Times New Roman" w:hAnsi="Times New Roman"/>
          <w:sz w:val="20"/>
        </w:rPr>
      </w:pPr>
      <w:r>
        <w:rPr>
          <w:rFonts w:ascii="Times New Roman" w:hAnsi="Times New Roman"/>
          <w:b/>
          <w:sz w:val="20"/>
        </w:rPr>
        <w:t xml:space="preserve">FIRST. </w:t>
      </w:r>
      <w:r>
        <w:rPr>
          <w:rFonts w:ascii="Times New Roman" w:hAnsi="Times New Roman"/>
          <w:sz w:val="20"/>
        </w:rPr>
        <w:t xml:space="preserve">The title of this Association shall be U. S. Bank Trust Company, National Association. </w:t>
      </w:r>
    </w:p>
    <w:p>
      <w:pPr>
        <w:pStyle w:val="TextBody"/>
        <w:bidi w:val="0"/>
        <w:spacing w:before="240" w:after="0"/>
        <w:jc w:val="left"/>
        <w:rPr>
          <w:rFonts w:ascii="Times New Roman" w:hAnsi="Times New Roman"/>
          <w:sz w:val="20"/>
        </w:rPr>
      </w:pPr>
      <w:r>
        <w:rPr>
          <w:rFonts w:ascii="Times New Roman" w:hAnsi="Times New Roman"/>
          <w:b/>
          <w:sz w:val="20"/>
        </w:rPr>
        <w:t xml:space="preserve">SECOND. </w:t>
      </w:r>
      <w:r>
        <w:rPr>
          <w:rFonts w:ascii="Times New Roman" w:hAnsi="Times New Roman"/>
          <w:sz w:val="20"/>
        </w:rPr>
        <w:t xml:space="preserve">The main office of the Association shall be in the city of Portland, county of Multnomah, state of Oregon. The 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board of directors of the Association shall consist of not less than five nor more than twenty-five persons, the 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 </w:t>
      </w:r>
    </w:p>
    <w:p>
      <w:pPr>
        <w:pStyle w:val="TextBody"/>
        <w:bidi w:val="0"/>
        <w:spacing w:before="240" w:after="0"/>
        <w:jc w:val="left"/>
        <w:rPr>
          <w:rFonts w:ascii="Times New Roman" w:hAnsi="Times New Roman"/>
          <w:sz w:val="20"/>
        </w:rPr>
      </w:pPr>
      <w:r>
        <w:rPr>
          <w:rFonts w:ascii="Times New Roman" w:hAnsi="Times New Roman"/>
          <w:sz w:val="20"/>
        </w:rPr>
        <w:t xml:space="preserve">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 </w:t>
      </w:r>
    </w:p>
    <w:p>
      <w:pPr>
        <w:pStyle w:val="TextBody"/>
        <w:bidi w:val="0"/>
        <w:spacing w:before="240" w:after="0"/>
        <w:jc w:val="left"/>
        <w:rPr>
          <w:rFonts w:ascii="Times New Roman" w:hAnsi="Times New Roman"/>
          <w:sz w:val="20"/>
        </w:rPr>
      </w:pPr>
      <w:r>
        <w:rPr>
          <w:rFonts w:ascii="Times New Roman" w:hAnsi="Times New Roman"/>
          <w:sz w:val="20"/>
        </w:rPr>
        <w:t xml:space="preserve">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 </w:t>
      </w:r>
    </w:p>
    <w:p>
      <w:pPr>
        <w:pStyle w:val="TextBody"/>
        <w:bidi w:val="0"/>
        <w:spacing w:before="240" w:after="0"/>
        <w:jc w:val="left"/>
        <w:rPr>
          <w:rFonts w:ascii="Times New Roman" w:hAnsi="Times New Roman"/>
          <w:sz w:val="20"/>
        </w:rPr>
      </w:pPr>
      <w:r>
        <w:rPr>
          <w:rFonts w:ascii="Times New Roman" w:hAnsi="Times New Roman"/>
          <w:b/>
          <w:sz w:val="20"/>
        </w:rPr>
        <w:t xml:space="preserve">FOURTH. </w:t>
      </w:r>
      <w:r>
        <w:rPr>
          <w:rFonts w:ascii="Times New Roman" w:hAnsi="Times New Roman"/>
          <w:sz w:val="20"/>
        </w:rPr>
        <w:t xml:space="preserve">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 </w:t>
      </w:r>
    </w:p>
    <w:p>
      <w:pPr>
        <w:pStyle w:val="TextBody"/>
        <w:bidi w:val="0"/>
        <w:spacing w:before="240" w:after="0"/>
        <w:jc w:val="left"/>
        <w:rPr>
          <w:rFonts w:ascii="Times New Roman" w:hAnsi="Times New Roman"/>
          <w:sz w:val="20"/>
        </w:rPr>
      </w:pPr>
      <w:r>
        <w:rPr>
          <w:rFonts w:ascii="Times New Roman" w:hAnsi="Times New Roman"/>
          <w:sz w:val="20"/>
        </w:rPr>
        <w:t xml:space="preserve">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 </w:t>
      </w:r>
    </w:p>
    <w:p>
      <w:pPr>
        <w:pStyle w:val="TextBody"/>
        <w:bidi w:val="0"/>
        <w:spacing w:before="240" w:after="0"/>
        <w:jc w:val="left"/>
        <w:rPr>
          <w:rFonts w:ascii="Times New Roman" w:hAnsi="Times New Roman"/>
          <w:sz w:val="20"/>
        </w:rPr>
      </w:pPr>
      <w:r>
        <w:rPr>
          <w:rFonts w:ascii="Times New Roman" w:hAnsi="Times New Roman"/>
          <w:sz w:val="20"/>
        </w:rPr>
        <w:t xml:space="preserve">A director may resign at any time by delivering written notice to the board of directors, its chairperson, or to the Association, which resignation shall be effective when the notice is delivered unless the notice specifies a later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 </w:t>
      </w:r>
    </w:p>
    <w:p>
      <w:pPr>
        <w:pStyle w:val="TextBody"/>
        <w:bidi w:val="0"/>
        <w:spacing w:before="240" w:after="0"/>
        <w:jc w:val="left"/>
        <w:rPr>
          <w:rFonts w:ascii="Times New Roman" w:hAnsi="Times New Roman"/>
          <w:sz w:val="20"/>
        </w:rPr>
      </w:pPr>
      <w:r>
        <w:rPr>
          <w:rFonts w:ascii="Times New Roman" w:hAnsi="Times New Roman"/>
          <w:b/>
          <w:sz w:val="20"/>
        </w:rPr>
        <w:t xml:space="preserve">FIFTH. </w:t>
      </w:r>
      <w:r>
        <w:rPr>
          <w:rFonts w:ascii="Times New Roman" w:hAnsi="Times New Roman"/>
          <w:sz w:val="20"/>
        </w:rPr>
        <w:t xml:space="preserve">The authorized amount of capital stock of the Association shall be 1,000,000 shares of common stock of the par value of ten dollars ($10) each; but said capital stock may be increased or decreased from time to time, according to the provisions of the laws of the United States. The Association shall have only one class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the Association’s stock are subject to the prior written approval of a federal depository institution regulatory agency. If no other agency approval is required, the approval of the Comptroller of the Currency must be obtained prior to any such transfers.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specified in the Articles of Association or required by law, all shares of voting stock shall be voted together as a class, on any matters requiring shareholder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 </w:t>
      </w:r>
    </w:p>
    <w:p>
      <w:pPr>
        <w:pStyle w:val="TextBody"/>
        <w:bidi w:val="0"/>
        <w:spacing w:before="240" w:after="0"/>
        <w:jc w:val="left"/>
        <w:rPr>
          <w:rFonts w:ascii="Times New Roman" w:hAnsi="Times New Roman"/>
          <w:sz w:val="20"/>
        </w:rPr>
      </w:pPr>
      <w:r>
        <w:rPr>
          <w:rFonts w:ascii="Times New Roman" w:hAnsi="Times New Roman"/>
          <w:b/>
          <w:sz w:val="20"/>
        </w:rPr>
        <w:t xml:space="preserve">SIXTH. </w:t>
      </w:r>
      <w:r>
        <w:rPr>
          <w:rFonts w:ascii="Times New Roman" w:hAnsi="Times New Roman"/>
          <w:sz w:val="20"/>
        </w:rPr>
        <w:t xml:space="preserve">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have the power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Define the duties of the officers, employees, and agents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Delegate the performance of its duties, but not the responsibility for its duties, to the officers, employees, and agents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Fix the compensation and enter employment contracts with its officers and employees upon reasonable terms and conditions consistent with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Dismiss officers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bonds from officers and employees and to fix the penalty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Ratify written policies authorized by the Association’s management or committees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 and administer the business and affairs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initial Bylaws, not inconsistent with law or the Articles of Association, for managing the business and regulating the affairs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(10)</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repeal Bylaws, except to the extent that the Articles of Association reserve this power in whole or in part to the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perform all acts that are legal for a board of directors to perform.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SEVENTH. </w:t>
      </w:r>
      <w:r>
        <w:rPr>
          <w:rFonts w:ascii="Times New Roman" w:hAnsi="Times New Roman"/>
          <w:sz w:val="20"/>
        </w:rPr>
        <w:t xml:space="preserve">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 </w:t>
      </w:r>
    </w:p>
    <w:p>
      <w:pPr>
        <w:pStyle w:val="TextBody"/>
        <w:bidi w:val="0"/>
        <w:spacing w:before="240" w:after="0"/>
        <w:jc w:val="left"/>
        <w:rPr>
          <w:rFonts w:ascii="Times New Roman" w:hAnsi="Times New Roman"/>
          <w:sz w:val="20"/>
        </w:rPr>
      </w:pPr>
      <w:r>
        <w:rPr>
          <w:rFonts w:ascii="Times New Roman" w:hAnsi="Times New Roman"/>
          <w:b/>
          <w:sz w:val="20"/>
        </w:rPr>
        <w:t xml:space="preserve">EIGHTH. </w:t>
      </w:r>
      <w:r>
        <w:rPr>
          <w:rFonts w:ascii="Times New Roman" w:hAnsi="Times New Roman"/>
          <w:sz w:val="20"/>
        </w:rPr>
        <w:t xml:space="preserve">The corporate existence of this Association shall continue until termination according to the laws of the United States. </w:t>
      </w:r>
    </w:p>
    <w:p>
      <w:pPr>
        <w:pStyle w:val="TextBody"/>
        <w:bidi w:val="0"/>
        <w:spacing w:before="240" w:after="0"/>
        <w:jc w:val="left"/>
        <w:rPr>
          <w:rFonts w:ascii="Times New Roman" w:hAnsi="Times New Roman"/>
          <w:sz w:val="20"/>
        </w:rPr>
      </w:pPr>
      <w:r>
        <w:rPr>
          <w:rFonts w:ascii="Times New Roman" w:hAnsi="Times New Roman"/>
          <w:b/>
          <w:sz w:val="20"/>
        </w:rPr>
        <w:t xml:space="preserve">NINTH. </w:t>
      </w:r>
      <w:r>
        <w:rPr>
          <w:rFonts w:ascii="Times New Roman" w:hAnsi="Times New Roman"/>
          <w:sz w:val="20"/>
        </w:rPr>
        <w:t xml:space="preserve">The board of directors of the Association, or any shareholder owning, in the aggregate, not less than 25 percent of the 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 </w:t>
      </w:r>
    </w:p>
    <w:p>
      <w:pPr>
        <w:pStyle w:val="TextBody"/>
        <w:bidi w:val="0"/>
        <w:spacing w:before="240" w:after="0"/>
        <w:jc w:val="left"/>
        <w:rPr>
          <w:rFonts w:ascii="Times New Roman" w:hAnsi="Times New Roman"/>
          <w:sz w:val="20"/>
        </w:rPr>
      </w:pPr>
      <w:r>
        <w:rPr>
          <w:rFonts w:ascii="Times New Roman" w:hAnsi="Times New Roman"/>
          <w:b/>
          <w:sz w:val="20"/>
        </w:rPr>
        <w:t xml:space="preserve">TENTH. </w:t>
      </w:r>
      <w:r>
        <w:rPr>
          <w:rFonts w:ascii="Times New Roman" w:hAnsi="Times New Roman"/>
          <w:sz w:val="20"/>
        </w:rPr>
        <w:t xml:space="preserve">These Articles of Association may be amended at any regular or special meeting of the shareholders by the 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we have hereunto set our hands this </w:t>
      </w:r>
      <w:r>
        <w:rPr>
          <w:rFonts w:ascii="Times New Roman" w:hAnsi="Times New Roman"/>
          <w:sz w:val="20"/>
          <w:u w:val="single"/>
        </w:rPr>
        <w:t>11th</w:t>
      </w:r>
      <w:r>
        <w:rPr>
          <w:rFonts w:ascii="Times New Roman" w:hAnsi="Times New Roman"/>
          <w:sz w:val="20"/>
        </w:rPr>
        <w:t xml:space="preserve"> of June, 1997.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drawing>
                <wp:inline distT="0" distB="0" distL="0" distR="0">
                  <wp:extent cx="2095500" cy="800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0"/>
                          <a:stretch>
                            <a:fillRect/>
                          </a:stretch>
                        </pic:blipFill>
                        <pic:spPr bwMode="auto">
                          <a:xfrm>
                            <a:off x="0" y="0"/>
                            <a:ext cx="2095500" cy="800100"/>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Jeffrey T. Grubb</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drawing>
                <wp:inline distT="0" distB="0" distL="0" distR="0">
                  <wp:extent cx="1543050" cy="514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1"/>
                          <a:stretch>
                            <a:fillRect/>
                          </a:stretch>
                        </pic:blipFill>
                        <pic:spPr bwMode="auto">
                          <a:xfrm>
                            <a:off x="0" y="0"/>
                            <a:ext cx="1543050" cy="514350"/>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Robert D. Sznewajs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drawing>
                <wp:inline distT="0" distB="0" distL="0" distR="0">
                  <wp:extent cx="1562100" cy="904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2"/>
                          <a:stretch>
                            <a:fillRect/>
                          </a:stretch>
                        </pic:blipFill>
                        <pic:spPr bwMode="auto">
                          <a:xfrm>
                            <a:off x="0" y="0"/>
                            <a:ext cx="1562100" cy="904875"/>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Dwight V. Board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drawing>
                <wp:inline distT="0" distB="0" distL="0" distR="0">
                  <wp:extent cx="1162050" cy="628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3"/>
                          <a:stretch>
                            <a:fillRect/>
                          </a:stretch>
                        </pic:blipFill>
                        <pic:spPr bwMode="auto">
                          <a:xfrm>
                            <a:off x="0" y="0"/>
                            <a:ext cx="1162050" cy="628650"/>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P. K. Chatterjee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drawing>
                <wp:inline distT="0" distB="0" distL="0" distR="0">
                  <wp:extent cx="1609725" cy="533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4"/>
                          <a:stretch>
                            <a:fillRect/>
                          </a:stretch>
                        </pic:blipFill>
                        <pic:spPr bwMode="auto">
                          <a:xfrm>
                            <a:off x="0" y="0"/>
                            <a:ext cx="1609725" cy="533400"/>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Robert Lane</w:t>
            </w:r>
          </w:p>
        </w:tc>
      </w:tr>
      <w:tr>
        <w:trPr/>
        <w:tc>
          <w:tcPr>
            <w:tcW w:w="4082"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3"/>
        <w:gridCol w:w="127"/>
        <w:gridCol w:w="9435"/>
      </w:tblGrid>
      <w:tr>
        <w:trPr/>
        <w:tc>
          <w:tcPr>
            <w:tcW w:w="64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9435" w:type="dxa"/>
            <w:tcBorders/>
            <w:vAlign w:val="center"/>
          </w:tcPr>
          <w:p>
            <w:pPr>
              <w:pStyle w:val="TableContents"/>
              <w:bidi w:val="0"/>
              <w:spacing w:before="0" w:after="283"/>
              <w:jc w:val="left"/>
              <w:rPr>
                <w:sz w:val="4"/>
                <w:szCs w:val="4"/>
              </w:rPr>
            </w:pPr>
            <w:r>
              <w:rPr>
                <w:sz w:val="4"/>
                <w:szCs w:val="4"/>
              </w:rPr>
            </w:r>
          </w:p>
        </w:tc>
      </w:tr>
      <w:tr>
        <w:trPr/>
        <w:tc>
          <w:tcPr>
            <w:tcW w:w="643" w:type="dxa"/>
            <w:vMerge w:val="restart"/>
            <w:tcBorders/>
          </w:tcPr>
          <w:p>
            <w:pPr>
              <w:pStyle w:val="TableContents"/>
              <w:bidi w:val="0"/>
              <w:spacing w:before="0" w:after="283"/>
              <w:jc w:val="left"/>
              <w:rPr/>
            </w:pPr>
            <w:r>
              <w:rPr/>
              <w:drawing>
                <wp:inline distT="0" distB="0" distL="0" distR="0">
                  <wp:extent cx="381000" cy="4095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5"/>
                          <a:stretch>
                            <a:fillRect/>
                          </a:stretch>
                        </pic:blipFill>
                        <pic:spPr bwMode="auto">
                          <a:xfrm>
                            <a:off x="0" y="0"/>
                            <a:ext cx="381000" cy="409575"/>
                          </a:xfrm>
                          <a:prstGeom prst="rect">
                            <a:avLst/>
                          </a:prstGeom>
                        </pic:spPr>
                      </pic:pic>
                    </a:graphicData>
                  </a:graphic>
                </wp:inline>
              </w:drawing>
            </w:r>
            <w:r>
              <w:rPr/>
              <w:t xml:space="preserve">  </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9435" w:type="dxa"/>
            <w:tcBorders>
              <w:bottom w:val="single" w:sz="2" w:space="0" w:color="000000"/>
            </w:tcBorders>
            <w:tcMar>
              <w:bottom w:w="28" w:type="dxa"/>
            </w:tcMar>
          </w:tcPr>
          <w:p>
            <w:pPr>
              <w:pStyle w:val="TableContents"/>
              <w:bidi w:val="0"/>
              <w:spacing w:before="0" w:after="283"/>
              <w:jc w:val="left"/>
              <w:rPr/>
            </w:pPr>
            <w:r>
              <w:rPr/>
              <w:t>Office of the Comptroller of the Currency</w:t>
            </w:r>
          </w:p>
        </w:tc>
      </w:tr>
      <w:tr>
        <w:trPr/>
        <w:tc>
          <w:tcPr>
            <w:tcW w:w="643" w:type="dxa"/>
            <w:vMerge w:val="continue"/>
            <w:tcBorders/>
          </w:tcPr>
          <w:p>
            <w:pPr>
              <w:pStyle w:val="Normal"/>
              <w:bidi w:val="0"/>
              <w:jc w:val="left"/>
              <w:rPr/>
            </w:pPr>
            <w:r>
              <w:rPr/>
            </w:r>
          </w:p>
        </w:tc>
        <w:tc>
          <w:tcPr>
            <w:tcW w:w="127" w:type="dxa"/>
            <w:tcBorders/>
            <w:vAlign w:val="bottom"/>
          </w:tcPr>
          <w:p>
            <w:pPr>
              <w:pStyle w:val="TableContents"/>
              <w:bidi w:val="0"/>
              <w:spacing w:before="0" w:after="283"/>
              <w:jc w:val="left"/>
              <w:rPr/>
            </w:pPr>
            <w:r>
              <w:rPr/>
              <w:t>  </w:t>
            </w:r>
          </w:p>
        </w:tc>
        <w:tc>
          <w:tcPr>
            <w:tcW w:w="9435" w:type="dxa"/>
            <w:tcBorders/>
          </w:tcPr>
          <w:p>
            <w:pPr>
              <w:pStyle w:val="TableContents"/>
              <w:bidi w:val="0"/>
              <w:spacing w:before="0" w:after="283"/>
              <w:jc w:val="right"/>
              <w:rPr/>
            </w:pPr>
            <w:r>
              <w:rPr/>
              <w:t>Washington, DC 20219</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CERTIFICATE OF CORPORATE EXISTENCE AND FIDUCIARY POWERS </w:t>
      </w:r>
    </w:p>
    <w:p>
      <w:pPr>
        <w:pStyle w:val="TextBody"/>
        <w:bidi w:val="0"/>
        <w:spacing w:before="240" w:after="0"/>
        <w:jc w:val="left"/>
        <w:rPr>
          <w:rFonts w:ascii="Times New Roman" w:hAnsi="Times New Roman"/>
          <w:sz w:val="20"/>
        </w:rPr>
      </w:pPr>
      <w:r>
        <w:rPr>
          <w:rFonts w:ascii="Times New Roman" w:hAnsi="Times New Roman"/>
          <w:sz w:val="20"/>
        </w:rPr>
        <w:t xml:space="preserve">I, Jonathan Gould, Comptroller of the Currency, do hereby certify that: </w:t>
      </w:r>
    </w:p>
    <w:p>
      <w:pPr>
        <w:pStyle w:val="TextBody"/>
        <w:bidi w:val="0"/>
        <w:spacing w:before="240" w:after="0"/>
        <w:jc w:val="left"/>
        <w:rPr>
          <w:rFonts w:ascii="Times New Roman" w:hAnsi="Times New Roman"/>
          <w:sz w:val="20"/>
        </w:rPr>
      </w:pPr>
      <w:r>
        <w:rPr>
          <w:rFonts w:ascii="Times New Roman" w:hAnsi="Times New Roman"/>
          <w:sz w:val="20"/>
        </w:rPr>
        <w:t xml:space="preserve">1. The Comptroller of the Currency, pursuant to Revised Statutes 324, et seq. as amended, and 12 USC 1, et seq, as amended, has possession, custody, and control of all records pertaining to the chartering, regulation, and supervision of all national banking associations. </w:t>
      </w:r>
    </w:p>
    <w:p>
      <w:pPr>
        <w:pStyle w:val="TextBody"/>
        <w:bidi w:val="0"/>
        <w:spacing w:before="240" w:after="0"/>
        <w:jc w:val="left"/>
        <w:rPr>
          <w:rFonts w:ascii="Times New Roman" w:hAnsi="Times New Roman"/>
          <w:sz w:val="20"/>
        </w:rPr>
      </w:pPr>
      <w:r>
        <w:rPr>
          <w:rFonts w:ascii="Times New Roman" w:hAnsi="Times New Roman"/>
          <w:sz w:val="20"/>
        </w:rPr>
        <w:t xml:space="preserve">2. “U.S. Bank Trust Company, National Association,” Portland, Oregon (Charter No. 23412), is a national banking association formed under the laws of the United States and is authorized thereunder to transact the business of banking and exercise fiduciary powers on the date of this certificate. </w:t>
      </w:r>
    </w:p>
    <w:p>
      <w:pPr>
        <w:pStyle w:val="TextBody"/>
        <w:bidi w:val="0"/>
        <w:spacing w:before="240" w:after="0"/>
        <w:jc w:val="left"/>
        <w:rPr>
          <w:rFonts w:ascii="Times New Roman" w:hAnsi="Times New Roman"/>
          <w:sz w:val="20"/>
        </w:rPr>
      </w:pPr>
      <w:r>
        <w:rPr>
          <w:rFonts w:ascii="Times New Roman" w:hAnsi="Times New Roman"/>
          <w:sz w:val="20"/>
        </w:rPr>
        <w:t xml:space="preserve">IN TESTIMONY WHEREOF, today, March 27, 2026, I have hereunto subscribed my name and caused my seal of office to be affixed to these presents at the U.S. Department of the Treasury, in the City of Washington, District of Columbia. </w:t>
      </w:r>
    </w:p>
    <w:p>
      <w:pPr>
        <w:pStyle w:val="TextBody"/>
        <w:bidi w:val="0"/>
        <w:spacing w:before="0" w:after="0"/>
        <w:jc w:val="left"/>
        <w:rPr/>
      </w:pPr>
      <w:r>
        <w:rPr/>
        <w:t> </w:t>
      </w:r>
    </w:p>
    <w:p>
      <w:pPr>
        <w:pStyle w:val="TextBody"/>
        <w:bidi w:val="0"/>
        <w:spacing w:before="0" w:after="0"/>
        <w:jc w:val="center"/>
        <w:rPr/>
      </w:pPr>
      <w:r>
        <w:rPr/>
        <w:drawing>
          <wp:inline distT="0" distB="0" distL="0" distR="0">
            <wp:extent cx="1914525" cy="476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6"/>
                    <a:stretch>
                      <a:fillRect/>
                    </a:stretch>
                  </pic:blipFill>
                  <pic:spPr bwMode="auto">
                    <a:xfrm>
                      <a:off x="0" y="0"/>
                      <a:ext cx="1914525" cy="476250"/>
                    </a:xfrm>
                    <a:prstGeom prst="rect">
                      <a:avLst/>
                    </a:prstGeom>
                  </pic:spPr>
                </pic:pic>
              </a:graphicData>
            </a:graphic>
          </wp:inline>
        </w:drawing>
      </w:r>
      <w:r>
        <w:rPr/>
        <w:t xml:space="preserve">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Comptroller of the Currency </w:t>
      </w:r>
    </w:p>
    <w:p>
      <w:pPr>
        <w:pStyle w:val="TextBody"/>
        <w:bidi w:val="0"/>
        <w:spacing w:before="0" w:after="0"/>
        <w:jc w:val="left"/>
        <w:rPr/>
      </w:pPr>
      <w:r>
        <w:rPr/>
        <w:t> </w:t>
      </w:r>
    </w:p>
    <w:p>
      <w:pPr>
        <w:pStyle w:val="TextBody"/>
        <w:bidi w:val="0"/>
        <w:spacing w:before="0" w:after="0"/>
        <w:jc w:val="center"/>
        <w:rPr/>
      </w:pPr>
      <w:r>
        <w:rPr/>
        <w:drawing>
          <wp:inline distT="0" distB="0" distL="0" distR="0">
            <wp:extent cx="1819275" cy="1895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7"/>
                    <a:stretch>
                      <a:fillRect/>
                    </a:stretch>
                  </pic:blipFill>
                  <pic:spPr bwMode="auto">
                    <a:xfrm>
                      <a:off x="0" y="0"/>
                      <a:ext cx="1819275" cy="18954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2026-00886-C </w:t>
      </w:r>
    </w:p>
    <w:p>
      <w:pPr>
        <w:pStyle w:val="TextBody"/>
        <w:bidi w:val="0"/>
        <w:spacing w:lineRule="atLeast" w:line="142" w:before="0" w:after="40"/>
        <w:jc w:val="left"/>
        <w:rPr>
          <w:bdr w:val="single" w:sz="8" w:space="1" w:color="000000"/>
        </w:rPr>
      </w:pPr>
      <w:r>
        <w:rPr>
          <w:bdr w:val="single" w:sz="8"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4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AMENDED AND RESTATED BYLAWS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Meetings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Annual Meeting</w:t>
      </w:r>
      <w:r>
        <w:rPr>
          <w:rFonts w:ascii="Times New Roman" w:hAnsi="Times New Roman"/>
          <w:sz w:val="20"/>
        </w:rPr>
        <w:t xml:space="preserve">.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Special Meetings</w:t>
      </w:r>
      <w:r>
        <w:rPr>
          <w:rFonts w:ascii="Times New Roman" w:hAnsi="Times New Roman"/>
          <w:sz w:val="20"/>
        </w:rPr>
        <w:t xml:space="preserve">. Except as otherwise specially provided by law, special meetings of the shareholders may be called for any purpose, at any time by a majority of the board of directors (the “Board”), or by any shareholder or group of shareholders owning at least ten percent of the outstanding stock. </w:t>
      </w:r>
    </w:p>
    <w:p>
      <w:pPr>
        <w:pStyle w:val="TextBody"/>
        <w:bidi w:val="0"/>
        <w:spacing w:before="240" w:after="0"/>
        <w:jc w:val="left"/>
        <w:rPr>
          <w:rFonts w:ascii="Times New Roman" w:hAnsi="Times New Roman"/>
          <w:sz w:val="20"/>
        </w:rPr>
      </w:pPr>
      <w:r>
        <w:rPr>
          <w:rFonts w:ascii="Times New Roman" w:hAnsi="Times New Roman"/>
          <w:sz w:val="20"/>
        </w:rPr>
        <w:t xml:space="preserve">Every such special meeting, unless otherwise provided by law, shall be called upon not less than ten (10) days nor more than sixty (60) days prior notice stating the purpose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Nominations for Directors</w:t>
      </w:r>
      <w:r>
        <w:rPr>
          <w:rFonts w:ascii="Times New Roman" w:hAnsi="Times New Roman"/>
          <w:sz w:val="20"/>
        </w:rPr>
        <w:t xml:space="preserve">. Nominations for election to the Board may be made by the Board or by any shareholder.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Proxies</w:t>
      </w:r>
      <w:r>
        <w:rPr>
          <w:rFonts w:ascii="Times New Roman" w:hAnsi="Times New Roman"/>
          <w:sz w:val="20"/>
        </w:rPr>
        <w:t xml:space="preserve">. Shareholders may vote at any meeting of the shareholders by proxies duly authorized in writing. Proxies shall be valid only for one meeting and any adjournments of such meeting and shall be filed with the records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Record Date</w:t>
      </w:r>
      <w:r>
        <w:rPr>
          <w:rFonts w:ascii="Times New Roman" w:hAnsi="Times New Roman"/>
          <w:sz w:val="20"/>
        </w:rPr>
        <w:t xml:space="preserve">. The record date for determining shareholders entitled to notice and to vote at any meeting will be thirty days before the date of such meeting, unless otherwise determined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Quorum and Voting</w:t>
      </w:r>
      <w:r>
        <w:rPr>
          <w:rFonts w:ascii="Times New Roman" w:hAnsi="Times New Roman"/>
          <w:sz w:val="20"/>
        </w:rPr>
        <w:t xml:space="preserve">. A majority of the outstanding capital stock, represented in person or by proxy, shall constitute a quorum at 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Inspectors</w:t>
      </w:r>
      <w:r>
        <w:rPr>
          <w:rFonts w:ascii="Times New Roman" w:hAnsi="Times New Roman"/>
          <w:sz w:val="20"/>
        </w:rPr>
        <w:t xml:space="preserve">.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Waiver and Consent</w:t>
      </w:r>
      <w:r>
        <w:rPr>
          <w:rFonts w:ascii="Times New Roman" w:hAnsi="Times New Roman"/>
          <w:sz w:val="20"/>
        </w:rPr>
        <w:t xml:space="preserve">. The shareholders may act without notice or a meeting by a unanimous written consent by all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Remote Meetings</w:t>
      </w:r>
      <w:r>
        <w:rPr>
          <w:rFonts w:ascii="Times New Roman" w:hAnsi="Times New Roman"/>
          <w:sz w:val="20"/>
        </w:rPr>
        <w:t xml:space="preserve">. The Board shall have the right to determine that a shareholder meeting not be held at a place, but instead be held solely by means of remote communication in the manner and to the extent permitted by the General Corporation Law of the State of Delaware.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Board of Directors</w:t>
      </w:r>
      <w:r>
        <w:rPr>
          <w:rFonts w:ascii="Times New Roman" w:hAnsi="Times New Roman"/>
          <w:sz w:val="20"/>
        </w:rPr>
        <w:t xml:space="preserve">. The Board shall have the power to manage and administer the business and affairs of the Association. Except as expressly limited by law, all corporate powers of the Association shall be vested in and may be exercised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Term of Office</w:t>
      </w:r>
      <w:r>
        <w:rPr>
          <w:rFonts w:ascii="Times New Roman" w:hAnsi="Times New Roman"/>
          <w:sz w:val="20"/>
        </w:rPr>
        <w:t xml:space="preserve">. The directors of this Association shall hold office for one year and until their successors are duly elected and qualified, or until their earlier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Powers</w:t>
      </w:r>
      <w:r>
        <w:rPr>
          <w:rFonts w:ascii="Times New Roman" w:hAnsi="Times New Roman"/>
          <w:sz w:val="20"/>
        </w:rPr>
        <w:t xml:space="preserve">. In addition to the foregoing, the Board shall have and may exercise all of the powers granted to or conferred upon it by the Articles of Association, the Bylaws and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Number</w:t>
      </w:r>
      <w:r>
        <w:rPr>
          <w:rFonts w:ascii="Times New Roman" w:hAnsi="Times New Roman"/>
          <w:sz w:val="20"/>
        </w:rPr>
        <w:t xml:space="preserve">.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Organization Meeting</w:t>
      </w:r>
      <w:r>
        <w:rPr>
          <w:rFonts w:ascii="Times New Roman" w:hAnsi="Times New Roman"/>
          <w:sz w:val="20"/>
        </w:rPr>
        <w:t xml:space="preserve">.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Regular Meetings</w:t>
      </w:r>
      <w:r>
        <w:rPr>
          <w:rFonts w:ascii="Times New Roman" w:hAnsi="Times New Roman"/>
          <w:sz w:val="20"/>
        </w:rPr>
        <w:t xml:space="preserve">. The regular meetings of the Board shall be held, without notice, as the Chairman or President may designate and deem suitable.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Special Meetings</w:t>
      </w:r>
      <w:r>
        <w:rPr>
          <w:rFonts w:ascii="Times New Roman" w:hAnsi="Times New Roman"/>
          <w:sz w:val="20"/>
        </w:rPr>
        <w:t xml:space="preserve">.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Quorum and Necessary Vote</w:t>
      </w:r>
      <w:r>
        <w:rPr>
          <w:rFonts w:ascii="Times New Roman" w:hAnsi="Times New Roman"/>
          <w:sz w:val="20"/>
        </w:rPr>
        <w:t xml:space="preserve">.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Written Consent</w:t>
      </w:r>
      <w:r>
        <w:rPr>
          <w:rFonts w:ascii="Times New Roman" w:hAnsi="Times New Roman"/>
          <w:sz w:val="20"/>
        </w:rPr>
        <w:t xml:space="preserve">. Except as otherwise required by applicable laws and regulations, the Board may act without a meeting by a unanimous written consent by all directors, to be filed with the Secretary of the Association as part of the corporate records.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Remote Meetings</w:t>
      </w:r>
      <w:r>
        <w:rPr>
          <w:rFonts w:ascii="Times New Roman" w:hAnsi="Times New Roman"/>
          <w:sz w:val="20"/>
        </w:rPr>
        <w:t xml:space="preserve">.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Vacancies</w:t>
      </w:r>
      <w:r>
        <w:rPr>
          <w:rFonts w:ascii="Times New Roman" w:hAnsi="Times New Roman"/>
          <w:sz w:val="20"/>
        </w:rPr>
        <w:t xml:space="preserve">. When any vacancy occurs among the directors, the remaining members of the Board may appoint a director to fill such vacancy at any regular meeting of the Board, or at a special meeting called for that purpose.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III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Committees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Advisory Board of Directors</w:t>
      </w:r>
      <w:r>
        <w:rPr>
          <w:rFonts w:ascii="Times New Roman" w:hAnsi="Times New Roman"/>
          <w:sz w:val="20"/>
        </w:rPr>
        <w:t xml:space="preserve">.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Trust Audit Committee</w:t>
      </w:r>
      <w:r>
        <w:rPr>
          <w:rFonts w:ascii="Times New Roman" w:hAnsi="Times New Roman"/>
          <w:sz w:val="20"/>
        </w:rPr>
        <w:t xml:space="preserve">.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of the financial holding company that is the ultimate parent of this Association, fulfilling the function of the trust audit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(1) Must not include any officers of the Association or an affiliate who participate significantly in the administration of the Association’s fiduciary activities; and </w:t>
      </w:r>
    </w:p>
    <w:p>
      <w:pPr>
        <w:pStyle w:val="TextBody"/>
        <w:bidi w:val="0"/>
        <w:spacing w:before="240" w:after="0"/>
        <w:jc w:val="left"/>
        <w:rPr>
          <w:rFonts w:ascii="Times New Roman" w:hAnsi="Times New Roman"/>
          <w:sz w:val="20"/>
        </w:rPr>
      </w:pPr>
      <w:r>
        <w:rPr>
          <w:rFonts w:ascii="Times New Roman" w:hAnsi="Times New Roman"/>
          <w:sz w:val="20"/>
        </w:rPr>
        <w:t xml:space="preserve">(2) Must consist of a majority of members who are not also members of any committee to which the Board has delegated power to manage and control the fiduciary activities of the Association.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Executive Committee</w:t>
      </w:r>
      <w:r>
        <w:rPr>
          <w:rFonts w:ascii="Times New Roman" w:hAnsi="Times New Roman"/>
          <w:sz w:val="20"/>
        </w:rPr>
        <w:t xml:space="preserve">. The Board may appoint an Executive Committee which shall consist of at least three directors and which shall have, and may exercise, to the extent permitted by applicable law, all the powers of the Board between meetings of the Board or otherwise when the Board is not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Trust Management Committee</w:t>
      </w:r>
      <w:r>
        <w:rPr>
          <w:rFonts w:ascii="Times New Roman" w:hAnsi="Times New Roman"/>
          <w:sz w:val="20"/>
        </w:rPr>
        <w:t xml:space="preserve">.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Other Committees</w:t>
      </w:r>
      <w:r>
        <w:rPr>
          <w:rFonts w:ascii="Times New Roman" w:hAnsi="Times New Roman"/>
          <w:sz w:val="20"/>
        </w:rPr>
        <w:t xml:space="preserve">.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Meetings, Minutes and Rules</w:t>
      </w:r>
      <w:r>
        <w:rPr>
          <w:rFonts w:ascii="Times New Roman" w:hAnsi="Times New Roman"/>
          <w:sz w:val="20"/>
        </w:rPr>
        <w:t xml:space="preserve">.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IV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Who Shall Constitute</w:t>
      </w:r>
      <w:r>
        <w:rPr>
          <w:rFonts w:ascii="Times New Roman" w:hAnsi="Times New Roman"/>
          <w:sz w:val="20"/>
        </w:rPr>
        <w:t xml:space="preserve">.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Term of Office</w:t>
      </w:r>
      <w:r>
        <w:rPr>
          <w:rFonts w:ascii="Times New Roman" w:hAnsi="Times New Roman"/>
          <w:sz w:val="20"/>
        </w:rPr>
        <w:t xml:space="preserve">.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Chairman of the Board</w:t>
      </w:r>
      <w:r>
        <w:rPr>
          <w:rFonts w:ascii="Times New Roman" w:hAnsi="Times New Roman"/>
          <w:sz w:val="20"/>
        </w:rPr>
        <w:t xml:space="preserve">.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President</w:t>
      </w:r>
      <w:r>
        <w:rPr>
          <w:rFonts w:ascii="Times New Roman" w:hAnsi="Times New Roman"/>
          <w:sz w:val="20"/>
        </w:rPr>
        <w:t xml:space="preserve">.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Vice President</w:t>
      </w:r>
      <w:r>
        <w:rPr>
          <w:rFonts w:ascii="Times New Roman" w:hAnsi="Times New Roman"/>
          <w:sz w:val="20"/>
        </w:rPr>
        <w:t xml:space="preserve">. The Board may appoint one or more Vice Presidents who shall have such powers and duties as may be assigned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Board and to perform the duties of the President on those occasions when the President is absent, including presiding at any meeting of the Board in the absence of both the Chairman and President.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Secretary</w:t>
      </w:r>
      <w:r>
        <w:rPr>
          <w:rFonts w:ascii="Times New Roman" w:hAnsi="Times New Roman"/>
          <w:sz w:val="20"/>
        </w:rPr>
        <w:t xml:space="preserve">.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Other Officers</w:t>
      </w:r>
      <w:r>
        <w:rPr>
          <w:rFonts w:ascii="Times New Roman" w:hAnsi="Times New Roman"/>
          <w:sz w:val="20"/>
        </w:rPr>
        <w:t xml:space="preserve">. The Board may appoint, and may authorize the Chairman, the President or any other officer to appoint, any officer as from time to time may appear to the Board, the Chairman, the President or such other officer to be required or desirable to transact the business of the Association. </w:t>
      </w:r>
    </w:p>
    <w:p>
      <w:pPr>
        <w:pStyle w:val="TextBody"/>
        <w:bidi w:val="0"/>
        <w:spacing w:before="240" w:after="0"/>
        <w:jc w:val="left"/>
        <w:rPr>
          <w:rFonts w:ascii="Times New Roman" w:hAnsi="Times New Roman"/>
          <w:sz w:val="20"/>
        </w:rPr>
      </w:pPr>
      <w:r>
        <w:rPr>
          <w:rFonts w:ascii="Times New Roman" w:hAnsi="Times New Roman"/>
          <w:sz w:val="20"/>
        </w:rPr>
        <w:t xml:space="preserve">Such officers shall exercise such powers and perform such duties as pertain to their several offices, or as may be conferred upon or assigned to them by these Bylaws, the Board, the Chairman, the President or such other authorized officer. Any person may hold two offices.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V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Stock </w:t>
      </w:r>
    </w:p>
    <w:p>
      <w:pPr>
        <w:pStyle w:val="TextBody"/>
        <w:bidi w:val="0"/>
        <w:spacing w:before="240" w:after="0"/>
        <w:jc w:val="left"/>
        <w:rPr>
          <w:rFonts w:ascii="Times New Roman" w:hAnsi="Times New Roman"/>
          <w:sz w:val="20"/>
        </w:rPr>
      </w:pPr>
      <w:r>
        <w:rPr>
          <w:rFonts w:ascii="Times New Roman" w:hAnsi="Times New Roman"/>
          <w:sz w:val="20"/>
        </w:rPr>
        <w:t xml:space="preserve">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VI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Corporate Seal </w:t>
      </w:r>
    </w:p>
    <w:p>
      <w:pPr>
        <w:pStyle w:val="TextBody"/>
        <w:bidi w:val="0"/>
        <w:spacing w:before="240" w:after="0"/>
        <w:jc w:val="left"/>
        <w:rPr>
          <w:rFonts w:ascii="Times New Roman" w:hAnsi="Times New Roman"/>
          <w:sz w:val="20"/>
        </w:rPr>
      </w:pPr>
      <w:r>
        <w:rPr>
          <w:rFonts w:ascii="Times New Roman" w:hAnsi="Times New Roman"/>
          <w:sz w:val="20"/>
        </w:rPr>
        <w:t xml:space="preserve">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VII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Execution of Instruments</w:t>
      </w:r>
      <w:r>
        <w:rPr>
          <w:rFonts w:ascii="Times New Roman" w:hAnsi="Times New Roman"/>
          <w:sz w:val="20"/>
        </w:rPr>
        <w:t xml:space="preserve">.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Records</w:t>
      </w:r>
      <w:r>
        <w:rPr>
          <w:rFonts w:ascii="Times New Roman" w:hAnsi="Times New Roman"/>
          <w:sz w:val="20"/>
        </w:rPr>
        <w:t xml:space="preserve">.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Trust Files</w:t>
      </w:r>
      <w:r>
        <w:rPr>
          <w:rFonts w:ascii="Times New Roman" w:hAnsi="Times New Roman"/>
          <w:sz w:val="20"/>
        </w:rPr>
        <w:t xml:space="preserve">. There shall be maintained in the Association files all fiduciary records necessary to assure that its fiduciary responsibilities have been properly undertaken and discharged.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Trust Investments</w:t>
      </w:r>
      <w:r>
        <w:rPr>
          <w:rFonts w:ascii="Times New Roman" w:hAnsi="Times New Roman"/>
          <w:sz w:val="20"/>
        </w:rPr>
        <w:t xml:space="preserve">. Funds held in a fiduciary capacity shall be invested according to the instrument establishing the fiduciary relationship and according to law. Where such instrument does not specify the character and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investments to be made and does not vest in the Association a discretion in the matter, funds held pursuant to such instrument shall be invested in investments in which corporate fiduciaries may invest under law.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Notice</w:t>
      </w:r>
      <w:r>
        <w:rPr>
          <w:rFonts w:ascii="Times New Roman" w:hAnsi="Times New Roman"/>
          <w:sz w:val="20"/>
        </w:rPr>
        <w:t xml:space="preserve">.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 </w:t>
      </w:r>
    </w:p>
    <w:p>
      <w:pPr>
        <w:pStyle w:val="TextBody"/>
        <w:bidi w:val="0"/>
        <w:spacing w:before="240" w:after="0"/>
        <w:jc w:val="left"/>
        <w:rPr>
          <w:rFonts w:ascii="Times New Roman" w:hAnsi="Times New Roman"/>
          <w:sz w:val="20"/>
        </w:rPr>
      </w:pPr>
      <w:r>
        <w:rPr>
          <w:rFonts w:ascii="Times New Roman" w:hAnsi="Times New Roman"/>
          <w:sz w:val="20"/>
        </w:rPr>
        <w:t xml:space="preserve">Except where specified otherwise in these Bylaws, prior notice shall be proper if given not more than 30 days nor less than 10 days prior to the event for which notice is given.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VIII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 </w:t>
      </w:r>
    </w:p>
    <w:p>
      <w:pPr>
        <w:pStyle w:val="TextBody"/>
        <w:bidi w:val="0"/>
        <w:spacing w:before="240" w:after="0"/>
        <w:jc w:val="left"/>
        <w:rPr>
          <w:rFonts w:ascii="Times New Roman" w:hAnsi="Times New Roman"/>
          <w:sz w:val="20"/>
        </w:rPr>
      </w:pPr>
      <w:r>
        <w:rPr>
          <w:rFonts w:ascii="Times New Roman" w:hAnsi="Times New Roman"/>
          <w:sz w:val="20"/>
        </w:rPr>
        <w:t xml:space="preserve">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IX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Bylaws: Interpretation and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9.1. These Bylaws shall be interpreted in accordance with and subject to appropriate provisions of law, and may be added to, altered, amended, or repealed, at any regular or special meeting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9.2. A copy of the Bylaws and all amendments shall at all times be kept in a convenient place at the principal office of the Association, and shall be open for inspection to all shareholders during Association hours.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X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Fiscal Year</w:t>
      </w:r>
      <w:r>
        <w:rPr>
          <w:rFonts w:ascii="Times New Roman" w:hAnsi="Times New Roman"/>
          <w:sz w:val="20"/>
        </w:rPr>
        <w:t xml:space="preserve">. The fiscal year of the Association shall begin on the first day of January in each year and shall end on the thirty-first day of December following.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Governing Law</w:t>
      </w:r>
      <w:r>
        <w:rPr>
          <w:rFonts w:ascii="Times New Roman" w:hAnsi="Times New Roman"/>
          <w:sz w:val="20"/>
        </w:rPr>
        <w:t xml:space="preserve">. This Association designates the Delaware General Corporation Law, as amended from time to time, as the governing law for its corporate governance procedures, to the extent not inconsistent with Federal banking statutes and regulations or bank safety and soundness.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(November 6, 2025)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25.1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Exhibit 6 </w:t>
      </w:r>
    </w:p>
    <w:p>
      <w:pPr>
        <w:pStyle w:val="TextBody"/>
        <w:bidi w:val="0"/>
        <w:spacing w:before="240" w:after="0"/>
        <w:jc w:val="center"/>
        <w:rPr>
          <w:rFonts w:ascii="Times New Roman" w:hAnsi="Times New Roman"/>
          <w:b/>
          <w:sz w:val="20"/>
        </w:rPr>
      </w:pPr>
      <w:r>
        <w:rPr>
          <w:rFonts w:ascii="Times New Roman" w:hAnsi="Times New Roman"/>
          <w:b/>
          <w:sz w:val="20"/>
        </w:rPr>
        <w:t xml:space="preserve">CONSENT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 </w:t>
      </w:r>
    </w:p>
    <w:p>
      <w:pPr>
        <w:pStyle w:val="TextBody"/>
        <w:bidi w:val="0"/>
        <w:spacing w:before="360" w:after="0"/>
        <w:jc w:val="left"/>
        <w:rPr>
          <w:rFonts w:ascii="Times New Roman" w:hAnsi="Times New Roman"/>
          <w:sz w:val="20"/>
        </w:rPr>
      </w:pPr>
      <w:r>
        <w:rPr>
          <w:rFonts w:ascii="Times New Roman" w:hAnsi="Times New Roman"/>
          <w:sz w:val="20"/>
        </w:rPr>
        <w:t xml:space="preserve">Dated: June 30,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Wally Jones</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vAlign w:val="bottom"/>
          </w:tcPr>
          <w:p>
            <w:pPr>
              <w:pStyle w:val="TableContents"/>
              <w:bidi w:val="0"/>
              <w:spacing w:before="0" w:after="283"/>
              <w:jc w:val="left"/>
              <w:rPr/>
            </w:pPr>
            <w:r>
              <w:rPr/>
              <w:t>Wally Jones</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vAlign w:val="bottom"/>
          </w:tcPr>
          <w:p>
            <w:pPr>
              <w:pStyle w:val="TableContents"/>
              <w:bidi w:val="0"/>
              <w:spacing w:before="0" w:after="283"/>
              <w:jc w:val="left"/>
              <w:rPr/>
            </w:pPr>
            <w:r>
              <w:rPr/>
              <w:t>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7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 of Financial Condition </w:t>
      </w:r>
    </w:p>
    <w:p>
      <w:pPr>
        <w:pStyle w:val="TextBody"/>
        <w:bidi w:val="0"/>
        <w:spacing w:before="0" w:after="0"/>
        <w:jc w:val="center"/>
        <w:rPr>
          <w:rFonts w:ascii="Times New Roman" w:hAnsi="Times New Roman"/>
          <w:b/>
          <w:sz w:val="20"/>
        </w:rPr>
      </w:pPr>
      <w:r>
        <w:rPr>
          <w:rFonts w:ascii="Times New Roman" w:hAnsi="Times New Roman"/>
          <w:b/>
          <w:sz w:val="20"/>
        </w:rPr>
        <w:t xml:space="preserve">as of 12/31/2025 </w:t>
      </w:r>
    </w:p>
    <w:p>
      <w:pPr>
        <w:pStyle w:val="TextBody"/>
        <w:bidi w:val="0"/>
        <w:spacing w:before="240" w:after="0"/>
        <w:jc w:val="center"/>
        <w:rPr>
          <w:rFonts w:ascii="Times New Roman" w:hAnsi="Times New Roman"/>
          <w:b/>
          <w:sz w:val="20"/>
        </w:rPr>
      </w:pPr>
      <w:r>
        <w:rPr>
          <w:rFonts w:ascii="Times New Roman" w:hAnsi="Times New Roman"/>
          <w:b/>
          <w:sz w:val="20"/>
        </w:rPr>
        <w:t xml:space="preserve">($000’s)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48"/>
        <w:gridCol w:w="246"/>
        <w:gridCol w:w="140"/>
        <w:gridCol w:w="1009"/>
        <w:gridCol w:w="62"/>
      </w:tblGrid>
      <w:tr>
        <w:trPr/>
        <w:tc>
          <w:tcPr>
            <w:tcW w:w="8748"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74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12/31/2025</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Cash and Balances Due From Depository Institutions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9" w:type="dxa"/>
            <w:tcBorders/>
            <w:vAlign w:val="bottom"/>
          </w:tcPr>
          <w:p>
            <w:pPr>
              <w:pStyle w:val="TableContents"/>
              <w:bidi w:val="0"/>
              <w:spacing w:before="0" w:after="283"/>
              <w:jc w:val="right"/>
              <w:rPr/>
            </w:pPr>
            <w:r>
              <w:rPr/>
              <w:t>2,035,855</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4,696</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Federal Funds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&amp; Lease Financing Receivables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Fixed Assets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623</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574,084</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173,370</w:t>
            </w:r>
          </w:p>
        </w:tc>
        <w:tc>
          <w:tcPr>
            <w:tcW w:w="62" w:type="dxa"/>
            <w:tcBorders/>
            <w:vAlign w:val="bottom"/>
          </w:tcPr>
          <w:p>
            <w:pPr>
              <w:pStyle w:val="TableContents"/>
              <w:bidi w:val="0"/>
              <w:spacing w:before="0" w:after="283"/>
              <w:jc w:val="left"/>
              <w:rPr/>
            </w:pPr>
            <w:r>
              <w:rPr/>
              <w:t> </w:t>
            </w:r>
          </w:p>
        </w:tc>
      </w:tr>
      <w:tr>
        <w:trPr/>
        <w:tc>
          <w:tcPr>
            <w:tcW w:w="8748"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09" w:type="dxa"/>
            <w:tcBorders/>
            <w:shd w:fill="CCEEFF" w:val="clear"/>
            <w:vAlign w:val="bottom"/>
          </w:tcPr>
          <w:p>
            <w:pPr>
              <w:pStyle w:val="TableContents"/>
              <w:bidi w:val="0"/>
              <w:spacing w:before="0" w:after="283"/>
              <w:jc w:val="right"/>
              <w:rPr>
                <w:b/>
              </w:rPr>
            </w:pPr>
            <w:r>
              <w:rPr>
                <w:b/>
              </w:rPr>
              <w:t>2,788,628</w:t>
            </w:r>
          </w:p>
        </w:tc>
        <w:tc>
          <w:tcPr>
            <w:tcW w:w="62" w:type="dxa"/>
            <w:tcBorders/>
            <w:shd w:fill="CCEEFF" w:val="clear"/>
            <w:vAlign w:val="bottom"/>
          </w:tcPr>
          <w:p>
            <w:pPr>
              <w:pStyle w:val="TableContents"/>
              <w:bidi w:val="0"/>
              <w:spacing w:before="0" w:after="283"/>
              <w:jc w:val="left"/>
              <w:rPr/>
            </w:pPr>
            <w:r>
              <w:rPr/>
              <w:t> </w:t>
            </w:r>
          </w:p>
        </w:tc>
      </w:tr>
      <w:tr>
        <w:trPr>
          <w:trHeight w:val="120" w:hRule="atLeast"/>
        </w:trPr>
        <w:tc>
          <w:tcPr>
            <w:tcW w:w="8748" w:type="dxa"/>
            <w:tcBorders/>
            <w:vAlign w:val="center"/>
          </w:tcPr>
          <w:p>
            <w:pPr>
              <w:pStyle w:val="TableContents"/>
              <w:bidi w:val="0"/>
              <w:spacing w:before="0" w:after="283"/>
              <w:jc w:val="left"/>
              <w:rPr>
                <w:sz w:val="4"/>
                <w:szCs w:val="4"/>
              </w:rPr>
            </w:pPr>
            <w:r>
              <w:rPr>
                <w:sz w:val="4"/>
                <w:szCs w:val="4"/>
              </w:rPr>
            </w:r>
          </w:p>
        </w:tc>
        <w:tc>
          <w:tcPr>
            <w:tcW w:w="1457" w:type="dxa"/>
            <w:gridSpan w:val="4"/>
            <w:tcBorders/>
            <w:vAlign w:val="center"/>
          </w:tcPr>
          <w:p>
            <w:pPr>
              <w:pStyle w:val="TableContents"/>
              <w:bidi w:val="0"/>
              <w:spacing w:before="0" w:after="283"/>
              <w:jc w:val="left"/>
              <w:rPr>
                <w:sz w:val="4"/>
                <w:szCs w:val="4"/>
              </w:rPr>
            </w:pPr>
            <w:r>
              <w:rPr>
                <w:sz w:val="4"/>
                <w:szCs w:val="4"/>
              </w:rPr>
            </w:r>
          </w:p>
        </w:tc>
      </w:tr>
      <w:tr>
        <w:trPr/>
        <w:tc>
          <w:tcPr>
            <w:tcW w:w="874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Fed Funds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Demand Notes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Trading Liabilities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Borrowed Money</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Acceptances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Subordinated Notes and Debentures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237,596</w:t>
            </w:r>
          </w:p>
        </w:tc>
        <w:tc>
          <w:tcPr>
            <w:tcW w:w="62" w:type="dxa"/>
            <w:tcBorders/>
            <w:vAlign w:val="bottom"/>
          </w:tcPr>
          <w:p>
            <w:pPr>
              <w:pStyle w:val="TableContents"/>
              <w:bidi w:val="0"/>
              <w:spacing w:before="0" w:after="283"/>
              <w:jc w:val="left"/>
              <w:rPr/>
            </w:pPr>
            <w:r>
              <w:rPr/>
              <w:t> </w:t>
            </w:r>
          </w:p>
        </w:tc>
      </w:tr>
      <w:tr>
        <w:trPr/>
        <w:tc>
          <w:tcPr>
            <w:tcW w:w="8748"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09" w:type="dxa"/>
            <w:tcBorders/>
            <w:shd w:fill="CCEEFF" w:val="clear"/>
            <w:vAlign w:val="bottom"/>
          </w:tcPr>
          <w:p>
            <w:pPr>
              <w:pStyle w:val="TableContents"/>
              <w:bidi w:val="0"/>
              <w:spacing w:before="0" w:after="283"/>
              <w:jc w:val="right"/>
              <w:rPr>
                <w:b/>
              </w:rPr>
            </w:pPr>
            <w:r>
              <w:rPr>
                <w:b/>
              </w:rPr>
              <w:t>237,596</w:t>
            </w:r>
          </w:p>
        </w:tc>
        <w:tc>
          <w:tcPr>
            <w:tcW w:w="62" w:type="dxa"/>
            <w:tcBorders/>
            <w:shd w:fill="CCEEFF" w:val="clear"/>
            <w:vAlign w:val="bottom"/>
          </w:tcPr>
          <w:p>
            <w:pPr>
              <w:pStyle w:val="TableContents"/>
              <w:bidi w:val="0"/>
              <w:spacing w:before="0" w:after="283"/>
              <w:jc w:val="left"/>
              <w:rPr/>
            </w:pPr>
            <w:r>
              <w:rPr/>
              <w:t> </w:t>
            </w:r>
          </w:p>
        </w:tc>
      </w:tr>
      <w:tr>
        <w:trPr>
          <w:trHeight w:val="120" w:hRule="atLeast"/>
        </w:trPr>
        <w:tc>
          <w:tcPr>
            <w:tcW w:w="8748" w:type="dxa"/>
            <w:tcBorders/>
            <w:vAlign w:val="center"/>
          </w:tcPr>
          <w:p>
            <w:pPr>
              <w:pStyle w:val="TableContents"/>
              <w:bidi w:val="0"/>
              <w:spacing w:before="0" w:after="283"/>
              <w:jc w:val="left"/>
              <w:rPr>
                <w:sz w:val="4"/>
                <w:szCs w:val="4"/>
              </w:rPr>
            </w:pPr>
            <w:r>
              <w:rPr>
                <w:sz w:val="4"/>
                <w:szCs w:val="4"/>
              </w:rPr>
            </w:r>
          </w:p>
        </w:tc>
        <w:tc>
          <w:tcPr>
            <w:tcW w:w="1457" w:type="dxa"/>
            <w:gridSpan w:val="4"/>
            <w:tcBorders/>
            <w:vAlign w:val="center"/>
          </w:tcPr>
          <w:p>
            <w:pPr>
              <w:pStyle w:val="TableContents"/>
              <w:bidi w:val="0"/>
              <w:spacing w:before="0" w:after="283"/>
              <w:jc w:val="left"/>
              <w:rPr>
                <w:sz w:val="4"/>
                <w:szCs w:val="4"/>
              </w:rPr>
            </w:pPr>
            <w:r>
              <w:rPr>
                <w:sz w:val="4"/>
                <w:szCs w:val="4"/>
              </w:rPr>
            </w:r>
          </w:p>
        </w:tc>
      </w:tr>
      <w:tr>
        <w:trPr/>
        <w:tc>
          <w:tcPr>
            <w:tcW w:w="8748" w:type="dxa"/>
            <w:tcBorders/>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and Preferred Stock</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200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Surplus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1,171,635</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Undivided Profits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1,379,197</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Minority Interest in Subsidiaries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Equity Capital</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09" w:type="dxa"/>
            <w:tcBorders/>
            <w:shd w:fill="CCEEFF" w:val="clear"/>
            <w:vAlign w:val="bottom"/>
          </w:tcPr>
          <w:p>
            <w:pPr>
              <w:pStyle w:val="TableContents"/>
              <w:bidi w:val="0"/>
              <w:spacing w:before="0" w:after="283"/>
              <w:jc w:val="right"/>
              <w:rPr>
                <w:b/>
              </w:rPr>
            </w:pPr>
            <w:r>
              <w:rPr>
                <w:b/>
              </w:rPr>
              <w:t>2,551,032</w:t>
            </w:r>
          </w:p>
        </w:tc>
        <w:tc>
          <w:tcPr>
            <w:tcW w:w="62" w:type="dxa"/>
            <w:tcBorders/>
            <w:shd w:fill="CCEEFF" w:val="clear"/>
            <w:vAlign w:val="bottom"/>
          </w:tcPr>
          <w:p>
            <w:pPr>
              <w:pStyle w:val="TableContents"/>
              <w:bidi w:val="0"/>
              <w:spacing w:before="0" w:after="283"/>
              <w:jc w:val="left"/>
              <w:rPr/>
            </w:pPr>
            <w:r>
              <w:rPr/>
              <w:t> </w:t>
            </w:r>
          </w:p>
        </w:tc>
      </w:tr>
      <w:tr>
        <w:trPr>
          <w:trHeight w:val="120" w:hRule="atLeast"/>
        </w:trPr>
        <w:tc>
          <w:tcPr>
            <w:tcW w:w="8748" w:type="dxa"/>
            <w:tcBorders/>
            <w:vAlign w:val="center"/>
          </w:tcPr>
          <w:p>
            <w:pPr>
              <w:pStyle w:val="TableContents"/>
              <w:bidi w:val="0"/>
              <w:spacing w:before="0" w:after="283"/>
              <w:jc w:val="left"/>
              <w:rPr>
                <w:sz w:val="4"/>
                <w:szCs w:val="4"/>
              </w:rPr>
            </w:pPr>
            <w:r>
              <w:rPr>
                <w:sz w:val="4"/>
                <w:szCs w:val="4"/>
              </w:rPr>
            </w:r>
          </w:p>
        </w:tc>
        <w:tc>
          <w:tcPr>
            <w:tcW w:w="1457" w:type="dxa"/>
            <w:gridSpan w:val="4"/>
            <w:tcBorders/>
            <w:vAlign w:val="center"/>
          </w:tcPr>
          <w:p>
            <w:pPr>
              <w:pStyle w:val="TableContents"/>
              <w:bidi w:val="0"/>
              <w:spacing w:before="0" w:after="283"/>
              <w:jc w:val="left"/>
              <w:rPr>
                <w:sz w:val="4"/>
                <w:szCs w:val="4"/>
              </w:rPr>
            </w:pPr>
            <w:r>
              <w:rPr>
                <w:sz w:val="4"/>
                <w:szCs w:val="4"/>
              </w:rPr>
            </w:r>
          </w:p>
        </w:tc>
      </w:tr>
      <w:tr>
        <w:trPr/>
        <w:tc>
          <w:tcPr>
            <w:tcW w:w="874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 Capital</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09" w:type="dxa"/>
            <w:tcBorders/>
            <w:vAlign w:val="bottom"/>
          </w:tcPr>
          <w:p>
            <w:pPr>
              <w:pStyle w:val="TableContents"/>
              <w:bidi w:val="0"/>
              <w:spacing w:before="0" w:after="283"/>
              <w:jc w:val="right"/>
              <w:rPr>
                <w:b/>
              </w:rPr>
            </w:pPr>
            <w:r>
              <w:rPr>
                <w:b/>
              </w:rPr>
              <w:t>2,788,628</w:t>
            </w:r>
          </w:p>
        </w:tc>
        <w:tc>
          <w:tcPr>
            <w:tcW w:w="62" w:type="dxa"/>
            <w:tcBorders/>
            <w:vAlign w:val="bottom"/>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34" w:name="d86113dexfilingfees.htm"/>
      <w:bookmarkStart w:id="35" w:name="ksd86113dexfilingfees"/>
      <w:bookmarkStart w:id="36" w:name="d86113dexfilingfees.htm"/>
      <w:bookmarkStart w:id="37" w:name="ksd86113dexfilingfees"/>
      <w:bookmarkEnd w:id="36"/>
      <w:bookmarkEnd w:id="37"/>
      <w:r>
        <w:br w:type="page"/>
      </w:r>
    </w:p>
    <w:tbl>
      <w:tblPr>
        <w:tblW w:w="3549" w:type="dxa"/>
        <w:jc w:val="left"/>
        <w:tblInd w:w="0" w:type="dxa"/>
        <w:tblLayout w:type="fixed"/>
        <w:tblCellMar>
          <w:top w:w="28" w:type="dxa"/>
          <w:left w:w="28" w:type="dxa"/>
          <w:bottom w:w="28" w:type="dxa"/>
          <w:right w:w="28" w:type="dxa"/>
        </w:tblCellMar>
      </w:tblPr>
      <w:tblGrid>
        <w:gridCol w:w="3395"/>
        <w:gridCol w:w="154"/>
      </w:tblGrid>
      <w:tr>
        <w:trPr/>
        <w:tc>
          <w:tcPr>
            <w:tcW w:w="354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5" w:type="dxa"/>
            <w:tcBorders/>
            <w:vAlign w:val="center"/>
          </w:tcPr>
          <w:p>
            <w:pPr>
              <w:pStyle w:val="TableContents"/>
              <w:bidi w:val="0"/>
              <w:spacing w:before="0" w:after="283"/>
              <w:jc w:val="left"/>
              <w:rPr>
                <w:b/>
              </w:rPr>
            </w:pPr>
            <w:r>
              <w:rPr>
                <w:b/>
              </w:rPr>
              <w:t xml:space="preserve">F-3 </w:t>
            </w:r>
          </w:p>
        </w:tc>
        <w:tc>
          <w:tcPr>
            <w:tcW w:w="154" w:type="dxa"/>
            <w:tcBorders/>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283"/>
              <w:jc w:val="left"/>
              <w:rPr>
                <w:b/>
              </w:rPr>
            </w:pPr>
            <w:r>
              <w:rPr>
                <w:b/>
              </w:rPr>
              <w:t xml:space="preserve">Abivax S.A.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54" w:type="dxa"/>
        <w:jc w:val="left"/>
        <w:tblInd w:w="0" w:type="dxa"/>
        <w:tblLayout w:type="fixed"/>
        <w:tblCellMar>
          <w:top w:w="28" w:type="dxa"/>
          <w:left w:w="28" w:type="dxa"/>
          <w:bottom w:w="28" w:type="dxa"/>
          <w:right w:w="28" w:type="dxa"/>
        </w:tblCellMar>
      </w:tblPr>
      <w:tblGrid>
        <w:gridCol w:w="1126"/>
        <w:gridCol w:w="226"/>
        <w:gridCol w:w="946"/>
        <w:gridCol w:w="102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Ordinary Shares, nominal value 0.01 euro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38" w:name="MaxAggtOfferingPrice"/>
            <w:bookmarkEnd w:id="38"/>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9" w:name="TotalFee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TotalPreviouslyPaid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TotalOffsetAmt"/>
            <w:bookmarkEnd w:id="4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2" w:name="NetFeeAmt"/>
            <w:bookmarkEnd w:id="4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5"/>
        <w:gridCol w:w="8709"/>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An unspecified maximum aggregate offering price and number of securities of each identified class is being registered and may from time to time be offered at unspecified prices. Any securities registered hereunder may be sold separately or as units with other securities registered hereunder. In accordance with Rules 456(b) and 457(r) under the Securities Act of 1933, as amended (the "Securities Ac"), the registrant is deferring payment of the entire registration fee. In connection with the securities offered hereby, the registrant will pay "pay-as-you-go registration fees" in accordance with Rule 456(b) under the Securities Act. The registrant will calculate the registration fee applicable to an offer of securities pursuant to this registration statement based on the fee rate in effect on the date of such fee payment. Pursuant to Rule 416 under the Securities Act, this registration statement shall also cover any additional shares of the registrant's securities that become issuable by reason of any share split, share dividend or similar transaction.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See Offering Note 1 above.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4" w:type="dxa"/>
            <w:gridSpan w:val="2"/>
            <w:tcBorders/>
            <w:vAlign w:val="center"/>
          </w:tcPr>
          <w:p>
            <w:pPr>
              <w:pStyle w:val="TableContents"/>
              <w:bidi w:val="0"/>
              <w:spacing w:before="0" w:after="283"/>
              <w:jc w:val="left"/>
              <w:rPr/>
            </w:pPr>
            <w:r>
              <w:rPr/>
              <w:t xml:space="preserve">See Offering Note 1 above.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956827/000195682726000012/abvx-20251231.htm" TargetMode="External"/><Relationship Id="rId4" Type="http://schemas.openxmlformats.org/officeDocument/2006/relationships/hyperlink" Target="http://www.sec.gov/Archives/edgar/data/1956827/000195682726000003/a6-kxeccopr.htm" TargetMode="External"/><Relationship Id="rId5" Type="http://schemas.openxmlformats.org/officeDocument/2006/relationships/hyperlink" Target="http://www.sec.gov/Archives/edgar/data/1956827/000195682726000014/abivax-6xkpreparatorydocum.htm" TargetMode="External"/><Relationship Id="rId6" Type="http://schemas.openxmlformats.org/officeDocument/2006/relationships/hyperlink" Target="http://www.sec.gov/Archives/edgar/data/1956827/000119312526211853/d148287d6k.htm" TargetMode="External"/><Relationship Id="rId7" Type="http://schemas.openxmlformats.org/officeDocument/2006/relationships/hyperlink" Target="http://www.sec.gov/Archives/edgar/data/1956827/000195682726000017/a6-kcoverpagex060925pressr.htm" TargetMode="External"/><Relationship Id="rId8" Type="http://schemas.openxmlformats.org/officeDocument/2006/relationships/hyperlink" Target="http://www.sec.gov/Archives/edgar/data/../../../ix?doc=/Archives/edgar/data/0001956827/000195682726000022/abvx-20260331.htm" TargetMode="External"/><Relationship Id="rId9" Type="http://schemas.openxmlformats.org/officeDocument/2006/relationships/hyperlink" Target="http://www.sec.gov/Archives/edgar/data/1956827/000119312526252360/d98688d6k.htm" TargetMode="External"/><Relationship Id="rId10" Type="http://schemas.openxmlformats.org/officeDocument/2006/relationships/hyperlink" Target="http://www.sec.gov/Archives/edgar/data/1956827/000119312526288752/d110874d6k.htm" TargetMode="External"/><Relationship Id="rId11" Type="http://schemas.openxmlformats.org/officeDocument/2006/relationships/hyperlink" Target="http://www.sec.gov/Archives/edgar/data/1956827/000119312523258649/d533766d8a12b.htm" TargetMode="External"/><Relationship Id="rId12" Type="http://schemas.openxmlformats.org/officeDocument/2006/relationships/hyperlink" Target="http://www.sec.gov/Archives/edgar/data/1956827/000195682726000012/abvx-20251231.htm" TargetMode="External"/><Relationship Id="rId13" Type="http://schemas.openxmlformats.org/officeDocument/2006/relationships/image" Target="media/image1.jpeg"/><Relationship Id="rId14" Type="http://schemas.openxmlformats.org/officeDocument/2006/relationships/hyperlink" Target="http://www.sec.gov/Archives/edgar/data/1472033/000119380523001353/e618972_ex99-a.htm" TargetMode="External"/><Relationship Id="rId15" Type="http://schemas.openxmlformats.org/officeDocument/2006/relationships/hyperlink" Target="http://www.sec.gov/Archives/edgar/data/1472033/000119380523001353/e618972_ex99-a.htm" TargetMode="External"/><Relationship Id="rId16" Type="http://schemas.openxmlformats.org/officeDocument/2006/relationships/hyperlink" Target="http://www.sec.gov/Archives/edgar/data/1956827/000119312525163402/d944622df3asr.htm" TargetMode="External"/><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4.jpeg"/><Relationship Id="rId22" Type="http://schemas.openxmlformats.org/officeDocument/2006/relationships/image" Target="media/image5.jpeg"/><Relationship Id="rId23" Type="http://schemas.openxmlformats.org/officeDocument/2006/relationships/image" Target="media/image6.jpeg"/><Relationship Id="rId24" Type="http://schemas.openxmlformats.org/officeDocument/2006/relationships/image" Target="media/image7.jpeg"/><Relationship Id="rId25" Type="http://schemas.openxmlformats.org/officeDocument/2006/relationships/image" Target="media/image8.jpeg"/><Relationship Id="rId26" Type="http://schemas.openxmlformats.org/officeDocument/2006/relationships/image" Target="media/image9.jpeg"/><Relationship Id="rId27" Type="http://schemas.openxmlformats.org/officeDocument/2006/relationships/image" Target="media/image10.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175</Pages>
  <Words>80339</Words>
  <Characters>414280</Characters>
  <CharactersWithSpaces>496641</CharactersWithSpaces>
  <Paragraphs>6977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EX-25.1</dc:title>
</cp:coreProperties>
</file>